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szCs w:val="21"/>
        </w:rPr>
      </w:pPr>
      <w:r>
        <w:rPr>
          <w:rFonts w:asciiTheme="minorEastAsia" w:hAnsiTheme="minorEastAsia" w:eastAsiaTheme="minorEastAsia" w:cstheme="minorEastAsia"/>
          <w:b/>
          <w:bCs/>
        </w:rPr>
        <w:pict>
          <v:shape id="文本框 1" o:spid="_x0000_s1026" o:spt="202" type="#_x0000_t202" style="position:absolute;left:0pt;margin-left:41.8pt;margin-top:27.55pt;height:22.1pt;width:207.5pt;mso-position-horizontal-relative:page;mso-position-vertical-relative:page;z-index:251659264;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hint="eastAsia" w:asciiTheme="minorEastAsia" w:hAnsiTheme="minorEastAsia" w:eastAsiaTheme="minorEastAsia" w:cstheme="minorEastAsia"/>
          <w:b/>
          <w:bCs/>
          <w:kern w:val="0"/>
          <w:sz w:val="40"/>
          <w:szCs w:val="40"/>
        </w:rPr>
        <w:t>专业课课程教学大纲</w:t>
      </w:r>
    </w:p>
    <w:p>
      <w:pPr>
        <w:spacing w:line="288" w:lineRule="auto"/>
        <w:jc w:val="center"/>
        <w:rPr>
          <w:b/>
          <w:sz w:val="28"/>
          <w:szCs w:val="30"/>
        </w:rPr>
      </w:pPr>
      <w:r>
        <w:rPr>
          <w:rFonts w:hint="eastAsia"/>
          <w:b/>
          <w:sz w:val="28"/>
          <w:szCs w:val="30"/>
        </w:rPr>
        <w:t>【护理伦理学】</w:t>
      </w:r>
    </w:p>
    <w:p>
      <w:pPr>
        <w:shd w:val="clear" w:color="auto" w:fill="F5F5F5"/>
        <w:jc w:val="center"/>
        <w:textAlignment w:val="top"/>
        <w:rPr>
          <w:rFonts w:ascii="Arial" w:hAnsi="Arial" w:cs="Arial"/>
          <w:kern w:val="0"/>
          <w:sz w:val="20"/>
          <w:szCs w:val="20"/>
        </w:rPr>
      </w:pPr>
      <w:r>
        <w:rPr>
          <w:rFonts w:hint="eastAsia"/>
          <w:b/>
          <w:sz w:val="28"/>
          <w:szCs w:val="30"/>
        </w:rPr>
        <w:t>【</w:t>
      </w:r>
      <w:r>
        <w:rPr>
          <w:b/>
          <w:sz w:val="28"/>
          <w:szCs w:val="30"/>
        </w:rPr>
        <w:t>Nursing</w:t>
      </w:r>
      <w:r>
        <w:rPr>
          <w:rFonts w:hint="eastAsia"/>
          <w:b/>
          <w:sz w:val="28"/>
          <w:szCs w:val="30"/>
        </w:rPr>
        <w:t xml:space="preserve"> Ethics】</w:t>
      </w:r>
      <w:bookmarkStart w:id="0" w:name="a2"/>
      <w:bookmarkEnd w:id="0"/>
    </w:p>
    <w:p>
      <w:pPr>
        <w:spacing w:before="156" w:beforeLines="50" w:after="156" w:afterLines="50" w:line="288" w:lineRule="auto"/>
        <w:ind w:firstLine="360" w:firstLineChars="150"/>
        <w:rPr>
          <w:b/>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rFonts w:hint="eastAsia" w:ascii="宋体" w:hAnsi="宋体"/>
          <w:szCs w:val="21"/>
        </w:rPr>
        <w:t>【2</w:t>
      </w:r>
      <w:r>
        <w:rPr>
          <w:rFonts w:ascii="宋体" w:hAnsi="宋体"/>
          <w:szCs w:val="21"/>
        </w:rPr>
        <w:t>070027</w:t>
      </w:r>
      <w:r>
        <w:rPr>
          <w:rFonts w:hint="eastAsia" w:ascii="宋体" w:hAnsi="宋体"/>
          <w:szCs w:val="21"/>
        </w:rPr>
        <w:t>】</w:t>
      </w:r>
    </w:p>
    <w:p>
      <w:pPr>
        <w:snapToGrid w:val="0"/>
        <w:spacing w:line="288" w:lineRule="auto"/>
        <w:ind w:firstLine="394" w:firstLineChars="196"/>
        <w:rPr>
          <w:rFonts w:ascii="宋体" w:hAnsi="宋体"/>
          <w:szCs w:val="21"/>
        </w:rPr>
      </w:pPr>
      <w:r>
        <w:rPr>
          <w:b/>
          <w:bCs/>
          <w:color w:val="000000"/>
          <w:sz w:val="20"/>
          <w:szCs w:val="20"/>
        </w:rPr>
        <w:t>课程学分</w:t>
      </w:r>
      <w:r>
        <w:rPr>
          <w:b/>
          <w:bCs/>
          <w:sz w:val="20"/>
          <w:szCs w:val="20"/>
        </w:rPr>
        <w:t>：</w:t>
      </w:r>
      <w:r>
        <w:rPr>
          <w:rFonts w:hint="eastAsia" w:ascii="宋体" w:hAnsi="宋体"/>
          <w:szCs w:val="21"/>
        </w:rPr>
        <w:t>【1】</w:t>
      </w:r>
    </w:p>
    <w:p>
      <w:pPr>
        <w:snapToGrid w:val="0"/>
        <w:spacing w:line="288" w:lineRule="auto"/>
        <w:ind w:firstLine="394" w:firstLineChars="196"/>
        <w:rPr>
          <w:szCs w:val="21"/>
        </w:rPr>
      </w:pPr>
      <w:r>
        <w:rPr>
          <w:b/>
          <w:bCs/>
          <w:sz w:val="20"/>
          <w:szCs w:val="20"/>
        </w:rPr>
        <w:t>面向专业：</w:t>
      </w:r>
      <w:r>
        <w:rPr>
          <w:rFonts w:hint="eastAsia"/>
          <w:sz w:val="20"/>
          <w:szCs w:val="20"/>
        </w:rPr>
        <w:t>【护理】</w:t>
      </w:r>
    </w:p>
    <w:p>
      <w:pPr>
        <w:snapToGrid w:val="0"/>
        <w:spacing w:line="288" w:lineRule="auto"/>
        <w:ind w:firstLine="394" w:firstLineChars="196"/>
        <w:rPr>
          <w:sz w:val="20"/>
          <w:szCs w:val="20"/>
        </w:rPr>
      </w:pPr>
      <w:r>
        <w:rPr>
          <w:b/>
          <w:bCs/>
          <w:sz w:val="20"/>
          <w:szCs w:val="20"/>
        </w:rPr>
        <w:t>课程性质：</w:t>
      </w:r>
      <w:r>
        <w:rPr>
          <w:rFonts w:hint="eastAsia"/>
          <w:sz w:val="20"/>
          <w:szCs w:val="20"/>
        </w:rPr>
        <w:t>【系级必修课】</w:t>
      </w:r>
    </w:p>
    <w:p>
      <w:pPr>
        <w:snapToGrid w:val="0"/>
        <w:spacing w:line="288" w:lineRule="auto"/>
        <w:ind w:firstLine="394" w:firstLineChars="196"/>
        <w:rPr>
          <w:b/>
          <w:bCs/>
          <w:szCs w:val="21"/>
        </w:rPr>
      </w:pPr>
      <w:r>
        <w:rPr>
          <w:b/>
          <w:bCs/>
          <w:sz w:val="20"/>
          <w:szCs w:val="20"/>
        </w:rPr>
        <w:t>开课院系：</w:t>
      </w:r>
      <w:r>
        <w:rPr>
          <w:rFonts w:hint="eastAsia"/>
          <w:sz w:val="20"/>
          <w:szCs w:val="20"/>
          <w:lang w:val="en-US" w:eastAsia="zh-CN"/>
        </w:rPr>
        <w:t>健康管理</w:t>
      </w:r>
      <w:r>
        <w:rPr>
          <w:rFonts w:hint="eastAsia"/>
          <w:sz w:val="20"/>
          <w:szCs w:val="20"/>
        </w:rPr>
        <w:t>学院护理系</w:t>
      </w:r>
    </w:p>
    <w:p>
      <w:pPr>
        <w:snapToGrid w:val="0"/>
        <w:spacing w:line="288" w:lineRule="auto"/>
        <w:ind w:firstLine="394" w:firstLineChars="196"/>
        <w:rPr>
          <w:sz w:val="20"/>
          <w:szCs w:val="20"/>
        </w:rPr>
      </w:pPr>
      <w:r>
        <w:rPr>
          <w:b/>
          <w:bCs/>
          <w:sz w:val="20"/>
          <w:szCs w:val="20"/>
        </w:rPr>
        <w:t>使用教材：</w:t>
      </w:r>
    </w:p>
    <w:p>
      <w:pPr>
        <w:snapToGrid w:val="0"/>
        <w:spacing w:line="288" w:lineRule="auto"/>
        <w:ind w:firstLine="792" w:firstLineChars="396"/>
        <w:rPr>
          <w:rFonts w:ascii="宋体" w:hAnsi="宋体"/>
          <w:sz w:val="20"/>
          <w:szCs w:val="20"/>
        </w:rPr>
      </w:pPr>
      <w:r>
        <w:rPr>
          <w:rFonts w:hint="eastAsia" w:ascii="宋体" w:hAnsi="宋体"/>
          <w:sz w:val="20"/>
          <w:szCs w:val="20"/>
        </w:rPr>
        <w:t>教材【《</w:t>
      </w:r>
      <w:r>
        <w:rPr>
          <w:rFonts w:hint="eastAsia"/>
          <w:color w:val="000000"/>
          <w:sz w:val="20"/>
          <w:szCs w:val="20"/>
        </w:rPr>
        <w:t>护理伦理学</w:t>
      </w:r>
      <w:r>
        <w:rPr>
          <w:rFonts w:hint="eastAsia" w:ascii="宋体" w:hAnsi="宋体"/>
          <w:sz w:val="20"/>
          <w:szCs w:val="20"/>
        </w:rPr>
        <w:t>》，第2版，主编：</w:t>
      </w:r>
      <w:r>
        <w:rPr>
          <w:rFonts w:hint="eastAsia"/>
          <w:color w:val="000000"/>
          <w:sz w:val="20"/>
          <w:szCs w:val="20"/>
        </w:rPr>
        <w:t>姜小鹰，刘俊荣</w:t>
      </w:r>
      <w:r>
        <w:rPr>
          <w:rFonts w:hint="eastAsia" w:ascii="宋体" w:hAnsi="宋体"/>
          <w:sz w:val="20"/>
          <w:szCs w:val="20"/>
        </w:rPr>
        <w:t>.人民卫生出版社</w:t>
      </w:r>
      <w:r>
        <w:rPr>
          <w:rFonts w:ascii="宋体" w:hAnsi="宋体"/>
          <w:sz w:val="20"/>
          <w:szCs w:val="20"/>
        </w:rPr>
        <w:t>.</w:t>
      </w:r>
      <w:r>
        <w:rPr>
          <w:rFonts w:hint="eastAsia" w:ascii="宋体" w:hAnsi="宋体"/>
          <w:sz w:val="20"/>
          <w:szCs w:val="20"/>
        </w:rPr>
        <w:t>】</w:t>
      </w:r>
    </w:p>
    <w:p>
      <w:pPr>
        <w:snapToGrid w:val="0"/>
        <w:spacing w:line="288" w:lineRule="auto"/>
        <w:ind w:firstLine="792" w:firstLineChars="396"/>
        <w:rPr>
          <w:rFonts w:ascii="宋体" w:hAnsi="宋体"/>
          <w:color w:val="000000"/>
          <w:sz w:val="20"/>
          <w:szCs w:val="20"/>
        </w:rPr>
      </w:pPr>
      <w:r>
        <w:rPr>
          <w:rFonts w:hint="eastAsia" w:ascii="宋体" w:hAnsi="宋体"/>
          <w:sz w:val="20"/>
          <w:szCs w:val="20"/>
        </w:rPr>
        <w:t>参考书目【《</w:t>
      </w:r>
      <w:r>
        <w:rPr>
          <w:rFonts w:hint="eastAsia"/>
          <w:color w:val="000000"/>
          <w:sz w:val="20"/>
          <w:szCs w:val="20"/>
        </w:rPr>
        <w:t>医学伦理学</w:t>
      </w:r>
      <w:r>
        <w:rPr>
          <w:rFonts w:hint="eastAsia" w:ascii="宋体" w:hAnsi="宋体"/>
          <w:sz w:val="20"/>
          <w:szCs w:val="20"/>
        </w:rPr>
        <w:t>》，主编：</w:t>
      </w:r>
      <w:r>
        <w:rPr>
          <w:rFonts w:hint="eastAsia"/>
          <w:color w:val="000000"/>
          <w:sz w:val="20"/>
          <w:szCs w:val="20"/>
        </w:rPr>
        <w:t>邱祥兴，</w:t>
      </w:r>
      <w:r>
        <w:rPr>
          <w:rFonts w:hint="eastAsia" w:ascii="宋体" w:hAnsi="宋体"/>
          <w:sz w:val="20"/>
          <w:szCs w:val="20"/>
        </w:rPr>
        <w:t>人民卫生出版社；</w:t>
      </w:r>
      <w:r>
        <w:rPr>
          <w:rFonts w:hint="eastAsia" w:ascii="宋体" w:hAnsi="宋体"/>
          <w:color w:val="000000"/>
          <w:sz w:val="20"/>
          <w:szCs w:val="20"/>
        </w:rPr>
        <w:t>《</w:t>
      </w:r>
      <w:r>
        <w:rPr>
          <w:rFonts w:hint="eastAsia"/>
          <w:color w:val="000000"/>
          <w:sz w:val="20"/>
          <w:szCs w:val="20"/>
        </w:rPr>
        <w:t>医学伦理学（牛津通识读本）</w:t>
      </w:r>
      <w:r>
        <w:rPr>
          <w:rFonts w:hint="eastAsia" w:ascii="宋体" w:hAnsi="宋体"/>
          <w:color w:val="000000"/>
          <w:sz w:val="20"/>
          <w:szCs w:val="20"/>
        </w:rPr>
        <w:t>》，</w:t>
      </w:r>
      <w:r>
        <w:rPr>
          <w:rFonts w:hint="eastAsia" w:ascii="宋体" w:hAnsi="宋体"/>
          <w:sz w:val="20"/>
          <w:szCs w:val="20"/>
        </w:rPr>
        <w:t>主编：</w:t>
      </w:r>
      <w:r>
        <w:rPr>
          <w:rFonts w:hint="eastAsia"/>
          <w:color w:val="000000"/>
          <w:sz w:val="20"/>
          <w:szCs w:val="20"/>
        </w:rPr>
        <w:t>Hope</w:t>
      </w:r>
      <w:r>
        <w:rPr>
          <w:rFonts w:ascii="宋体"/>
          <w:color w:val="000000"/>
          <w:sz w:val="20"/>
          <w:szCs w:val="20"/>
        </w:rPr>
        <w:t>.</w:t>
      </w:r>
      <w:r>
        <w:rPr>
          <w:rFonts w:hint="eastAsia"/>
          <w:color w:val="000000"/>
          <w:sz w:val="20"/>
          <w:szCs w:val="20"/>
        </w:rPr>
        <w:t>译林出版社；</w:t>
      </w:r>
      <w:r>
        <w:rPr>
          <w:rFonts w:hint="eastAsia" w:ascii="宋体" w:hAnsi="宋体"/>
          <w:sz w:val="20"/>
          <w:szCs w:val="20"/>
        </w:rPr>
        <w:t>《</w:t>
      </w:r>
      <w:r>
        <w:rPr>
          <w:rFonts w:hint="eastAsia"/>
          <w:color w:val="000000"/>
          <w:sz w:val="20"/>
          <w:szCs w:val="20"/>
        </w:rPr>
        <w:t>护理伦理学</w:t>
      </w:r>
      <w:r>
        <w:rPr>
          <w:rFonts w:hint="eastAsia" w:ascii="宋体" w:hAnsi="宋体"/>
          <w:sz w:val="20"/>
          <w:szCs w:val="20"/>
        </w:rPr>
        <w:t>》，主编：</w:t>
      </w:r>
      <w:r>
        <w:rPr>
          <w:rFonts w:hint="eastAsia"/>
          <w:color w:val="000000"/>
          <w:sz w:val="20"/>
          <w:szCs w:val="20"/>
        </w:rPr>
        <w:t>孙宏玉，唐启群</w:t>
      </w:r>
      <w:r>
        <w:rPr>
          <w:rFonts w:hint="eastAsia" w:ascii="宋体" w:hAnsi="宋体"/>
          <w:sz w:val="20"/>
          <w:szCs w:val="20"/>
        </w:rPr>
        <w:t>.</w:t>
      </w:r>
      <w:r>
        <w:rPr>
          <w:rFonts w:hint="eastAsia"/>
          <w:color w:val="000000"/>
          <w:sz w:val="20"/>
          <w:szCs w:val="20"/>
        </w:rPr>
        <w:t>北京大学医学出版社；</w:t>
      </w:r>
      <w:r>
        <w:rPr>
          <w:rFonts w:hint="eastAsia" w:ascii="宋体" w:hAnsi="宋体"/>
          <w:color w:val="000000"/>
          <w:sz w:val="20"/>
          <w:szCs w:val="20"/>
        </w:rPr>
        <w:t>《</w:t>
      </w:r>
      <w:r>
        <w:rPr>
          <w:rFonts w:hint="eastAsia"/>
          <w:color w:val="000000"/>
          <w:sz w:val="20"/>
          <w:szCs w:val="20"/>
        </w:rPr>
        <w:t>护理伦理与法律法规</w:t>
      </w:r>
      <w:r>
        <w:rPr>
          <w:rFonts w:hint="eastAsia" w:ascii="宋体" w:hAnsi="宋体"/>
          <w:color w:val="000000"/>
          <w:sz w:val="20"/>
          <w:szCs w:val="20"/>
        </w:rPr>
        <w:t>》，</w:t>
      </w:r>
      <w:r>
        <w:rPr>
          <w:rFonts w:hint="eastAsia" w:ascii="宋体" w:hAnsi="宋体"/>
          <w:sz w:val="20"/>
          <w:szCs w:val="20"/>
        </w:rPr>
        <w:t>主编：</w:t>
      </w:r>
      <w:r>
        <w:rPr>
          <w:rFonts w:hint="eastAsia"/>
          <w:color w:val="000000"/>
          <w:sz w:val="20"/>
          <w:szCs w:val="20"/>
        </w:rPr>
        <w:t>王明丽.科学出版社</w:t>
      </w:r>
      <w:r>
        <w:rPr>
          <w:rFonts w:ascii="宋体" w:hAnsi="宋体"/>
          <w:color w:val="000000"/>
          <w:sz w:val="20"/>
          <w:szCs w:val="20"/>
        </w:rPr>
        <w:t>.</w:t>
      </w:r>
      <w:r>
        <w:rPr>
          <w:rFonts w:hint="eastAsia" w:ascii="宋体" w:hAnsi="宋体"/>
          <w:color w:val="000000"/>
          <w:sz w:val="20"/>
          <w:szCs w:val="20"/>
        </w:rPr>
        <w:t>】</w:t>
      </w:r>
    </w:p>
    <w:p>
      <w:pPr>
        <w:snapToGrid w:val="0"/>
        <w:spacing w:line="288" w:lineRule="auto"/>
        <w:ind w:firstLine="394" w:firstLineChars="196"/>
        <w:rPr>
          <w:color w:val="000000"/>
          <w:sz w:val="20"/>
          <w:szCs w:val="20"/>
          <w:highlight w:val="yellow"/>
        </w:rPr>
      </w:pPr>
      <w:r>
        <w:rPr>
          <w:rFonts w:hint="eastAsia"/>
          <w:b/>
          <w:bCs/>
          <w:color w:val="000000"/>
          <w:sz w:val="20"/>
          <w:szCs w:val="20"/>
        </w:rPr>
        <w:t>课程网站网址：</w:t>
      </w:r>
      <w:r>
        <w:rPr>
          <w:rFonts w:hint="eastAsia"/>
          <w:color w:val="000000"/>
          <w:sz w:val="20"/>
          <w:szCs w:val="20"/>
        </w:rPr>
        <w:t>暂无</w:t>
      </w:r>
    </w:p>
    <w:p>
      <w:pPr>
        <w:adjustRightInd w:val="0"/>
        <w:snapToGrid w:val="0"/>
        <w:spacing w:line="288" w:lineRule="auto"/>
        <w:ind w:firstLine="394" w:firstLineChars="196"/>
        <w:rPr>
          <w:sz w:val="20"/>
          <w:szCs w:val="20"/>
        </w:rPr>
      </w:pPr>
      <w:r>
        <w:rPr>
          <w:b/>
          <w:bCs/>
          <w:color w:val="000000"/>
          <w:sz w:val="20"/>
          <w:szCs w:val="20"/>
        </w:rPr>
        <w:t>先修课程：</w:t>
      </w:r>
      <w:r>
        <w:rPr>
          <w:rFonts w:hint="eastAsia"/>
          <w:color w:val="000000"/>
          <w:sz w:val="20"/>
          <w:szCs w:val="20"/>
        </w:rPr>
        <w:t>《人体解剖学》《组织胚胎学》《护士人文修养》</w:t>
      </w:r>
    </w:p>
    <w:p>
      <w:pPr>
        <w:adjustRightInd w:val="0"/>
        <w:snapToGrid w:val="0"/>
        <w:spacing w:before="156" w:beforeLines="50" w:after="156" w:afterLines="50" w:line="288" w:lineRule="auto"/>
        <w:ind w:firstLine="348" w:firstLineChars="145"/>
        <w:rPr>
          <w:sz w:val="20"/>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adjustRightInd w:val="0"/>
        <w:snapToGrid w:val="0"/>
        <w:spacing w:line="288" w:lineRule="auto"/>
        <w:ind w:firstLine="392" w:firstLineChars="196"/>
        <w:rPr>
          <w:rFonts w:ascii="Times New Roman" w:hAnsi="Times New Roman"/>
          <w:color w:val="0000FF"/>
          <w:sz w:val="20"/>
          <w:szCs w:val="20"/>
        </w:rPr>
      </w:pPr>
      <w:r>
        <w:rPr>
          <w:rFonts w:hint="eastAsia"/>
          <w:color w:val="000000"/>
          <w:sz w:val="20"/>
          <w:szCs w:val="20"/>
        </w:rPr>
        <w:t>《护理伦理学》是一门护理学与伦理学相交叉的边缘学科，是研究护理职业道德的科学。即运用一般伦理学的原理和道德原则，来解决与调整护理实践和护理科学发展中人与人之间、护理学与社会间关系的一门课程，是为培养学生掌握护理伦理基本知识和应用能力而设置的一门基础课程。随着社会及护理学的发展，护士将面临更多的伦理决策</w:t>
      </w:r>
      <w:r>
        <w:rPr>
          <w:rFonts w:hint="eastAsia"/>
          <w:color w:val="000000"/>
          <w:sz w:val="20"/>
          <w:szCs w:val="20"/>
          <w:lang w:eastAsia="zh-CN"/>
        </w:rPr>
        <w:t>，</w:t>
      </w:r>
      <w:r>
        <w:rPr>
          <w:rFonts w:hint="eastAsia"/>
          <w:color w:val="000000"/>
          <w:sz w:val="20"/>
          <w:szCs w:val="20"/>
          <w:lang w:val="en-US" w:eastAsia="zh-CN"/>
        </w:rPr>
        <w:t>需要他们</w:t>
      </w:r>
      <w:r>
        <w:rPr>
          <w:rFonts w:hint="eastAsia"/>
          <w:color w:val="000000"/>
          <w:sz w:val="20"/>
          <w:szCs w:val="20"/>
        </w:rPr>
        <w:t>运用护理道德原则与规范去调整护理人际关系，解决护理实践中的伦理道德问题。本课程旨在为护理专业学生提供正确的价值导向，树立以“人为本，关怀照顾”的理念，培养学生识别护理实践中的道德问题，理性、公正决策，兼顾服务对象最大权益。</w:t>
      </w:r>
      <w:r>
        <w:rPr>
          <w:rFonts w:hint="eastAsia"/>
          <w:sz w:val="20"/>
          <w:szCs w:val="20"/>
        </w:rPr>
        <w:t>本课程总学时为16学时，均为理论课。</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rFonts w:hint="eastAsia"/>
          <w:color w:val="000000"/>
          <w:sz w:val="20"/>
          <w:szCs w:val="20"/>
        </w:rPr>
        <w:t>本课程适用于护理类专业，开设于第2学期，前期课程基础为《人体解剖学》《组织胚胎学》《生理学》《护士人文修养》。</w:t>
      </w:r>
    </w:p>
    <w:p>
      <w:pPr>
        <w:widowControl/>
        <w:numPr>
          <w:ilvl w:val="0"/>
          <w:numId w:val="1"/>
        </w:numPr>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w:t>
      </w:r>
    </w:p>
    <w:tbl>
      <w:tblPr>
        <w:tblStyle w:val="4"/>
        <w:tblpPr w:leftFromText="180" w:rightFromText="180" w:vertAnchor="text" w:horzAnchor="page" w:tblpXSpec="center" w:tblpY="242"/>
        <w:tblOverlap w:val="never"/>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7880" w:type="dxa"/>
          </w:tcPr>
          <w:p>
            <w:pPr>
              <w:jc w:val="center"/>
              <w:rPr>
                <w:rFonts w:ascii="宋体" w:cs="黑体"/>
                <w:b/>
                <w:kern w:val="0"/>
                <w:sz w:val="20"/>
                <w:szCs w:val="20"/>
              </w:rPr>
            </w:pPr>
            <w:r>
              <w:rPr>
                <w:rFonts w:hint="eastAsia" w:ascii="宋体" w:hAnsi="宋体" w:cs="宋体"/>
                <w:b/>
                <w:bCs/>
                <w:kern w:val="0"/>
                <w:szCs w:val="21"/>
              </w:rPr>
              <w:t>专业毕业要求</w:t>
            </w:r>
          </w:p>
        </w:tc>
        <w:tc>
          <w:tcPr>
            <w:tcW w:w="780" w:type="dxa"/>
          </w:tcPr>
          <w:p>
            <w:pPr>
              <w:jc w:val="center"/>
              <w:rPr>
                <w:rFonts w:ascii="宋体" w:cs="黑体"/>
                <w:kern w:val="0"/>
                <w:sz w:val="20"/>
                <w:szCs w:val="20"/>
              </w:rPr>
            </w:pPr>
            <w:r>
              <w:rPr>
                <w:rFonts w:hint="eastAsia" w:ascii="宋体" w:hAnsi="宋体" w:cs="宋体"/>
                <w:b/>
                <w:bCs/>
                <w:kern w:val="0"/>
                <w:szCs w:val="21"/>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7880" w:type="dxa"/>
            <w:vAlign w:val="center"/>
          </w:tcPr>
          <w:p>
            <w:pPr>
              <w:widowControl/>
              <w:rPr>
                <w:rFonts w:ascii="宋体"/>
                <w:kern w:val="0"/>
                <w:sz w:val="20"/>
                <w:szCs w:val="20"/>
              </w:rPr>
            </w:pPr>
            <w:r>
              <w:rPr>
                <w:rFonts w:hint="eastAsia" w:ascii="宋体" w:hAnsi="宋体"/>
                <w:color w:val="000000"/>
                <w:sz w:val="20"/>
                <w:szCs w:val="20"/>
              </w:rPr>
              <w:t>LO211：树立终身学习的观念，具有主动获取新知识、不断进行自我完善和推动专业发展的态度。</w:t>
            </w:r>
          </w:p>
        </w:tc>
        <w:tc>
          <w:tcPr>
            <w:tcW w:w="780" w:type="dxa"/>
            <w:vAlign w:val="center"/>
          </w:tcPr>
          <w:p>
            <w:pPr>
              <w:widowControl/>
              <w:jc w:val="center"/>
              <w:rPr>
                <w:rFonts w:ascii="宋体" w:cs="宋体"/>
                <w:color w:val="000000"/>
                <w:kern w:val="0"/>
                <w:sz w:val="20"/>
                <w:szCs w:val="20"/>
              </w:rPr>
            </w:pPr>
            <w:r>
              <w:rPr>
                <w:rFonts w:hint="eastAsia" w:ascii="宋体" w:hAnsi="Wingdings 2"/>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80" w:type="dxa"/>
            <w:vAlign w:val="center"/>
          </w:tcPr>
          <w:p>
            <w:pPr>
              <w:widowControl/>
              <w:rPr>
                <w:rFonts w:ascii="宋体" w:hAnsi="宋体"/>
                <w:color w:val="000000"/>
                <w:sz w:val="20"/>
                <w:szCs w:val="20"/>
              </w:rPr>
            </w:pPr>
            <w:r>
              <w:rPr>
                <w:rFonts w:hint="eastAsia" w:ascii="宋体" w:hAnsi="宋体"/>
                <w:color w:val="000000"/>
                <w:sz w:val="20"/>
                <w:szCs w:val="20"/>
              </w:rPr>
              <w:t>LO314：具有护理学基础理论和基本知识。</w:t>
            </w:r>
          </w:p>
        </w:tc>
        <w:tc>
          <w:tcPr>
            <w:tcW w:w="780" w:type="dxa"/>
            <w:vAlign w:val="center"/>
          </w:tcPr>
          <w:p>
            <w:pPr>
              <w:widowControl/>
              <w:jc w:val="center"/>
              <w:rPr>
                <w:rFonts w:ascii="宋体" w:hAnsi="宋体"/>
                <w:color w:val="000000"/>
                <w:sz w:val="20"/>
                <w:szCs w:val="20"/>
              </w:rPr>
            </w:pPr>
            <w:r>
              <w:rPr>
                <w:rFonts w:hint="eastAsia" w:ascii="宋体" w:hAnsi="宋体"/>
                <w:color w:val="00000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80" w:type="dxa"/>
            <w:vAlign w:val="center"/>
          </w:tcPr>
          <w:p>
            <w:pPr>
              <w:widowControl/>
              <w:rPr>
                <w:rFonts w:ascii="宋体" w:hAnsi="宋体"/>
                <w:color w:val="000000"/>
                <w:sz w:val="20"/>
                <w:szCs w:val="20"/>
              </w:rPr>
            </w:pPr>
            <w:r>
              <w:rPr>
                <w:rFonts w:hint="eastAsia" w:ascii="宋体" w:hAnsi="宋体"/>
                <w:color w:val="000000"/>
                <w:sz w:val="20"/>
                <w:szCs w:val="20"/>
              </w:rPr>
              <w:t>L0411：对护理学科有正确的认识，对其发展具有责任感。</w:t>
            </w:r>
          </w:p>
        </w:tc>
        <w:tc>
          <w:tcPr>
            <w:tcW w:w="780" w:type="dxa"/>
            <w:vAlign w:val="center"/>
          </w:tcPr>
          <w:p>
            <w:pPr>
              <w:widowControl/>
              <w:jc w:val="center"/>
              <w:rPr>
                <w:rFonts w:ascii="宋体" w:hAnsi="宋体"/>
                <w:color w:val="000000"/>
                <w:sz w:val="20"/>
                <w:szCs w:val="20"/>
              </w:rPr>
            </w:pPr>
            <w:r>
              <w:rPr>
                <w:rFonts w:hint="eastAsia" w:ascii="宋体" w:hAnsi="宋体"/>
                <w:color w:val="00000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880" w:type="dxa"/>
            <w:vAlign w:val="center"/>
          </w:tcPr>
          <w:p>
            <w:pPr>
              <w:widowControl/>
              <w:rPr>
                <w:rFonts w:ascii="宋体" w:hAnsi="宋体"/>
                <w:color w:val="000000"/>
                <w:sz w:val="20"/>
                <w:szCs w:val="20"/>
              </w:rPr>
            </w:pPr>
            <w:r>
              <w:rPr>
                <w:rFonts w:hint="eastAsia" w:ascii="宋体" w:hAnsi="宋体"/>
                <w:color w:val="000000"/>
                <w:sz w:val="20"/>
                <w:szCs w:val="20"/>
              </w:rPr>
              <w:t>L0412：具有科学精神、慎独修养、严谨求实的工作态度和符合职业道德标准的职业行为。</w:t>
            </w:r>
          </w:p>
        </w:tc>
        <w:tc>
          <w:tcPr>
            <w:tcW w:w="780" w:type="dxa"/>
            <w:vAlign w:val="center"/>
          </w:tcPr>
          <w:p>
            <w:pPr>
              <w:widowControl/>
              <w:ind w:firstLine="200" w:firstLineChars="100"/>
              <w:rPr>
                <w:rFonts w:ascii="宋体" w:hAnsi="宋体"/>
                <w:color w:val="000000"/>
                <w:sz w:val="20"/>
                <w:szCs w:val="20"/>
              </w:rPr>
            </w:pPr>
            <w:r>
              <w:rPr>
                <w:rFonts w:hint="eastAsia" w:ascii="宋体" w:hAnsi="宋体"/>
                <w:color w:val="00000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880" w:type="dxa"/>
            <w:vAlign w:val="center"/>
          </w:tcPr>
          <w:p>
            <w:pPr>
              <w:widowControl/>
              <w:rPr>
                <w:rFonts w:ascii="宋体" w:hAnsi="宋体"/>
                <w:color w:val="000000"/>
                <w:sz w:val="20"/>
                <w:szCs w:val="20"/>
              </w:rPr>
            </w:pPr>
            <w:r>
              <w:rPr>
                <w:rFonts w:hint="eastAsia" w:ascii="宋体" w:hAnsi="宋体"/>
                <w:color w:val="000000"/>
                <w:sz w:val="20"/>
                <w:szCs w:val="20"/>
              </w:rPr>
              <w:t>LO413：树立依法行护的法律观念，遵从医疗护理相关法规，自觉将专业行为纳入法律和伦理允许的范围内，具有运用相关法规保护护理对象和自身权益的意识。</w:t>
            </w:r>
          </w:p>
        </w:tc>
        <w:tc>
          <w:tcPr>
            <w:tcW w:w="780" w:type="dxa"/>
            <w:vAlign w:val="center"/>
          </w:tcPr>
          <w:p>
            <w:pPr>
              <w:widowControl/>
              <w:jc w:val="center"/>
              <w:rPr>
                <w:rFonts w:ascii="宋体" w:hAnsi="宋体"/>
                <w:color w:val="000000"/>
                <w:sz w:val="20"/>
                <w:szCs w:val="20"/>
              </w:rPr>
            </w:pPr>
            <w:r>
              <w:rPr>
                <w:rFonts w:hint="eastAsia" w:ascii="宋体" w:hAnsi="宋体"/>
                <w:color w:val="00000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880" w:type="dxa"/>
            <w:vAlign w:val="center"/>
          </w:tcPr>
          <w:p>
            <w:pPr>
              <w:widowControl/>
              <w:rPr>
                <w:rFonts w:ascii="宋体" w:hAnsi="宋体"/>
                <w:color w:val="000000"/>
                <w:sz w:val="20"/>
                <w:szCs w:val="20"/>
              </w:rPr>
            </w:pPr>
            <w:r>
              <w:rPr>
                <w:rFonts w:hint="eastAsia" w:ascii="宋体" w:hAnsi="宋体"/>
                <w:color w:val="000000"/>
                <w:sz w:val="20"/>
                <w:szCs w:val="20"/>
              </w:rPr>
              <w:t>LO414：在应用各种护理技术时应充分考虑护理对象及家属权益。</w:t>
            </w:r>
          </w:p>
        </w:tc>
        <w:tc>
          <w:tcPr>
            <w:tcW w:w="780" w:type="dxa"/>
            <w:vAlign w:val="center"/>
          </w:tcPr>
          <w:p>
            <w:pPr>
              <w:widowControl/>
              <w:jc w:val="center"/>
              <w:rPr>
                <w:rFonts w:ascii="宋体" w:hAnsi="宋体"/>
                <w:color w:val="000000"/>
                <w:sz w:val="20"/>
                <w:szCs w:val="20"/>
              </w:rPr>
            </w:pPr>
            <w:r>
              <w:rPr>
                <w:rFonts w:hint="eastAsia" w:ascii="宋体" w:hAnsi="宋体"/>
                <w:color w:val="00000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880" w:type="dxa"/>
            <w:vAlign w:val="center"/>
          </w:tcPr>
          <w:p>
            <w:pPr>
              <w:widowControl/>
              <w:rPr>
                <w:rFonts w:ascii="宋体" w:hAnsi="宋体"/>
                <w:color w:val="000000"/>
                <w:sz w:val="20"/>
                <w:szCs w:val="20"/>
              </w:rPr>
            </w:pPr>
            <w:r>
              <w:rPr>
                <w:rFonts w:hint="eastAsia" w:ascii="宋体" w:hAnsi="宋体"/>
                <w:color w:val="000000"/>
                <w:sz w:val="20"/>
                <w:szCs w:val="20"/>
              </w:rPr>
              <w:t>LO61：信息应用</w:t>
            </w:r>
          </w:p>
        </w:tc>
        <w:tc>
          <w:tcPr>
            <w:tcW w:w="780" w:type="dxa"/>
            <w:vAlign w:val="center"/>
          </w:tcPr>
          <w:p>
            <w:pPr>
              <w:widowControl/>
              <w:jc w:val="center"/>
              <w:rPr>
                <w:rFonts w:ascii="宋体" w:hAnsi="宋体"/>
                <w:color w:val="000000"/>
                <w:sz w:val="20"/>
                <w:szCs w:val="20"/>
              </w:rPr>
            </w:pPr>
            <w:r>
              <w:rPr>
                <w:rFonts w:hint="eastAsia" w:ascii="宋体" w:hAnsi="宋体"/>
                <w:color w:val="00000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7880" w:type="dxa"/>
            <w:vAlign w:val="center"/>
          </w:tcPr>
          <w:p>
            <w:pPr>
              <w:widowControl/>
              <w:rPr>
                <w:rFonts w:ascii="宋体" w:hAnsi="宋体"/>
                <w:color w:val="000000"/>
                <w:sz w:val="20"/>
                <w:szCs w:val="20"/>
              </w:rPr>
            </w:pPr>
            <w:r>
              <w:rPr>
                <w:rFonts w:ascii="宋体" w:hAnsi="宋体"/>
                <w:color w:val="000000"/>
                <w:sz w:val="20"/>
                <w:szCs w:val="20"/>
              </w:rPr>
              <w:t>LO712</w:t>
            </w:r>
            <w:r>
              <w:rPr>
                <w:rFonts w:hint="eastAsia" w:ascii="宋体" w:hAnsi="宋体"/>
                <w:color w:val="000000"/>
                <w:sz w:val="20"/>
                <w:szCs w:val="20"/>
              </w:rPr>
              <w:t>：</w:t>
            </w:r>
            <w:r>
              <w:rPr>
                <w:rFonts w:ascii="宋体" w:hAnsi="宋体"/>
                <w:color w:val="000000"/>
                <w:sz w:val="20"/>
                <w:szCs w:val="20"/>
              </w:rPr>
              <w:t>关爱生命，平等、博爱，体现人道主义精神和全心全意为护理对象的健康服务的专业精神。</w:t>
            </w:r>
          </w:p>
        </w:tc>
        <w:tc>
          <w:tcPr>
            <w:tcW w:w="780" w:type="dxa"/>
            <w:vAlign w:val="center"/>
          </w:tcPr>
          <w:p>
            <w:pPr>
              <w:widowControl/>
              <w:jc w:val="center"/>
              <w:rPr>
                <w:rFonts w:ascii="宋体" w:hAnsi="宋体"/>
                <w:color w:val="000000"/>
                <w:sz w:val="20"/>
                <w:szCs w:val="20"/>
              </w:rPr>
            </w:pPr>
            <w:r>
              <w:rPr>
                <w:rFonts w:hint="eastAsia" w:ascii="宋体" w:hAnsi="宋体"/>
                <w:color w:val="000000"/>
                <w:sz w:val="20"/>
                <w:szCs w:val="20"/>
              </w:rPr>
              <w:sym w:font="Wingdings 2" w:char="F098"/>
            </w:r>
          </w:p>
        </w:tc>
      </w:tr>
    </w:tbl>
    <w:p>
      <w:pPr>
        <w:widowControl/>
        <w:spacing w:before="156" w:beforeLines="50" w:after="156" w:afterLines="50" w:line="288" w:lineRule="auto"/>
        <w:ind w:firstLine="480" w:firstLineChars="20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4"/>
        <w:tblpPr w:leftFromText="180" w:rightFromText="180" w:vertAnchor="text" w:horzAnchor="page" w:tblpXSpec="center" w:tblpY="152"/>
        <w:tblOverlap w:val="never"/>
        <w:tblW w:w="8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1161"/>
        <w:gridCol w:w="3666"/>
        <w:gridCol w:w="1690"/>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543" w:type="dxa"/>
            <w:vAlign w:val="center"/>
          </w:tcPr>
          <w:p>
            <w:pPr>
              <w:snapToGrid w:val="0"/>
              <w:spacing w:line="288" w:lineRule="auto"/>
              <w:jc w:val="center"/>
              <w:rPr>
                <w:rFonts w:ascii="宋体"/>
                <w:b/>
                <w:color w:val="000000"/>
                <w:szCs w:val="21"/>
              </w:rPr>
            </w:pPr>
            <w:r>
              <w:rPr>
                <w:rFonts w:hint="eastAsia" w:ascii="宋体" w:hAnsi="宋体"/>
                <w:b/>
                <w:color w:val="000000"/>
                <w:szCs w:val="21"/>
              </w:rPr>
              <w:t>序号</w:t>
            </w:r>
          </w:p>
        </w:tc>
        <w:tc>
          <w:tcPr>
            <w:tcW w:w="1161" w:type="dxa"/>
            <w:vAlign w:val="center"/>
          </w:tcPr>
          <w:p>
            <w:pPr>
              <w:snapToGrid w:val="0"/>
              <w:spacing w:line="288" w:lineRule="auto"/>
              <w:jc w:val="center"/>
              <w:rPr>
                <w:rFonts w:ascii="宋体"/>
                <w:b/>
                <w:color w:val="000000"/>
                <w:szCs w:val="21"/>
              </w:rPr>
            </w:pPr>
            <w:r>
              <w:rPr>
                <w:rFonts w:hint="eastAsia" w:ascii="宋体" w:hAnsi="宋体"/>
                <w:b/>
                <w:color w:val="000000"/>
                <w:szCs w:val="21"/>
              </w:rPr>
              <w:t>课程预期</w:t>
            </w:r>
          </w:p>
          <w:p>
            <w:pPr>
              <w:snapToGrid w:val="0"/>
              <w:spacing w:line="288" w:lineRule="auto"/>
              <w:jc w:val="center"/>
              <w:rPr>
                <w:rFonts w:ascii="宋体"/>
                <w:b/>
                <w:color w:val="000000"/>
                <w:szCs w:val="21"/>
              </w:rPr>
            </w:pPr>
            <w:r>
              <w:rPr>
                <w:rFonts w:hint="eastAsia" w:ascii="宋体" w:hAnsi="宋体"/>
                <w:b/>
                <w:color w:val="000000"/>
                <w:szCs w:val="21"/>
              </w:rPr>
              <w:t>学习成果</w:t>
            </w:r>
          </w:p>
        </w:tc>
        <w:tc>
          <w:tcPr>
            <w:tcW w:w="3666" w:type="dxa"/>
            <w:vAlign w:val="center"/>
          </w:tcPr>
          <w:p>
            <w:pPr>
              <w:snapToGrid w:val="0"/>
              <w:spacing w:line="288" w:lineRule="auto"/>
              <w:rPr>
                <w:rFonts w:ascii="宋体"/>
                <w:b/>
                <w:color w:val="000000"/>
                <w:szCs w:val="21"/>
              </w:rPr>
            </w:pPr>
            <w:r>
              <w:rPr>
                <w:rFonts w:hint="eastAsia" w:ascii="宋体" w:hAnsi="宋体"/>
                <w:b/>
                <w:color w:val="000000"/>
                <w:szCs w:val="21"/>
              </w:rPr>
              <w:t>课程目标</w:t>
            </w:r>
          </w:p>
        </w:tc>
        <w:tc>
          <w:tcPr>
            <w:tcW w:w="1690" w:type="dxa"/>
            <w:vAlign w:val="center"/>
          </w:tcPr>
          <w:p>
            <w:pPr>
              <w:snapToGrid w:val="0"/>
              <w:spacing w:line="288" w:lineRule="auto"/>
              <w:jc w:val="center"/>
              <w:rPr>
                <w:rFonts w:ascii="宋体"/>
                <w:b/>
                <w:color w:val="000000"/>
                <w:szCs w:val="21"/>
              </w:rPr>
            </w:pPr>
            <w:r>
              <w:rPr>
                <w:rFonts w:hint="eastAsia" w:ascii="宋体" w:hAnsi="宋体"/>
                <w:b/>
                <w:color w:val="000000"/>
                <w:szCs w:val="21"/>
              </w:rPr>
              <w:t>教与学方式</w:t>
            </w:r>
          </w:p>
        </w:tc>
        <w:tc>
          <w:tcPr>
            <w:tcW w:w="1500" w:type="dxa"/>
            <w:vAlign w:val="center"/>
          </w:tcPr>
          <w:p>
            <w:pPr>
              <w:snapToGrid w:val="0"/>
              <w:spacing w:line="288" w:lineRule="auto"/>
              <w:jc w:val="center"/>
              <w:rPr>
                <w:rFonts w:ascii="宋体"/>
                <w:b/>
                <w:color w:val="000000"/>
                <w:szCs w:val="21"/>
              </w:rPr>
            </w:pPr>
            <w:r>
              <w:rPr>
                <w:rFonts w:hint="eastAsia" w:ascii="宋体" w:hAnsi="宋体"/>
                <w:b/>
                <w:color w:val="000000"/>
                <w:szCs w:val="21"/>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43" w:type="dxa"/>
            <w:vAlign w:val="center"/>
          </w:tcPr>
          <w:p>
            <w:pPr>
              <w:jc w:val="center"/>
              <w:rPr>
                <w:rFonts w:ascii="宋体" w:hAnsi="宋体" w:cs="宋体"/>
                <w:color w:val="000000"/>
                <w:kern w:val="0"/>
                <w:sz w:val="20"/>
                <w:szCs w:val="20"/>
              </w:rPr>
            </w:pPr>
            <w:r>
              <w:rPr>
                <w:rFonts w:ascii="宋体" w:hAnsi="宋体" w:cs="宋体"/>
                <w:color w:val="000000"/>
                <w:kern w:val="0"/>
                <w:sz w:val="20"/>
                <w:szCs w:val="20"/>
              </w:rPr>
              <w:t>1</w:t>
            </w:r>
          </w:p>
        </w:tc>
        <w:tc>
          <w:tcPr>
            <w:tcW w:w="1161" w:type="dxa"/>
            <w:vAlign w:val="center"/>
          </w:tcPr>
          <w:p>
            <w:pPr>
              <w:jc w:val="center"/>
              <w:rPr>
                <w:rFonts w:ascii="宋体" w:hAnsi="宋体" w:cs="宋体"/>
                <w:color w:val="000000"/>
                <w:kern w:val="0"/>
                <w:sz w:val="20"/>
                <w:szCs w:val="20"/>
              </w:rPr>
            </w:pPr>
            <w:r>
              <w:rPr>
                <w:rFonts w:ascii="宋体" w:hAnsi="宋体" w:cs="宋体"/>
                <w:color w:val="000000"/>
                <w:kern w:val="0"/>
                <w:sz w:val="20"/>
                <w:szCs w:val="20"/>
              </w:rPr>
              <w:t>LO211</w:t>
            </w:r>
          </w:p>
        </w:tc>
        <w:tc>
          <w:tcPr>
            <w:tcW w:w="3666" w:type="dxa"/>
            <w:vAlign w:val="center"/>
          </w:tcPr>
          <w:p>
            <w:pPr>
              <w:rPr>
                <w:rFonts w:ascii="宋体" w:cs="宋体"/>
                <w:color w:val="000000"/>
                <w:kern w:val="0"/>
                <w:sz w:val="20"/>
                <w:szCs w:val="20"/>
              </w:rPr>
            </w:pPr>
            <w:r>
              <w:rPr>
                <w:rFonts w:hint="eastAsia" w:ascii="宋体" w:hAnsi="宋体" w:cs="宋体"/>
                <w:color w:val="000000"/>
                <w:kern w:val="0"/>
                <w:sz w:val="20"/>
                <w:szCs w:val="20"/>
              </w:rPr>
              <w:t>能按照要求搜集护理伦理学的学习资源，实施自主学习。</w:t>
            </w:r>
          </w:p>
        </w:tc>
        <w:tc>
          <w:tcPr>
            <w:tcW w:w="1690" w:type="dxa"/>
            <w:vAlign w:val="center"/>
          </w:tcPr>
          <w:p>
            <w:pPr>
              <w:snapToGrid w:val="0"/>
              <w:spacing w:line="288" w:lineRule="auto"/>
              <w:jc w:val="center"/>
              <w:rPr>
                <w:rFonts w:ascii="宋体" w:cs="宋体"/>
                <w:color w:val="000000"/>
                <w:kern w:val="0"/>
                <w:sz w:val="20"/>
                <w:szCs w:val="20"/>
              </w:rPr>
            </w:pPr>
            <w:r>
              <w:rPr>
                <w:rFonts w:hint="eastAsia" w:ascii="宋体" w:hAnsi="宋体" w:cs="宋体"/>
                <w:color w:val="000000"/>
                <w:kern w:val="0"/>
                <w:sz w:val="20"/>
                <w:szCs w:val="20"/>
              </w:rPr>
              <w:t>布置学习任务</w:t>
            </w:r>
          </w:p>
          <w:p>
            <w:pPr>
              <w:snapToGrid w:val="0"/>
              <w:spacing w:line="288" w:lineRule="auto"/>
              <w:jc w:val="center"/>
              <w:rPr>
                <w:rFonts w:ascii="宋体" w:cs="宋体"/>
                <w:color w:val="000000"/>
                <w:kern w:val="0"/>
                <w:sz w:val="20"/>
                <w:szCs w:val="20"/>
              </w:rPr>
            </w:pPr>
            <w:r>
              <w:rPr>
                <w:rFonts w:hint="eastAsia" w:ascii="宋体" w:hAnsi="宋体" w:cs="宋体"/>
                <w:color w:val="000000"/>
                <w:kern w:val="0"/>
                <w:sz w:val="20"/>
                <w:szCs w:val="20"/>
              </w:rPr>
              <w:t>课外拓展阅读</w:t>
            </w:r>
          </w:p>
        </w:tc>
        <w:tc>
          <w:tcPr>
            <w:tcW w:w="1500" w:type="dxa"/>
            <w:vAlign w:val="center"/>
          </w:tcPr>
          <w:p>
            <w:pPr>
              <w:snapToGrid w:val="0"/>
              <w:spacing w:line="288" w:lineRule="auto"/>
              <w:jc w:val="center"/>
              <w:rPr>
                <w:rFonts w:ascii="宋体" w:cs="宋体"/>
                <w:color w:val="000000"/>
                <w:kern w:val="0"/>
                <w:sz w:val="20"/>
                <w:szCs w:val="20"/>
              </w:rPr>
            </w:pPr>
            <w:r>
              <w:rPr>
                <w:rFonts w:hint="eastAsia" w:ascii="宋体" w:hAnsi="宋体"/>
                <w:bCs/>
                <w:sz w:val="20"/>
                <w:szCs w:val="20"/>
              </w:rPr>
              <w:t>小论文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43" w:type="dxa"/>
            <w:vMerge w:val="restart"/>
            <w:vAlign w:val="center"/>
          </w:tcPr>
          <w:p>
            <w:pPr>
              <w:jc w:val="center"/>
              <w:rPr>
                <w:rFonts w:ascii="宋体" w:hAnsi="宋体" w:cs="宋体"/>
                <w:color w:val="000000"/>
                <w:kern w:val="0"/>
                <w:sz w:val="20"/>
                <w:szCs w:val="20"/>
              </w:rPr>
            </w:pPr>
            <w:r>
              <w:rPr>
                <w:rFonts w:ascii="宋体" w:hAnsi="宋体" w:cs="宋体"/>
                <w:color w:val="000000"/>
                <w:kern w:val="0"/>
                <w:sz w:val="20"/>
                <w:szCs w:val="20"/>
              </w:rPr>
              <w:t>2</w:t>
            </w:r>
          </w:p>
        </w:tc>
        <w:tc>
          <w:tcPr>
            <w:tcW w:w="1161" w:type="dxa"/>
            <w:vMerge w:val="restart"/>
            <w:vAlign w:val="center"/>
          </w:tcPr>
          <w:p>
            <w:pPr>
              <w:jc w:val="center"/>
              <w:rPr>
                <w:rFonts w:ascii="宋体" w:hAnsi="宋体" w:cs="宋体"/>
                <w:color w:val="000000"/>
                <w:kern w:val="0"/>
                <w:sz w:val="20"/>
                <w:szCs w:val="20"/>
              </w:rPr>
            </w:pPr>
            <w:r>
              <w:rPr>
                <w:rFonts w:hint="eastAsia" w:ascii="宋体" w:hAnsi="宋体"/>
                <w:color w:val="000000"/>
                <w:sz w:val="20"/>
                <w:szCs w:val="20"/>
              </w:rPr>
              <w:t>LO314</w:t>
            </w:r>
          </w:p>
        </w:tc>
        <w:tc>
          <w:tcPr>
            <w:tcW w:w="3666" w:type="dxa"/>
            <w:vAlign w:val="center"/>
          </w:tcPr>
          <w:p>
            <w:pPr>
              <w:rPr>
                <w:rFonts w:ascii="宋体" w:cs="宋体"/>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rPr>
              <w:t>能</w:t>
            </w:r>
            <w:r>
              <w:rPr>
                <w:rFonts w:hint="eastAsia" w:ascii="宋体" w:hAnsi="宋体"/>
                <w:sz w:val="20"/>
                <w:szCs w:val="20"/>
              </w:rPr>
              <w:t>知道道德、伦理学、护理伦理学的概念</w:t>
            </w:r>
            <w:r>
              <w:rPr>
                <w:rFonts w:hint="eastAsia" w:ascii="宋体" w:hAnsi="宋体" w:cs="宋体"/>
                <w:color w:val="000000"/>
                <w:kern w:val="0"/>
                <w:sz w:val="20"/>
                <w:szCs w:val="20"/>
              </w:rPr>
              <w:t>。</w:t>
            </w:r>
          </w:p>
        </w:tc>
        <w:tc>
          <w:tcPr>
            <w:tcW w:w="1690" w:type="dxa"/>
            <w:vAlign w:val="center"/>
          </w:tcPr>
          <w:p>
            <w:pPr>
              <w:snapToGrid w:val="0"/>
              <w:spacing w:line="288" w:lineRule="auto"/>
              <w:jc w:val="center"/>
              <w:rPr>
                <w:rFonts w:ascii="宋体" w:cs="宋体"/>
                <w:color w:val="000000"/>
                <w:kern w:val="0"/>
                <w:sz w:val="20"/>
                <w:szCs w:val="20"/>
              </w:rPr>
            </w:pPr>
            <w:r>
              <w:rPr>
                <w:rFonts w:hint="eastAsia" w:ascii="宋体" w:hAnsi="宋体" w:cs="宋体"/>
                <w:color w:val="000000"/>
                <w:kern w:val="0"/>
                <w:sz w:val="20"/>
                <w:szCs w:val="20"/>
              </w:rPr>
              <w:t>理论讲授</w:t>
            </w:r>
          </w:p>
        </w:tc>
        <w:tc>
          <w:tcPr>
            <w:tcW w:w="1500" w:type="dxa"/>
            <w:vAlign w:val="center"/>
          </w:tcPr>
          <w:p>
            <w:pPr>
              <w:snapToGrid w:val="0"/>
              <w:spacing w:line="288" w:lineRule="auto"/>
              <w:jc w:val="center"/>
              <w:rPr>
                <w:rFonts w:ascii="宋体" w:cs="宋体"/>
                <w:color w:val="000000"/>
                <w:kern w:val="0"/>
                <w:sz w:val="20"/>
                <w:szCs w:val="20"/>
              </w:rPr>
            </w:pPr>
            <w:r>
              <w:rPr>
                <w:rFonts w:hint="eastAsia" w:ascii="宋体" w:hAnsi="宋体" w:cs="宋体"/>
                <w:color w:val="000000"/>
                <w:kern w:val="0"/>
                <w:sz w:val="20"/>
                <w:szCs w:val="20"/>
              </w:rPr>
              <w:t>理论考试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3" w:type="dxa"/>
            <w:vMerge w:val="continue"/>
            <w:vAlign w:val="center"/>
          </w:tcPr>
          <w:p>
            <w:pPr>
              <w:jc w:val="center"/>
              <w:rPr>
                <w:rFonts w:ascii="宋体" w:cs="宋体"/>
                <w:color w:val="000000"/>
                <w:kern w:val="0"/>
                <w:sz w:val="20"/>
                <w:szCs w:val="20"/>
              </w:rPr>
            </w:pPr>
          </w:p>
        </w:tc>
        <w:tc>
          <w:tcPr>
            <w:tcW w:w="1161" w:type="dxa"/>
            <w:vMerge w:val="continue"/>
            <w:vAlign w:val="center"/>
          </w:tcPr>
          <w:p>
            <w:pPr>
              <w:jc w:val="center"/>
              <w:rPr>
                <w:rFonts w:ascii="宋体" w:cs="宋体"/>
                <w:color w:val="000000"/>
                <w:kern w:val="0"/>
                <w:sz w:val="20"/>
                <w:szCs w:val="20"/>
              </w:rPr>
            </w:pPr>
          </w:p>
        </w:tc>
        <w:tc>
          <w:tcPr>
            <w:tcW w:w="3666" w:type="dxa"/>
            <w:vAlign w:val="center"/>
          </w:tcPr>
          <w:p>
            <w:pPr>
              <w:rPr>
                <w:rFonts w:ascii="宋体" w:cs="宋体"/>
                <w:color w:val="000000"/>
                <w:kern w:val="0"/>
                <w:sz w:val="20"/>
                <w:szCs w:val="20"/>
              </w:rPr>
            </w:pPr>
            <w:r>
              <w:rPr>
                <w:rFonts w:ascii="宋体" w:hAnsi="宋体" w:cs="宋体"/>
                <w:color w:val="000000"/>
                <w:kern w:val="0"/>
                <w:sz w:val="20"/>
                <w:szCs w:val="20"/>
              </w:rPr>
              <w:t>2.</w:t>
            </w:r>
            <w:r>
              <w:rPr>
                <w:rFonts w:hint="eastAsia" w:ascii="宋体" w:hAnsi="宋体" w:cs="宋体"/>
                <w:color w:val="000000"/>
                <w:kern w:val="0"/>
                <w:sz w:val="20"/>
                <w:szCs w:val="20"/>
              </w:rPr>
              <w:t>能用相关理论（</w:t>
            </w:r>
            <w:r>
              <w:rPr>
                <w:rFonts w:hint="eastAsia" w:ascii="宋体" w:hAnsi="宋体"/>
                <w:color w:val="000000"/>
                <w:sz w:val="20"/>
                <w:szCs w:val="20"/>
              </w:rPr>
              <w:t>美德论、义务论、效果论</w:t>
            </w:r>
            <w:r>
              <w:rPr>
                <w:rFonts w:hint="eastAsia" w:ascii="宋体" w:hAnsi="宋体" w:cs="宋体"/>
                <w:color w:val="000000"/>
                <w:kern w:val="0"/>
                <w:sz w:val="20"/>
                <w:szCs w:val="20"/>
              </w:rPr>
              <w:t>）指导护理工作。</w:t>
            </w:r>
          </w:p>
        </w:tc>
        <w:tc>
          <w:tcPr>
            <w:tcW w:w="1690" w:type="dxa"/>
            <w:vAlign w:val="center"/>
          </w:tcPr>
          <w:p>
            <w:pPr>
              <w:snapToGrid w:val="0"/>
              <w:spacing w:line="288" w:lineRule="auto"/>
              <w:jc w:val="center"/>
              <w:rPr>
                <w:rFonts w:ascii="宋体" w:cs="宋体"/>
                <w:color w:val="000000"/>
                <w:kern w:val="0"/>
                <w:sz w:val="20"/>
                <w:szCs w:val="20"/>
              </w:rPr>
            </w:pPr>
            <w:r>
              <w:rPr>
                <w:rFonts w:hint="eastAsia" w:ascii="宋体" w:hAnsi="宋体" w:cs="宋体"/>
                <w:color w:val="000000"/>
                <w:kern w:val="0"/>
                <w:sz w:val="20"/>
                <w:szCs w:val="20"/>
              </w:rPr>
              <w:t>理论讲授</w:t>
            </w:r>
          </w:p>
          <w:p>
            <w:pPr>
              <w:snapToGrid w:val="0"/>
              <w:spacing w:line="288" w:lineRule="auto"/>
              <w:jc w:val="center"/>
              <w:rPr>
                <w:rFonts w:ascii="宋体" w:cs="宋体"/>
                <w:color w:val="000000"/>
                <w:kern w:val="0"/>
                <w:sz w:val="20"/>
                <w:szCs w:val="20"/>
              </w:rPr>
            </w:pPr>
            <w:r>
              <w:rPr>
                <w:rFonts w:hint="eastAsia" w:ascii="宋体" w:hAnsi="宋体" w:cs="宋体"/>
                <w:color w:val="000000"/>
                <w:kern w:val="0"/>
                <w:sz w:val="20"/>
                <w:szCs w:val="20"/>
              </w:rPr>
              <w:t>案例分析</w:t>
            </w:r>
          </w:p>
        </w:tc>
        <w:tc>
          <w:tcPr>
            <w:tcW w:w="1500" w:type="dxa"/>
            <w:vAlign w:val="center"/>
          </w:tcPr>
          <w:p>
            <w:pPr>
              <w:snapToGrid w:val="0"/>
              <w:spacing w:line="288" w:lineRule="auto"/>
              <w:jc w:val="center"/>
              <w:rPr>
                <w:rFonts w:ascii="宋体" w:cs="宋体"/>
                <w:color w:val="000000"/>
                <w:kern w:val="0"/>
                <w:sz w:val="20"/>
                <w:szCs w:val="20"/>
              </w:rPr>
            </w:pPr>
            <w:r>
              <w:rPr>
                <w:rFonts w:hint="eastAsia" w:ascii="宋体" w:hAnsi="宋体" w:cs="宋体"/>
                <w:color w:val="000000"/>
                <w:kern w:val="0"/>
                <w:sz w:val="20"/>
                <w:szCs w:val="20"/>
              </w:rPr>
              <w:t>理论考试</w:t>
            </w:r>
          </w:p>
          <w:p>
            <w:pPr>
              <w:snapToGrid w:val="0"/>
              <w:spacing w:line="288" w:lineRule="auto"/>
              <w:rPr>
                <w:rFonts w:asci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3" w:type="dxa"/>
            <w:vMerge w:val="continue"/>
            <w:vAlign w:val="center"/>
          </w:tcPr>
          <w:p>
            <w:pPr>
              <w:jc w:val="center"/>
              <w:rPr>
                <w:rFonts w:ascii="宋体" w:cs="宋体"/>
                <w:color w:val="000000"/>
                <w:kern w:val="0"/>
                <w:sz w:val="20"/>
                <w:szCs w:val="20"/>
              </w:rPr>
            </w:pPr>
          </w:p>
        </w:tc>
        <w:tc>
          <w:tcPr>
            <w:tcW w:w="1161" w:type="dxa"/>
            <w:vMerge w:val="continue"/>
            <w:vAlign w:val="center"/>
          </w:tcPr>
          <w:p>
            <w:pPr>
              <w:jc w:val="center"/>
              <w:rPr>
                <w:rFonts w:ascii="宋体" w:cs="宋体"/>
                <w:color w:val="000000"/>
                <w:kern w:val="0"/>
                <w:sz w:val="20"/>
                <w:szCs w:val="20"/>
              </w:rPr>
            </w:pPr>
          </w:p>
        </w:tc>
        <w:tc>
          <w:tcPr>
            <w:tcW w:w="3666" w:type="dxa"/>
            <w:vAlign w:val="center"/>
          </w:tcPr>
          <w:p>
            <w:pPr>
              <w:rPr>
                <w:rFonts w:ascii="宋体" w:cs="宋体"/>
                <w:color w:val="000000"/>
                <w:kern w:val="0"/>
                <w:sz w:val="20"/>
                <w:szCs w:val="20"/>
              </w:rPr>
            </w:pPr>
            <w:r>
              <w:rPr>
                <w:rFonts w:ascii="宋体" w:hAnsi="宋体" w:cs="宋体"/>
                <w:color w:val="000000"/>
                <w:kern w:val="0"/>
                <w:sz w:val="20"/>
                <w:szCs w:val="20"/>
              </w:rPr>
              <w:t>3.</w:t>
            </w:r>
            <w:r>
              <w:rPr>
                <w:rFonts w:hint="eastAsia" w:ascii="宋体" w:hAnsi="宋体" w:cs="宋体"/>
                <w:color w:val="000000"/>
                <w:kern w:val="0"/>
                <w:sz w:val="20"/>
                <w:szCs w:val="20"/>
              </w:rPr>
              <w:t>能</w:t>
            </w:r>
            <w:r>
              <w:rPr>
                <w:rFonts w:hint="eastAsia" w:ascii="宋体" w:hAnsi="宋体"/>
                <w:sz w:val="20"/>
                <w:szCs w:val="20"/>
              </w:rPr>
              <w:t>知道</w:t>
            </w:r>
            <w:r>
              <w:rPr>
                <w:rFonts w:hint="eastAsia" w:ascii="宋体" w:hAnsi="宋体"/>
                <w:color w:val="000000"/>
                <w:sz w:val="20"/>
                <w:szCs w:val="20"/>
              </w:rPr>
              <w:t>护理伦理学的规范体系</w:t>
            </w:r>
            <w:r>
              <w:rPr>
                <w:rFonts w:hint="eastAsia" w:ascii="宋体" w:hAnsi="宋体" w:cs="宋体"/>
                <w:color w:val="000000"/>
                <w:kern w:val="0"/>
                <w:sz w:val="20"/>
                <w:szCs w:val="20"/>
              </w:rPr>
              <w:t>。</w:t>
            </w:r>
          </w:p>
        </w:tc>
        <w:tc>
          <w:tcPr>
            <w:tcW w:w="1690" w:type="dxa"/>
            <w:vAlign w:val="center"/>
          </w:tcPr>
          <w:p>
            <w:pPr>
              <w:snapToGrid w:val="0"/>
              <w:spacing w:line="288" w:lineRule="auto"/>
              <w:jc w:val="center"/>
              <w:rPr>
                <w:rFonts w:ascii="宋体" w:cs="宋体"/>
                <w:color w:val="000000"/>
                <w:kern w:val="0"/>
                <w:sz w:val="20"/>
                <w:szCs w:val="20"/>
              </w:rPr>
            </w:pPr>
            <w:r>
              <w:rPr>
                <w:rFonts w:hint="eastAsia" w:ascii="宋体" w:hAnsi="宋体" w:cs="宋体"/>
                <w:color w:val="000000"/>
                <w:kern w:val="0"/>
                <w:sz w:val="20"/>
                <w:szCs w:val="20"/>
              </w:rPr>
              <w:t>理论讲授</w:t>
            </w:r>
          </w:p>
          <w:p>
            <w:pPr>
              <w:jc w:val="center"/>
              <w:rPr>
                <w:rFonts w:ascii="宋体" w:cs="宋体"/>
                <w:color w:val="000000"/>
                <w:kern w:val="0"/>
                <w:sz w:val="20"/>
                <w:szCs w:val="20"/>
              </w:rPr>
            </w:pPr>
            <w:r>
              <w:rPr>
                <w:rFonts w:hint="eastAsia" w:ascii="宋体" w:hAnsi="宋体" w:cs="宋体"/>
                <w:color w:val="000000"/>
                <w:kern w:val="0"/>
                <w:sz w:val="20"/>
                <w:szCs w:val="20"/>
              </w:rPr>
              <w:t>视频教学</w:t>
            </w:r>
          </w:p>
        </w:tc>
        <w:tc>
          <w:tcPr>
            <w:tcW w:w="1500" w:type="dxa"/>
            <w:vAlign w:val="center"/>
          </w:tcPr>
          <w:p>
            <w:pPr>
              <w:snapToGrid w:val="0"/>
              <w:spacing w:line="288" w:lineRule="auto"/>
              <w:jc w:val="center"/>
              <w:rPr>
                <w:rFonts w:ascii="宋体" w:cs="宋体"/>
                <w:color w:val="000000"/>
                <w:kern w:val="0"/>
                <w:sz w:val="20"/>
                <w:szCs w:val="20"/>
              </w:rPr>
            </w:pPr>
            <w:r>
              <w:rPr>
                <w:rFonts w:hint="eastAsia" w:ascii="宋体" w:hAnsi="宋体" w:cs="宋体"/>
                <w:color w:val="000000"/>
                <w:kern w:val="0"/>
                <w:sz w:val="20"/>
                <w:szCs w:val="20"/>
              </w:rPr>
              <w:t>理论考试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543" w:type="dxa"/>
            <w:vMerge w:val="continue"/>
            <w:vAlign w:val="center"/>
          </w:tcPr>
          <w:p>
            <w:pPr>
              <w:jc w:val="center"/>
              <w:rPr>
                <w:rFonts w:ascii="宋体" w:cs="宋体"/>
                <w:color w:val="000000"/>
                <w:kern w:val="0"/>
                <w:sz w:val="20"/>
                <w:szCs w:val="20"/>
              </w:rPr>
            </w:pPr>
          </w:p>
        </w:tc>
        <w:tc>
          <w:tcPr>
            <w:tcW w:w="1161" w:type="dxa"/>
            <w:vMerge w:val="continue"/>
            <w:vAlign w:val="center"/>
          </w:tcPr>
          <w:p>
            <w:pPr>
              <w:jc w:val="center"/>
              <w:rPr>
                <w:rFonts w:ascii="宋体" w:cs="宋体"/>
                <w:color w:val="000000"/>
                <w:kern w:val="0"/>
                <w:sz w:val="20"/>
                <w:szCs w:val="20"/>
              </w:rPr>
            </w:pPr>
          </w:p>
        </w:tc>
        <w:tc>
          <w:tcPr>
            <w:tcW w:w="3666" w:type="dxa"/>
            <w:vAlign w:val="center"/>
          </w:tcPr>
          <w:p>
            <w:pPr>
              <w:snapToGrid w:val="0"/>
              <w:spacing w:line="288" w:lineRule="auto"/>
              <w:jc w:val="left"/>
              <w:rPr>
                <w:rFonts w:ascii="宋体" w:cs="宋体"/>
                <w:color w:val="000000"/>
                <w:kern w:val="0"/>
                <w:sz w:val="20"/>
                <w:szCs w:val="20"/>
              </w:rPr>
            </w:pPr>
            <w:r>
              <w:rPr>
                <w:rFonts w:ascii="宋体" w:hAnsi="宋体" w:cs="宋体"/>
                <w:color w:val="000000"/>
                <w:kern w:val="0"/>
                <w:sz w:val="20"/>
                <w:szCs w:val="20"/>
              </w:rPr>
              <w:t>4.</w:t>
            </w:r>
            <w:r>
              <w:rPr>
                <w:rFonts w:hint="eastAsia" w:ascii="宋体" w:hAnsi="宋体"/>
                <w:color w:val="000000"/>
                <w:sz w:val="20"/>
                <w:szCs w:val="20"/>
              </w:rPr>
              <w:t>能运用护患权利和义务内容正确处理护理人际关系。</w:t>
            </w:r>
          </w:p>
        </w:tc>
        <w:tc>
          <w:tcPr>
            <w:tcW w:w="1690" w:type="dxa"/>
            <w:vAlign w:val="center"/>
          </w:tcPr>
          <w:p>
            <w:pPr>
              <w:snapToGrid w:val="0"/>
              <w:spacing w:line="288" w:lineRule="auto"/>
              <w:jc w:val="center"/>
              <w:rPr>
                <w:rFonts w:ascii="宋体" w:cs="宋体"/>
                <w:color w:val="000000"/>
                <w:kern w:val="0"/>
                <w:sz w:val="20"/>
                <w:szCs w:val="20"/>
              </w:rPr>
            </w:pPr>
            <w:r>
              <w:rPr>
                <w:rFonts w:hint="eastAsia" w:ascii="宋体" w:hAnsi="宋体" w:cs="宋体"/>
                <w:color w:val="000000"/>
                <w:kern w:val="0"/>
                <w:sz w:val="20"/>
                <w:szCs w:val="20"/>
              </w:rPr>
              <w:t>理论讲授</w:t>
            </w:r>
          </w:p>
          <w:p>
            <w:pPr>
              <w:snapToGrid w:val="0"/>
              <w:spacing w:line="288" w:lineRule="auto"/>
              <w:jc w:val="center"/>
              <w:rPr>
                <w:rFonts w:ascii="宋体" w:cs="宋体"/>
                <w:color w:val="000000"/>
                <w:kern w:val="0"/>
                <w:sz w:val="20"/>
                <w:szCs w:val="20"/>
              </w:rPr>
            </w:pPr>
            <w:r>
              <w:rPr>
                <w:rFonts w:hint="eastAsia" w:ascii="宋体" w:hAnsi="宋体" w:cs="宋体"/>
                <w:color w:val="000000"/>
                <w:kern w:val="0"/>
                <w:sz w:val="20"/>
                <w:szCs w:val="20"/>
              </w:rPr>
              <w:t>案例分析</w:t>
            </w:r>
          </w:p>
          <w:p>
            <w:pPr>
              <w:snapToGrid w:val="0"/>
              <w:spacing w:line="288" w:lineRule="auto"/>
              <w:jc w:val="center"/>
              <w:rPr>
                <w:rFonts w:ascii="宋体" w:cs="宋体"/>
                <w:color w:val="000000"/>
                <w:kern w:val="0"/>
                <w:sz w:val="20"/>
                <w:szCs w:val="20"/>
              </w:rPr>
            </w:pPr>
            <w:r>
              <w:rPr>
                <w:rFonts w:hint="eastAsia" w:ascii="宋体" w:hAnsi="宋体" w:cs="宋体"/>
                <w:color w:val="000000"/>
                <w:kern w:val="0"/>
                <w:sz w:val="20"/>
                <w:szCs w:val="20"/>
              </w:rPr>
              <w:t>小组讨论</w:t>
            </w:r>
          </w:p>
        </w:tc>
        <w:tc>
          <w:tcPr>
            <w:tcW w:w="1500" w:type="dxa"/>
            <w:vAlign w:val="center"/>
          </w:tcPr>
          <w:p>
            <w:pPr>
              <w:snapToGrid w:val="0"/>
              <w:spacing w:line="288" w:lineRule="auto"/>
              <w:jc w:val="center"/>
              <w:rPr>
                <w:rFonts w:ascii="宋体" w:cs="宋体"/>
                <w:color w:val="000000"/>
                <w:kern w:val="0"/>
                <w:sz w:val="20"/>
                <w:szCs w:val="20"/>
              </w:rPr>
            </w:pPr>
            <w:r>
              <w:rPr>
                <w:rFonts w:hint="eastAsia" w:ascii="宋体" w:hAnsi="宋体" w:cs="宋体"/>
                <w:color w:val="000000"/>
                <w:kern w:val="0"/>
                <w:sz w:val="20"/>
                <w:szCs w:val="20"/>
              </w:rPr>
              <w:t>理论考试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543" w:type="dxa"/>
            <w:vMerge w:val="continue"/>
            <w:vAlign w:val="center"/>
          </w:tcPr>
          <w:p>
            <w:pPr>
              <w:jc w:val="center"/>
              <w:rPr>
                <w:rFonts w:ascii="宋体" w:cs="宋体"/>
                <w:color w:val="000000"/>
                <w:kern w:val="0"/>
                <w:sz w:val="20"/>
                <w:szCs w:val="20"/>
              </w:rPr>
            </w:pPr>
          </w:p>
        </w:tc>
        <w:tc>
          <w:tcPr>
            <w:tcW w:w="1161" w:type="dxa"/>
            <w:vMerge w:val="continue"/>
            <w:vAlign w:val="center"/>
          </w:tcPr>
          <w:p>
            <w:pPr>
              <w:jc w:val="center"/>
              <w:rPr>
                <w:rFonts w:ascii="宋体" w:cs="宋体"/>
                <w:color w:val="000000"/>
                <w:kern w:val="0"/>
                <w:sz w:val="20"/>
                <w:szCs w:val="20"/>
              </w:rPr>
            </w:pPr>
          </w:p>
        </w:tc>
        <w:tc>
          <w:tcPr>
            <w:tcW w:w="3666" w:type="dxa"/>
            <w:vAlign w:val="center"/>
          </w:tcPr>
          <w:p>
            <w:pPr>
              <w:rPr>
                <w:rFonts w:ascii="宋体" w:cs="宋体"/>
                <w:color w:val="000000"/>
                <w:kern w:val="0"/>
                <w:sz w:val="20"/>
                <w:szCs w:val="20"/>
              </w:rPr>
            </w:pPr>
            <w:r>
              <w:rPr>
                <w:rFonts w:ascii="宋体" w:hAnsi="宋体" w:cs="宋体"/>
                <w:color w:val="000000"/>
                <w:kern w:val="0"/>
                <w:sz w:val="20"/>
                <w:szCs w:val="20"/>
              </w:rPr>
              <w:t>5.</w:t>
            </w:r>
            <w:r>
              <w:rPr>
                <w:rFonts w:hint="eastAsia" w:ascii="宋体" w:hAnsi="宋体" w:cs="宋体"/>
                <w:color w:val="000000"/>
                <w:kern w:val="0"/>
                <w:sz w:val="20"/>
                <w:szCs w:val="20"/>
              </w:rPr>
              <w:t>能在</w:t>
            </w:r>
            <w:r>
              <w:rPr>
                <w:rFonts w:hint="eastAsia" w:ascii="宋体" w:hAnsi="宋体"/>
                <w:color w:val="000000"/>
                <w:sz w:val="20"/>
                <w:szCs w:val="20"/>
              </w:rPr>
              <w:t>临床护理实践中运用护理伦理学原则和护理伦理规范</w:t>
            </w:r>
            <w:r>
              <w:rPr>
                <w:rFonts w:hint="eastAsia" w:ascii="宋体" w:hAnsi="宋体" w:cs="宋体"/>
                <w:color w:val="000000"/>
                <w:kern w:val="0"/>
                <w:sz w:val="20"/>
                <w:szCs w:val="20"/>
              </w:rPr>
              <w:t>。</w:t>
            </w:r>
          </w:p>
        </w:tc>
        <w:tc>
          <w:tcPr>
            <w:tcW w:w="1690" w:type="dxa"/>
            <w:vAlign w:val="center"/>
          </w:tcPr>
          <w:p>
            <w:pPr>
              <w:snapToGrid w:val="0"/>
              <w:spacing w:line="288" w:lineRule="auto"/>
              <w:jc w:val="center"/>
              <w:rPr>
                <w:rFonts w:ascii="宋体" w:cs="宋体"/>
                <w:color w:val="000000"/>
                <w:kern w:val="0"/>
                <w:sz w:val="20"/>
                <w:szCs w:val="20"/>
              </w:rPr>
            </w:pPr>
            <w:r>
              <w:rPr>
                <w:rFonts w:hint="eastAsia" w:ascii="宋体" w:hAnsi="宋体" w:cs="宋体"/>
                <w:color w:val="000000"/>
                <w:kern w:val="0"/>
                <w:sz w:val="20"/>
                <w:szCs w:val="20"/>
              </w:rPr>
              <w:t>理论讲授</w:t>
            </w:r>
          </w:p>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案例分析</w:t>
            </w:r>
          </w:p>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情境模拟</w:t>
            </w:r>
          </w:p>
          <w:p>
            <w:pPr>
              <w:snapToGrid w:val="0"/>
              <w:spacing w:line="288" w:lineRule="auto"/>
              <w:jc w:val="center"/>
              <w:rPr>
                <w:rFonts w:ascii="宋体" w:cs="宋体"/>
                <w:color w:val="000000"/>
                <w:kern w:val="0"/>
                <w:sz w:val="20"/>
                <w:szCs w:val="20"/>
              </w:rPr>
            </w:pPr>
            <w:r>
              <w:rPr>
                <w:rFonts w:hint="eastAsia" w:ascii="宋体" w:hAnsi="宋体" w:cs="宋体"/>
                <w:color w:val="000000"/>
                <w:kern w:val="0"/>
                <w:sz w:val="20"/>
                <w:szCs w:val="20"/>
              </w:rPr>
              <w:t>小组讨论</w:t>
            </w:r>
          </w:p>
        </w:tc>
        <w:tc>
          <w:tcPr>
            <w:tcW w:w="1500" w:type="dxa"/>
            <w:vAlign w:val="center"/>
          </w:tcPr>
          <w:p>
            <w:pPr>
              <w:snapToGrid w:val="0"/>
              <w:spacing w:line="288" w:lineRule="auto"/>
              <w:jc w:val="center"/>
              <w:rPr>
                <w:rFonts w:hint="eastAsia" w:ascii="宋体" w:hAnsi="宋体"/>
                <w:bCs/>
                <w:sz w:val="20"/>
                <w:szCs w:val="20"/>
              </w:rPr>
            </w:pPr>
            <w:r>
              <w:rPr>
                <w:rFonts w:hint="eastAsia" w:ascii="宋体" w:hAnsi="宋体"/>
                <w:bCs/>
                <w:sz w:val="20"/>
                <w:szCs w:val="20"/>
              </w:rPr>
              <w:t>小论文</w:t>
            </w:r>
          </w:p>
          <w:p>
            <w:pPr>
              <w:snapToGrid w:val="0"/>
              <w:spacing w:line="288" w:lineRule="auto"/>
              <w:jc w:val="center"/>
              <w:rPr>
                <w:rFonts w:ascii="宋体" w:cs="宋体"/>
                <w:color w:val="000000"/>
                <w:kern w:val="0"/>
                <w:sz w:val="20"/>
                <w:szCs w:val="20"/>
              </w:rPr>
            </w:pPr>
            <w:r>
              <w:rPr>
                <w:rFonts w:hint="eastAsia" w:ascii="宋体" w:hAnsi="宋体" w:cs="宋体"/>
                <w:color w:val="000000"/>
                <w:kern w:val="0"/>
                <w:sz w:val="20"/>
                <w:szCs w:val="20"/>
              </w:rPr>
              <w:t>理论考试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543" w:type="dxa"/>
            <w:vMerge w:val="continue"/>
            <w:vAlign w:val="center"/>
          </w:tcPr>
          <w:p>
            <w:pPr>
              <w:jc w:val="center"/>
              <w:rPr>
                <w:rFonts w:ascii="宋体" w:cs="宋体"/>
                <w:color w:val="000000"/>
                <w:kern w:val="0"/>
                <w:sz w:val="20"/>
                <w:szCs w:val="20"/>
              </w:rPr>
            </w:pPr>
          </w:p>
        </w:tc>
        <w:tc>
          <w:tcPr>
            <w:tcW w:w="1161" w:type="dxa"/>
            <w:vMerge w:val="continue"/>
            <w:vAlign w:val="center"/>
          </w:tcPr>
          <w:p>
            <w:pPr>
              <w:jc w:val="center"/>
              <w:rPr>
                <w:rFonts w:ascii="宋体" w:cs="宋体"/>
                <w:color w:val="000000"/>
                <w:kern w:val="0"/>
                <w:sz w:val="20"/>
                <w:szCs w:val="20"/>
              </w:rPr>
            </w:pPr>
          </w:p>
        </w:tc>
        <w:tc>
          <w:tcPr>
            <w:tcW w:w="3666" w:type="dxa"/>
            <w:vAlign w:val="center"/>
          </w:tcPr>
          <w:p>
            <w:pPr>
              <w:rPr>
                <w:rFonts w:ascii="宋体" w:cs="宋体"/>
                <w:color w:val="000000"/>
                <w:kern w:val="0"/>
                <w:sz w:val="20"/>
                <w:szCs w:val="20"/>
              </w:rPr>
            </w:pPr>
            <w:r>
              <w:rPr>
                <w:rFonts w:hint="eastAsia" w:ascii="宋体" w:hAnsi="宋体" w:cs="宋体"/>
                <w:color w:val="000000"/>
                <w:kern w:val="0"/>
                <w:sz w:val="20"/>
                <w:szCs w:val="20"/>
              </w:rPr>
              <w:t>6.</w:t>
            </w:r>
            <w:r>
              <w:rPr>
                <w:rFonts w:hint="eastAsia" w:ascii="宋体" w:hAnsi="宋体"/>
                <w:color w:val="000000"/>
                <w:sz w:val="20"/>
                <w:szCs w:val="20"/>
              </w:rPr>
              <w:t>能</w:t>
            </w:r>
            <w:r>
              <w:rPr>
                <w:rFonts w:ascii="宋体" w:hAnsi="宋体"/>
                <w:color w:val="000000"/>
                <w:sz w:val="20"/>
                <w:szCs w:val="20"/>
              </w:rPr>
              <w:t>运用科硏的基本原则和规范开展护理科研活动</w:t>
            </w:r>
            <w:r>
              <w:rPr>
                <w:rFonts w:hint="eastAsia" w:ascii="宋体" w:hAnsi="宋体"/>
                <w:color w:val="000000"/>
                <w:sz w:val="20"/>
                <w:szCs w:val="20"/>
              </w:rPr>
              <w:t>。</w:t>
            </w:r>
          </w:p>
        </w:tc>
        <w:tc>
          <w:tcPr>
            <w:tcW w:w="1690" w:type="dxa"/>
            <w:vAlign w:val="center"/>
          </w:tcPr>
          <w:p>
            <w:pPr>
              <w:snapToGrid w:val="0"/>
              <w:spacing w:line="288" w:lineRule="auto"/>
              <w:jc w:val="center"/>
              <w:rPr>
                <w:rFonts w:ascii="宋体" w:cs="宋体"/>
                <w:color w:val="000000"/>
                <w:kern w:val="0"/>
                <w:sz w:val="20"/>
                <w:szCs w:val="20"/>
              </w:rPr>
            </w:pPr>
            <w:r>
              <w:rPr>
                <w:rFonts w:hint="eastAsia" w:ascii="宋体" w:hAnsi="宋体" w:cs="宋体"/>
                <w:color w:val="000000"/>
                <w:kern w:val="0"/>
                <w:sz w:val="20"/>
                <w:szCs w:val="20"/>
              </w:rPr>
              <w:t>理论讲授</w:t>
            </w:r>
          </w:p>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案例分析</w:t>
            </w:r>
          </w:p>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小组讨论</w:t>
            </w:r>
          </w:p>
        </w:tc>
        <w:tc>
          <w:tcPr>
            <w:tcW w:w="1500" w:type="dxa"/>
            <w:vAlign w:val="center"/>
          </w:tcPr>
          <w:p>
            <w:pPr>
              <w:snapToGrid w:val="0"/>
              <w:spacing w:line="288" w:lineRule="auto"/>
              <w:jc w:val="center"/>
              <w:rPr>
                <w:rFonts w:ascii="宋体" w:cs="宋体"/>
                <w:color w:val="000000"/>
                <w:kern w:val="0"/>
                <w:sz w:val="20"/>
                <w:szCs w:val="20"/>
              </w:rPr>
            </w:pPr>
            <w:r>
              <w:rPr>
                <w:rFonts w:hint="eastAsia" w:ascii="宋体" w:hAnsi="宋体" w:cs="宋体"/>
                <w:color w:val="000000"/>
                <w:kern w:val="0"/>
                <w:sz w:val="20"/>
                <w:szCs w:val="20"/>
              </w:rPr>
              <w:t>理论考试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543" w:type="dxa"/>
            <w:vMerge w:val="continue"/>
            <w:vAlign w:val="center"/>
          </w:tcPr>
          <w:p>
            <w:pPr>
              <w:jc w:val="center"/>
              <w:rPr>
                <w:rFonts w:ascii="宋体" w:cs="宋体"/>
                <w:color w:val="000000"/>
                <w:kern w:val="0"/>
                <w:sz w:val="20"/>
                <w:szCs w:val="20"/>
              </w:rPr>
            </w:pPr>
          </w:p>
        </w:tc>
        <w:tc>
          <w:tcPr>
            <w:tcW w:w="1161" w:type="dxa"/>
            <w:vMerge w:val="continue"/>
            <w:vAlign w:val="center"/>
          </w:tcPr>
          <w:p>
            <w:pPr>
              <w:jc w:val="center"/>
              <w:rPr>
                <w:rFonts w:ascii="宋体" w:cs="宋体"/>
                <w:color w:val="000000"/>
                <w:kern w:val="0"/>
                <w:sz w:val="20"/>
                <w:szCs w:val="20"/>
              </w:rPr>
            </w:pPr>
          </w:p>
        </w:tc>
        <w:tc>
          <w:tcPr>
            <w:tcW w:w="3666" w:type="dxa"/>
            <w:vAlign w:val="center"/>
          </w:tcPr>
          <w:p>
            <w:pPr>
              <w:snapToGrid w:val="0"/>
              <w:spacing w:line="288" w:lineRule="auto"/>
              <w:rPr>
                <w:rFonts w:ascii="宋体" w:hAnsi="宋体" w:cs="宋体"/>
                <w:color w:val="000000"/>
                <w:kern w:val="0"/>
                <w:sz w:val="20"/>
                <w:szCs w:val="20"/>
              </w:rPr>
            </w:pPr>
            <w:r>
              <w:rPr>
                <w:rFonts w:hint="eastAsia" w:ascii="宋体" w:hAnsi="宋体"/>
                <w:color w:val="000000"/>
                <w:sz w:val="20"/>
                <w:szCs w:val="20"/>
              </w:rPr>
              <w:t>7.能在护理决策中运用伦理原则。</w:t>
            </w:r>
          </w:p>
        </w:tc>
        <w:tc>
          <w:tcPr>
            <w:tcW w:w="1690" w:type="dxa"/>
            <w:vAlign w:val="center"/>
          </w:tcPr>
          <w:p>
            <w:pPr>
              <w:snapToGrid w:val="0"/>
              <w:spacing w:line="288" w:lineRule="auto"/>
              <w:jc w:val="center"/>
              <w:rPr>
                <w:rFonts w:ascii="宋体" w:cs="宋体"/>
                <w:color w:val="000000"/>
                <w:kern w:val="0"/>
                <w:sz w:val="20"/>
                <w:szCs w:val="20"/>
              </w:rPr>
            </w:pPr>
            <w:r>
              <w:rPr>
                <w:rFonts w:hint="eastAsia" w:ascii="宋体" w:hAnsi="宋体" w:cs="宋体"/>
                <w:color w:val="000000"/>
                <w:kern w:val="0"/>
                <w:sz w:val="20"/>
                <w:szCs w:val="20"/>
              </w:rPr>
              <w:t>理论讲授</w:t>
            </w:r>
          </w:p>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案例分析</w:t>
            </w:r>
          </w:p>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小组讨论</w:t>
            </w:r>
          </w:p>
        </w:tc>
        <w:tc>
          <w:tcPr>
            <w:tcW w:w="1500" w:type="dxa"/>
            <w:vAlign w:val="center"/>
          </w:tcPr>
          <w:p>
            <w:pPr>
              <w:snapToGrid w:val="0"/>
              <w:spacing w:line="288" w:lineRule="auto"/>
              <w:jc w:val="center"/>
              <w:rPr>
                <w:rFonts w:ascii="宋体" w:cs="宋体"/>
                <w:color w:val="000000"/>
                <w:kern w:val="0"/>
                <w:sz w:val="20"/>
                <w:szCs w:val="20"/>
              </w:rPr>
            </w:pPr>
            <w:r>
              <w:rPr>
                <w:rFonts w:hint="eastAsia" w:ascii="宋体" w:hAnsi="宋体" w:cs="宋体"/>
                <w:color w:val="000000"/>
                <w:kern w:val="0"/>
                <w:sz w:val="20"/>
                <w:szCs w:val="20"/>
              </w:rPr>
              <w:t>理论考试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543" w:type="dxa"/>
            <w:vAlign w:val="center"/>
          </w:tcPr>
          <w:p>
            <w:pPr>
              <w:jc w:val="center"/>
              <w:rPr>
                <w:rFonts w:ascii="宋体" w:cs="宋体"/>
                <w:color w:val="000000"/>
                <w:kern w:val="0"/>
                <w:sz w:val="20"/>
                <w:szCs w:val="20"/>
              </w:rPr>
            </w:pPr>
            <w:r>
              <w:rPr>
                <w:rFonts w:hint="eastAsia" w:ascii="宋体" w:cs="宋体"/>
                <w:color w:val="000000"/>
                <w:kern w:val="0"/>
                <w:sz w:val="20"/>
                <w:szCs w:val="20"/>
              </w:rPr>
              <w:t>3</w:t>
            </w:r>
          </w:p>
        </w:tc>
        <w:tc>
          <w:tcPr>
            <w:tcW w:w="1161" w:type="dxa"/>
            <w:vAlign w:val="center"/>
          </w:tcPr>
          <w:p>
            <w:pPr>
              <w:jc w:val="center"/>
              <w:rPr>
                <w:rFonts w:ascii="宋体" w:hAnsi="宋体"/>
                <w:color w:val="000000"/>
                <w:sz w:val="20"/>
                <w:szCs w:val="20"/>
              </w:rPr>
            </w:pPr>
            <w:r>
              <w:rPr>
                <w:rFonts w:hint="eastAsia" w:ascii="宋体" w:hAnsi="宋体"/>
                <w:color w:val="000000"/>
                <w:sz w:val="20"/>
                <w:szCs w:val="20"/>
              </w:rPr>
              <w:t>L0411</w:t>
            </w:r>
          </w:p>
        </w:tc>
        <w:tc>
          <w:tcPr>
            <w:tcW w:w="3666"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能正确的认识从事护理专业的意义所在，并愿意为发展而尽心尽责。</w:t>
            </w:r>
          </w:p>
        </w:tc>
        <w:tc>
          <w:tcPr>
            <w:tcW w:w="1690" w:type="dxa"/>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理论讲授</w:t>
            </w:r>
          </w:p>
          <w:p>
            <w:pPr>
              <w:jc w:val="center"/>
              <w:rPr>
                <w:rFonts w:ascii="宋体" w:hAnsi="宋体" w:cs="宋体"/>
                <w:color w:val="000000"/>
                <w:kern w:val="0"/>
                <w:sz w:val="20"/>
                <w:szCs w:val="20"/>
              </w:rPr>
            </w:pPr>
            <w:r>
              <w:rPr>
                <w:rFonts w:hint="eastAsia" w:ascii="宋体" w:hAnsi="宋体" w:cs="宋体"/>
                <w:color w:val="000000"/>
                <w:kern w:val="0"/>
                <w:sz w:val="20"/>
                <w:szCs w:val="20"/>
              </w:rPr>
              <w:t>案例分析</w:t>
            </w:r>
          </w:p>
          <w:p>
            <w:pPr>
              <w:jc w:val="center"/>
              <w:rPr>
                <w:rFonts w:ascii="宋体" w:hAnsi="宋体" w:cs="宋体"/>
                <w:color w:val="000000"/>
                <w:kern w:val="0"/>
                <w:sz w:val="20"/>
                <w:szCs w:val="20"/>
              </w:rPr>
            </w:pPr>
            <w:r>
              <w:rPr>
                <w:rFonts w:hint="eastAsia" w:ascii="宋体" w:hAnsi="宋体" w:cs="宋体"/>
                <w:color w:val="000000"/>
                <w:kern w:val="0"/>
                <w:sz w:val="20"/>
                <w:szCs w:val="20"/>
              </w:rPr>
              <w:t>小组讨论</w:t>
            </w:r>
          </w:p>
        </w:tc>
        <w:tc>
          <w:tcPr>
            <w:tcW w:w="1500" w:type="dxa"/>
            <w:vAlign w:val="center"/>
          </w:tcPr>
          <w:p>
            <w:pPr>
              <w:snapToGrid w:val="0"/>
              <w:spacing w:line="288" w:lineRule="auto"/>
              <w:jc w:val="center"/>
              <w:rPr>
                <w:rFonts w:hint="eastAsia" w:ascii="宋体" w:hAnsi="宋体"/>
                <w:bCs/>
                <w:sz w:val="20"/>
                <w:szCs w:val="20"/>
              </w:rPr>
            </w:pPr>
            <w:r>
              <w:rPr>
                <w:rFonts w:hint="eastAsia" w:ascii="宋体" w:hAnsi="宋体"/>
                <w:bCs/>
                <w:sz w:val="20"/>
                <w:szCs w:val="20"/>
              </w:rPr>
              <w:t>小论文</w:t>
            </w:r>
          </w:p>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理论考试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543" w:type="dxa"/>
            <w:vAlign w:val="center"/>
          </w:tcPr>
          <w:p>
            <w:pPr>
              <w:jc w:val="center"/>
              <w:rPr>
                <w:rFonts w:ascii="宋体" w:cs="宋体"/>
                <w:color w:val="000000"/>
                <w:kern w:val="0"/>
                <w:sz w:val="20"/>
                <w:szCs w:val="20"/>
              </w:rPr>
            </w:pPr>
            <w:r>
              <w:rPr>
                <w:rFonts w:hint="eastAsia" w:ascii="宋体" w:cs="宋体"/>
                <w:color w:val="000000"/>
                <w:kern w:val="0"/>
                <w:sz w:val="20"/>
                <w:szCs w:val="20"/>
              </w:rPr>
              <w:t>4</w:t>
            </w:r>
          </w:p>
        </w:tc>
        <w:tc>
          <w:tcPr>
            <w:tcW w:w="1161" w:type="dxa"/>
            <w:vAlign w:val="center"/>
          </w:tcPr>
          <w:p>
            <w:pPr>
              <w:jc w:val="center"/>
              <w:rPr>
                <w:rFonts w:ascii="宋体" w:hAnsi="宋体"/>
                <w:color w:val="000000"/>
                <w:sz w:val="20"/>
                <w:szCs w:val="20"/>
              </w:rPr>
            </w:pPr>
            <w:r>
              <w:rPr>
                <w:rFonts w:ascii="宋体" w:hAnsi="宋体"/>
                <w:color w:val="000000"/>
                <w:sz w:val="20"/>
                <w:szCs w:val="20"/>
              </w:rPr>
              <w:t>L0412</w:t>
            </w:r>
          </w:p>
        </w:tc>
        <w:tc>
          <w:tcPr>
            <w:tcW w:w="3666"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能端正学习和工作态度，主动培养自己符合“白衣天使”称号的思想意识和职业技能。</w:t>
            </w:r>
          </w:p>
        </w:tc>
        <w:tc>
          <w:tcPr>
            <w:tcW w:w="1690" w:type="dxa"/>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理论讲授</w:t>
            </w:r>
          </w:p>
          <w:p>
            <w:pPr>
              <w:jc w:val="center"/>
              <w:rPr>
                <w:rFonts w:ascii="宋体" w:hAnsi="宋体" w:cs="宋体"/>
                <w:color w:val="000000"/>
                <w:kern w:val="0"/>
                <w:sz w:val="20"/>
                <w:szCs w:val="20"/>
              </w:rPr>
            </w:pPr>
            <w:r>
              <w:rPr>
                <w:rFonts w:hint="eastAsia" w:ascii="宋体" w:hAnsi="宋体" w:cs="宋体"/>
                <w:color w:val="000000"/>
                <w:kern w:val="0"/>
                <w:sz w:val="20"/>
                <w:szCs w:val="20"/>
              </w:rPr>
              <w:t>案例分析</w:t>
            </w:r>
          </w:p>
          <w:p>
            <w:pPr>
              <w:jc w:val="center"/>
              <w:rPr>
                <w:rFonts w:ascii="宋体" w:hAnsi="宋体" w:cs="宋体"/>
                <w:color w:val="000000"/>
                <w:kern w:val="0"/>
                <w:sz w:val="20"/>
                <w:szCs w:val="20"/>
              </w:rPr>
            </w:pPr>
            <w:r>
              <w:rPr>
                <w:rFonts w:hint="eastAsia" w:ascii="宋体" w:hAnsi="宋体" w:cs="宋体"/>
                <w:color w:val="000000"/>
                <w:kern w:val="0"/>
                <w:sz w:val="20"/>
                <w:szCs w:val="20"/>
              </w:rPr>
              <w:t>小组讨论</w:t>
            </w:r>
          </w:p>
        </w:tc>
        <w:tc>
          <w:tcPr>
            <w:tcW w:w="1500" w:type="dxa"/>
            <w:vAlign w:val="center"/>
          </w:tcPr>
          <w:p>
            <w:pPr>
              <w:snapToGrid w:val="0"/>
              <w:spacing w:line="288" w:lineRule="auto"/>
              <w:jc w:val="center"/>
              <w:rPr>
                <w:rFonts w:hint="eastAsia" w:ascii="宋体" w:hAnsi="宋体"/>
                <w:bCs/>
                <w:sz w:val="20"/>
                <w:szCs w:val="20"/>
              </w:rPr>
            </w:pPr>
            <w:r>
              <w:rPr>
                <w:rFonts w:hint="eastAsia" w:ascii="宋体" w:hAnsi="宋体"/>
                <w:bCs/>
                <w:sz w:val="20"/>
                <w:szCs w:val="20"/>
              </w:rPr>
              <w:t>小论文</w:t>
            </w:r>
          </w:p>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理论考试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543" w:type="dxa"/>
            <w:vAlign w:val="center"/>
          </w:tcPr>
          <w:p>
            <w:pPr>
              <w:jc w:val="center"/>
              <w:rPr>
                <w:rFonts w:ascii="宋体" w:cs="宋体"/>
                <w:color w:val="000000"/>
                <w:kern w:val="0"/>
                <w:sz w:val="20"/>
                <w:szCs w:val="20"/>
              </w:rPr>
            </w:pPr>
            <w:r>
              <w:rPr>
                <w:rFonts w:hint="eastAsia" w:ascii="宋体" w:cs="宋体"/>
                <w:color w:val="000000"/>
                <w:kern w:val="0"/>
                <w:sz w:val="20"/>
                <w:szCs w:val="20"/>
              </w:rPr>
              <w:t>5</w:t>
            </w:r>
          </w:p>
        </w:tc>
        <w:tc>
          <w:tcPr>
            <w:tcW w:w="1161" w:type="dxa"/>
            <w:vAlign w:val="center"/>
          </w:tcPr>
          <w:p>
            <w:pPr>
              <w:jc w:val="center"/>
              <w:rPr>
                <w:rFonts w:ascii="宋体" w:hAnsi="宋体"/>
                <w:color w:val="000000"/>
                <w:sz w:val="20"/>
                <w:szCs w:val="20"/>
              </w:rPr>
            </w:pPr>
            <w:r>
              <w:rPr>
                <w:rFonts w:ascii="宋体" w:hAnsi="宋体"/>
                <w:color w:val="000000"/>
                <w:sz w:val="20"/>
                <w:szCs w:val="20"/>
              </w:rPr>
              <w:t>LO413</w:t>
            </w:r>
          </w:p>
        </w:tc>
        <w:tc>
          <w:tcPr>
            <w:tcW w:w="3666"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能在护理实践中运用相关法规保护护理对象和自身权益不受侵害。</w:t>
            </w:r>
          </w:p>
        </w:tc>
        <w:tc>
          <w:tcPr>
            <w:tcW w:w="1690" w:type="dxa"/>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理论讲授</w:t>
            </w:r>
          </w:p>
          <w:p>
            <w:pPr>
              <w:jc w:val="center"/>
              <w:rPr>
                <w:rFonts w:ascii="宋体" w:hAnsi="宋体" w:cs="宋体"/>
                <w:color w:val="000000"/>
                <w:kern w:val="0"/>
                <w:sz w:val="20"/>
                <w:szCs w:val="20"/>
              </w:rPr>
            </w:pPr>
            <w:r>
              <w:rPr>
                <w:rFonts w:hint="eastAsia" w:ascii="宋体" w:hAnsi="宋体" w:cs="宋体"/>
                <w:color w:val="000000"/>
                <w:kern w:val="0"/>
                <w:sz w:val="20"/>
                <w:szCs w:val="20"/>
              </w:rPr>
              <w:t>案例分析</w:t>
            </w:r>
          </w:p>
          <w:p>
            <w:pPr>
              <w:jc w:val="center"/>
              <w:rPr>
                <w:rFonts w:ascii="宋体" w:hAnsi="宋体" w:cs="宋体"/>
                <w:color w:val="000000"/>
                <w:kern w:val="0"/>
                <w:sz w:val="20"/>
                <w:szCs w:val="20"/>
              </w:rPr>
            </w:pPr>
            <w:r>
              <w:rPr>
                <w:rFonts w:hint="eastAsia" w:ascii="宋体" w:hAnsi="宋体" w:cs="宋体"/>
                <w:color w:val="000000"/>
                <w:kern w:val="0"/>
                <w:sz w:val="20"/>
                <w:szCs w:val="20"/>
              </w:rPr>
              <w:t>小组讨论</w:t>
            </w:r>
          </w:p>
        </w:tc>
        <w:tc>
          <w:tcPr>
            <w:tcW w:w="1500" w:type="dxa"/>
            <w:vAlign w:val="center"/>
          </w:tcPr>
          <w:p>
            <w:pPr>
              <w:snapToGrid w:val="0"/>
              <w:spacing w:line="288" w:lineRule="auto"/>
              <w:jc w:val="center"/>
              <w:rPr>
                <w:rFonts w:hint="eastAsia" w:ascii="宋体" w:hAnsi="宋体"/>
                <w:bCs/>
                <w:sz w:val="20"/>
                <w:szCs w:val="20"/>
              </w:rPr>
            </w:pPr>
            <w:r>
              <w:rPr>
                <w:rFonts w:hint="eastAsia" w:ascii="宋体" w:hAnsi="宋体"/>
                <w:bCs/>
                <w:sz w:val="20"/>
                <w:szCs w:val="20"/>
              </w:rPr>
              <w:t>小论文</w:t>
            </w:r>
          </w:p>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理论考试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543" w:type="dxa"/>
            <w:vAlign w:val="center"/>
          </w:tcPr>
          <w:p>
            <w:pPr>
              <w:jc w:val="center"/>
              <w:rPr>
                <w:rFonts w:ascii="宋体" w:cs="宋体"/>
                <w:color w:val="000000"/>
                <w:kern w:val="0"/>
                <w:sz w:val="20"/>
                <w:szCs w:val="20"/>
              </w:rPr>
            </w:pPr>
            <w:r>
              <w:rPr>
                <w:rFonts w:ascii="宋体" w:cs="宋体"/>
                <w:color w:val="000000"/>
                <w:kern w:val="0"/>
                <w:sz w:val="20"/>
                <w:szCs w:val="20"/>
              </w:rPr>
              <w:t>6</w:t>
            </w:r>
          </w:p>
        </w:tc>
        <w:tc>
          <w:tcPr>
            <w:tcW w:w="1161" w:type="dxa"/>
            <w:vAlign w:val="center"/>
          </w:tcPr>
          <w:p>
            <w:pPr>
              <w:jc w:val="center"/>
              <w:rPr>
                <w:rFonts w:ascii="宋体" w:hAnsi="宋体" w:cs="宋体"/>
                <w:color w:val="000000"/>
                <w:kern w:val="0"/>
                <w:sz w:val="20"/>
                <w:szCs w:val="20"/>
              </w:rPr>
            </w:pPr>
            <w:r>
              <w:rPr>
                <w:rFonts w:hint="eastAsia" w:ascii="宋体" w:hAnsi="宋体"/>
                <w:color w:val="000000"/>
                <w:sz w:val="20"/>
                <w:szCs w:val="20"/>
              </w:rPr>
              <w:t>LO414</w:t>
            </w:r>
          </w:p>
        </w:tc>
        <w:tc>
          <w:tcPr>
            <w:tcW w:w="3666"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能根据实际案例，分析、处理护理工作中的伦理问题。</w:t>
            </w:r>
          </w:p>
        </w:tc>
        <w:tc>
          <w:tcPr>
            <w:tcW w:w="1690" w:type="dxa"/>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理论讲授</w:t>
            </w:r>
          </w:p>
          <w:p>
            <w:pPr>
              <w:jc w:val="center"/>
              <w:rPr>
                <w:rFonts w:ascii="宋体" w:hAnsi="宋体" w:cs="宋体"/>
                <w:color w:val="000000"/>
                <w:kern w:val="0"/>
                <w:sz w:val="20"/>
                <w:szCs w:val="20"/>
              </w:rPr>
            </w:pPr>
            <w:r>
              <w:rPr>
                <w:rFonts w:hint="eastAsia" w:ascii="宋体" w:hAnsi="宋体" w:cs="宋体"/>
                <w:color w:val="000000"/>
                <w:kern w:val="0"/>
                <w:sz w:val="20"/>
                <w:szCs w:val="20"/>
              </w:rPr>
              <w:t>案例分析</w:t>
            </w:r>
          </w:p>
          <w:p>
            <w:pPr>
              <w:jc w:val="center"/>
              <w:rPr>
                <w:rFonts w:ascii="宋体" w:hAnsi="宋体" w:cs="宋体"/>
                <w:color w:val="000000"/>
                <w:kern w:val="0"/>
                <w:sz w:val="20"/>
                <w:szCs w:val="20"/>
              </w:rPr>
            </w:pPr>
            <w:r>
              <w:rPr>
                <w:rFonts w:hint="eastAsia" w:ascii="宋体" w:hAnsi="宋体" w:cs="宋体"/>
                <w:color w:val="000000"/>
                <w:kern w:val="0"/>
                <w:sz w:val="20"/>
                <w:szCs w:val="20"/>
              </w:rPr>
              <w:t>翻转课堂</w:t>
            </w:r>
          </w:p>
        </w:tc>
        <w:tc>
          <w:tcPr>
            <w:tcW w:w="1500" w:type="dxa"/>
            <w:vAlign w:val="center"/>
          </w:tcPr>
          <w:p>
            <w:pPr>
              <w:snapToGrid w:val="0"/>
              <w:spacing w:line="288" w:lineRule="auto"/>
              <w:jc w:val="center"/>
              <w:rPr>
                <w:rFonts w:hint="eastAsia" w:ascii="宋体" w:hAnsi="宋体"/>
                <w:bCs/>
                <w:sz w:val="20"/>
                <w:szCs w:val="20"/>
              </w:rPr>
            </w:pPr>
            <w:r>
              <w:rPr>
                <w:rFonts w:hint="eastAsia" w:ascii="宋体" w:hAnsi="宋体"/>
                <w:bCs/>
                <w:sz w:val="20"/>
                <w:szCs w:val="20"/>
              </w:rPr>
              <w:t>小论文</w:t>
            </w:r>
          </w:p>
          <w:p>
            <w:pPr>
              <w:jc w:val="center"/>
              <w:rPr>
                <w:rFonts w:ascii="宋体" w:hAnsi="宋体" w:cs="宋体"/>
                <w:color w:val="000000"/>
                <w:kern w:val="0"/>
                <w:sz w:val="20"/>
                <w:szCs w:val="20"/>
              </w:rPr>
            </w:pPr>
            <w:r>
              <w:rPr>
                <w:rFonts w:hint="eastAsia" w:ascii="宋体" w:hAnsi="宋体" w:cs="宋体"/>
                <w:color w:val="000000"/>
                <w:kern w:val="0"/>
                <w:sz w:val="20"/>
                <w:szCs w:val="20"/>
              </w:rPr>
              <w:t>理论考试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3" w:type="dxa"/>
            <w:vAlign w:val="center"/>
          </w:tcPr>
          <w:p>
            <w:pPr>
              <w:jc w:val="center"/>
              <w:rPr>
                <w:rFonts w:ascii="宋体" w:hAnsi="宋体" w:cs="宋体"/>
                <w:color w:val="000000"/>
                <w:kern w:val="0"/>
                <w:sz w:val="20"/>
                <w:szCs w:val="20"/>
              </w:rPr>
            </w:pPr>
            <w:r>
              <w:rPr>
                <w:rFonts w:ascii="宋体" w:hAnsi="宋体" w:cs="宋体"/>
                <w:color w:val="000000"/>
                <w:kern w:val="0"/>
                <w:sz w:val="20"/>
                <w:szCs w:val="20"/>
              </w:rPr>
              <w:t>7</w:t>
            </w:r>
          </w:p>
        </w:tc>
        <w:tc>
          <w:tcPr>
            <w:tcW w:w="1161" w:type="dxa"/>
            <w:vAlign w:val="center"/>
          </w:tcPr>
          <w:p>
            <w:pPr>
              <w:jc w:val="center"/>
              <w:rPr>
                <w:rFonts w:ascii="宋体" w:hAnsi="宋体" w:cs="宋体"/>
                <w:color w:val="000000"/>
                <w:kern w:val="0"/>
                <w:sz w:val="20"/>
                <w:szCs w:val="20"/>
              </w:rPr>
            </w:pPr>
            <w:r>
              <w:rPr>
                <w:rFonts w:hint="eastAsia" w:ascii="宋体" w:hAnsi="宋体"/>
                <w:color w:val="000000"/>
                <w:sz w:val="20"/>
                <w:szCs w:val="20"/>
              </w:rPr>
              <w:t>LO61</w:t>
            </w:r>
          </w:p>
        </w:tc>
        <w:tc>
          <w:tcPr>
            <w:tcW w:w="3666"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能运用现代信息技术，查阅文献、参考资料。</w:t>
            </w:r>
          </w:p>
        </w:tc>
        <w:tc>
          <w:tcPr>
            <w:tcW w:w="1690" w:type="dxa"/>
            <w:vAlign w:val="center"/>
          </w:tcPr>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布置学习任务</w:t>
            </w:r>
          </w:p>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自学</w:t>
            </w:r>
          </w:p>
        </w:tc>
        <w:tc>
          <w:tcPr>
            <w:tcW w:w="1500" w:type="dxa"/>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理论考试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543" w:type="dxa"/>
            <w:vAlign w:val="center"/>
          </w:tcPr>
          <w:p>
            <w:pPr>
              <w:jc w:val="center"/>
              <w:rPr>
                <w:rFonts w:ascii="宋体" w:hAnsi="宋体" w:cs="宋体"/>
                <w:color w:val="000000"/>
                <w:kern w:val="0"/>
                <w:sz w:val="20"/>
                <w:szCs w:val="20"/>
              </w:rPr>
            </w:pPr>
            <w:r>
              <w:rPr>
                <w:rFonts w:ascii="宋体" w:hAnsi="宋体" w:cs="宋体"/>
                <w:color w:val="000000"/>
                <w:kern w:val="0"/>
                <w:sz w:val="20"/>
                <w:szCs w:val="20"/>
              </w:rPr>
              <w:t>8</w:t>
            </w:r>
          </w:p>
        </w:tc>
        <w:tc>
          <w:tcPr>
            <w:tcW w:w="1161" w:type="dxa"/>
            <w:vAlign w:val="center"/>
          </w:tcPr>
          <w:p>
            <w:pPr>
              <w:jc w:val="center"/>
              <w:rPr>
                <w:rFonts w:ascii="宋体" w:hAnsi="宋体" w:cs="宋体"/>
                <w:color w:val="000000"/>
                <w:kern w:val="0"/>
                <w:sz w:val="20"/>
                <w:szCs w:val="20"/>
              </w:rPr>
            </w:pPr>
            <w:r>
              <w:rPr>
                <w:rFonts w:ascii="宋体" w:hAnsi="宋体"/>
                <w:color w:val="000000"/>
                <w:sz w:val="20"/>
                <w:szCs w:val="20"/>
              </w:rPr>
              <w:t>LO712</w:t>
            </w:r>
          </w:p>
        </w:tc>
        <w:tc>
          <w:tcPr>
            <w:tcW w:w="3666" w:type="dxa"/>
            <w:vAlign w:val="center"/>
          </w:tcPr>
          <w:p>
            <w:pPr>
              <w:rPr>
                <w:rFonts w:ascii="宋体" w:hAnsi="宋体" w:cs="宋体"/>
                <w:color w:val="000000"/>
                <w:kern w:val="0"/>
                <w:sz w:val="20"/>
                <w:szCs w:val="20"/>
              </w:rPr>
            </w:pPr>
            <w:r>
              <w:rPr>
                <w:rFonts w:hint="eastAsia" w:ascii="宋体" w:hAnsi="宋体"/>
                <w:sz w:val="20"/>
                <w:szCs w:val="20"/>
              </w:rPr>
              <w:t>能在护理实践中进行自我伦理教育、修养与评价。</w:t>
            </w:r>
          </w:p>
        </w:tc>
        <w:tc>
          <w:tcPr>
            <w:tcW w:w="1690" w:type="dxa"/>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理论讲授</w:t>
            </w:r>
          </w:p>
          <w:p>
            <w:pPr>
              <w:jc w:val="center"/>
              <w:rPr>
                <w:rFonts w:ascii="宋体" w:hAnsi="宋体" w:cs="宋体"/>
                <w:color w:val="000000"/>
                <w:kern w:val="0"/>
                <w:sz w:val="20"/>
                <w:szCs w:val="20"/>
              </w:rPr>
            </w:pPr>
            <w:r>
              <w:rPr>
                <w:rFonts w:hint="eastAsia" w:ascii="宋体" w:hAnsi="宋体" w:cs="宋体"/>
                <w:color w:val="000000"/>
                <w:kern w:val="0"/>
                <w:sz w:val="20"/>
                <w:szCs w:val="20"/>
              </w:rPr>
              <w:t>案例分析</w:t>
            </w:r>
          </w:p>
        </w:tc>
        <w:tc>
          <w:tcPr>
            <w:tcW w:w="1500" w:type="dxa"/>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理论考试</w:t>
            </w:r>
          </w:p>
        </w:tc>
      </w:tr>
    </w:tbl>
    <w:p>
      <w:pPr>
        <w:widowControl/>
        <w:numPr>
          <w:ilvl w:val="0"/>
          <w:numId w:val="2"/>
        </w:numPr>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课程内容</w:t>
      </w:r>
    </w:p>
    <w:tbl>
      <w:tblPr>
        <w:tblStyle w:val="4"/>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
        <w:gridCol w:w="746"/>
        <w:gridCol w:w="2617"/>
        <w:gridCol w:w="2359"/>
        <w:gridCol w:w="1024"/>
        <w:gridCol w:w="424"/>
        <w:gridCol w:w="435"/>
        <w:gridCol w:w="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417" w:type="dxa"/>
            <w:vAlign w:val="center"/>
          </w:tcPr>
          <w:p>
            <w:pPr>
              <w:snapToGrid w:val="0"/>
              <w:spacing w:line="288" w:lineRule="auto"/>
              <w:jc w:val="center"/>
              <w:rPr>
                <w:rFonts w:ascii="宋体"/>
                <w:b/>
                <w:color w:val="000000"/>
                <w:szCs w:val="21"/>
              </w:rPr>
            </w:pPr>
            <w:r>
              <w:rPr>
                <w:rFonts w:hint="eastAsia" w:ascii="宋体" w:hAnsi="宋体"/>
                <w:b/>
                <w:color w:val="000000"/>
                <w:szCs w:val="21"/>
              </w:rPr>
              <w:t>序号</w:t>
            </w:r>
          </w:p>
        </w:tc>
        <w:tc>
          <w:tcPr>
            <w:tcW w:w="746" w:type="dxa"/>
            <w:vAlign w:val="center"/>
          </w:tcPr>
          <w:p>
            <w:pPr>
              <w:snapToGrid w:val="0"/>
              <w:spacing w:line="288" w:lineRule="auto"/>
              <w:jc w:val="center"/>
              <w:rPr>
                <w:rFonts w:ascii="宋体" w:hAnsi="宋体"/>
                <w:b/>
                <w:color w:val="000000"/>
                <w:szCs w:val="21"/>
              </w:rPr>
            </w:pPr>
            <w:r>
              <w:rPr>
                <w:rFonts w:hint="eastAsia" w:ascii="宋体" w:hAnsi="宋体"/>
                <w:b/>
                <w:color w:val="000000"/>
                <w:szCs w:val="21"/>
              </w:rPr>
              <w:t>单元</w:t>
            </w:r>
          </w:p>
          <w:p>
            <w:pPr>
              <w:snapToGrid w:val="0"/>
              <w:spacing w:line="288" w:lineRule="auto"/>
              <w:jc w:val="center"/>
              <w:rPr>
                <w:rFonts w:ascii="宋体"/>
                <w:b/>
                <w:color w:val="000000"/>
                <w:szCs w:val="21"/>
              </w:rPr>
            </w:pPr>
            <w:r>
              <w:rPr>
                <w:rFonts w:hint="eastAsia" w:ascii="宋体" w:hAnsi="宋体"/>
                <w:b/>
                <w:color w:val="000000"/>
                <w:szCs w:val="21"/>
              </w:rPr>
              <w:t>名称</w:t>
            </w:r>
          </w:p>
        </w:tc>
        <w:tc>
          <w:tcPr>
            <w:tcW w:w="2617" w:type="dxa"/>
            <w:vAlign w:val="center"/>
          </w:tcPr>
          <w:p>
            <w:pPr>
              <w:snapToGrid w:val="0"/>
              <w:spacing w:line="288" w:lineRule="auto"/>
              <w:jc w:val="center"/>
              <w:rPr>
                <w:rFonts w:ascii="宋体"/>
                <w:b/>
                <w:color w:val="000000"/>
                <w:szCs w:val="21"/>
              </w:rPr>
            </w:pPr>
            <w:r>
              <w:rPr>
                <w:rFonts w:hint="eastAsia" w:ascii="宋体" w:hAnsi="宋体"/>
                <w:b/>
                <w:color w:val="000000"/>
                <w:szCs w:val="21"/>
              </w:rPr>
              <w:t>知识点</w:t>
            </w:r>
          </w:p>
        </w:tc>
        <w:tc>
          <w:tcPr>
            <w:tcW w:w="2359" w:type="dxa"/>
            <w:vAlign w:val="center"/>
          </w:tcPr>
          <w:p>
            <w:pPr>
              <w:snapToGrid w:val="0"/>
              <w:spacing w:line="288" w:lineRule="auto"/>
              <w:jc w:val="center"/>
              <w:rPr>
                <w:rFonts w:ascii="宋体"/>
                <w:b/>
                <w:color w:val="000000"/>
                <w:szCs w:val="21"/>
              </w:rPr>
            </w:pPr>
            <w:r>
              <w:rPr>
                <w:rFonts w:hint="eastAsia" w:ascii="宋体" w:hAnsi="宋体"/>
                <w:b/>
                <w:color w:val="000000"/>
                <w:szCs w:val="21"/>
              </w:rPr>
              <w:t>能力要求</w:t>
            </w:r>
          </w:p>
        </w:tc>
        <w:tc>
          <w:tcPr>
            <w:tcW w:w="1024" w:type="dxa"/>
            <w:vAlign w:val="center"/>
          </w:tcPr>
          <w:p>
            <w:pPr>
              <w:snapToGrid w:val="0"/>
              <w:spacing w:line="288" w:lineRule="auto"/>
              <w:jc w:val="center"/>
              <w:rPr>
                <w:rFonts w:ascii="宋体"/>
                <w:b/>
                <w:color w:val="000000"/>
                <w:szCs w:val="21"/>
              </w:rPr>
            </w:pPr>
            <w:r>
              <w:rPr>
                <w:rFonts w:hint="eastAsia" w:ascii="宋体" w:hAnsi="宋体"/>
                <w:b/>
                <w:color w:val="000000"/>
                <w:szCs w:val="21"/>
              </w:rPr>
              <w:t>教学难点</w:t>
            </w:r>
          </w:p>
        </w:tc>
        <w:tc>
          <w:tcPr>
            <w:tcW w:w="424" w:type="dxa"/>
            <w:vAlign w:val="center"/>
          </w:tcPr>
          <w:p>
            <w:pPr>
              <w:snapToGrid w:val="0"/>
              <w:spacing w:line="288" w:lineRule="auto"/>
              <w:jc w:val="center"/>
              <w:rPr>
                <w:rFonts w:ascii="宋体" w:hAnsi="宋体"/>
                <w:b/>
                <w:color w:val="000000"/>
                <w:szCs w:val="21"/>
              </w:rPr>
            </w:pPr>
            <w:r>
              <w:rPr>
                <w:rFonts w:hint="eastAsia" w:ascii="宋体" w:hAnsi="宋体"/>
                <w:b/>
                <w:color w:val="000000"/>
                <w:szCs w:val="21"/>
              </w:rPr>
              <w:t>理论时数</w:t>
            </w:r>
          </w:p>
        </w:tc>
        <w:tc>
          <w:tcPr>
            <w:tcW w:w="435" w:type="dxa"/>
            <w:vAlign w:val="center"/>
          </w:tcPr>
          <w:p>
            <w:pPr>
              <w:snapToGrid w:val="0"/>
              <w:spacing w:line="288" w:lineRule="auto"/>
              <w:jc w:val="center"/>
              <w:rPr>
                <w:rFonts w:ascii="宋体" w:hAnsi="宋体"/>
                <w:b/>
                <w:color w:val="000000"/>
                <w:szCs w:val="21"/>
              </w:rPr>
            </w:pPr>
            <w:r>
              <w:rPr>
                <w:rFonts w:hint="eastAsia" w:ascii="宋体" w:hAnsi="宋体"/>
                <w:b/>
                <w:color w:val="000000"/>
                <w:szCs w:val="21"/>
              </w:rPr>
              <w:t>实践时数</w:t>
            </w:r>
          </w:p>
        </w:tc>
        <w:tc>
          <w:tcPr>
            <w:tcW w:w="518" w:type="dxa"/>
            <w:vAlign w:val="center"/>
          </w:tcPr>
          <w:p>
            <w:pPr>
              <w:snapToGrid w:val="0"/>
              <w:spacing w:line="288" w:lineRule="auto"/>
              <w:jc w:val="center"/>
              <w:rPr>
                <w:rFonts w:ascii="宋体" w:hAnsi="宋体"/>
                <w:b/>
                <w:color w:val="000000"/>
                <w:szCs w:val="21"/>
              </w:rPr>
            </w:pPr>
            <w:r>
              <w:rPr>
                <w:rFonts w:hint="eastAsia" w:ascii="宋体" w:hAnsi="宋体"/>
                <w:b/>
                <w:color w:val="000000"/>
                <w:szCs w:val="21"/>
              </w:rPr>
              <w:t>总时数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7" w:type="dxa"/>
            <w:vAlign w:val="center"/>
          </w:tcPr>
          <w:p>
            <w:pPr>
              <w:snapToGrid w:val="0"/>
              <w:spacing w:line="288" w:lineRule="auto"/>
              <w:jc w:val="center"/>
              <w:rPr>
                <w:rFonts w:ascii="宋体" w:hAnsi="宋体"/>
                <w:color w:val="000000"/>
                <w:sz w:val="20"/>
                <w:szCs w:val="20"/>
              </w:rPr>
            </w:pPr>
            <w:r>
              <w:rPr>
                <w:rFonts w:ascii="宋体" w:hAnsi="宋体"/>
                <w:color w:val="000000"/>
                <w:sz w:val="20"/>
                <w:szCs w:val="20"/>
              </w:rPr>
              <w:t>1</w:t>
            </w:r>
          </w:p>
        </w:tc>
        <w:tc>
          <w:tcPr>
            <w:tcW w:w="746" w:type="dxa"/>
            <w:vAlign w:val="center"/>
          </w:tcPr>
          <w:p>
            <w:pPr>
              <w:snapToGrid w:val="0"/>
              <w:spacing w:line="288" w:lineRule="auto"/>
              <w:jc w:val="center"/>
              <w:rPr>
                <w:rFonts w:ascii="宋体"/>
                <w:sz w:val="20"/>
                <w:szCs w:val="20"/>
              </w:rPr>
            </w:pPr>
            <w:r>
              <w:rPr>
                <w:rFonts w:hint="eastAsia" w:ascii="宋体" w:hAnsi="宋体"/>
                <w:sz w:val="20"/>
                <w:szCs w:val="20"/>
              </w:rPr>
              <w:t>绪论</w:t>
            </w:r>
          </w:p>
        </w:tc>
        <w:tc>
          <w:tcPr>
            <w:tcW w:w="2617" w:type="dxa"/>
          </w:tcPr>
          <w:p>
            <w:pPr>
              <w:snapToGrid w:val="0"/>
              <w:spacing w:line="288" w:lineRule="auto"/>
              <w:jc w:val="left"/>
              <w:rPr>
                <w:rFonts w:ascii="宋体" w:hAnsi="宋体"/>
                <w:sz w:val="20"/>
                <w:szCs w:val="20"/>
              </w:rPr>
            </w:pPr>
            <w:r>
              <w:rPr>
                <w:rFonts w:hint="eastAsia" w:ascii="宋体" w:hAnsi="宋体"/>
                <w:sz w:val="20"/>
                <w:szCs w:val="20"/>
              </w:rPr>
              <w:t xml:space="preserve">1.知道道德、伦理学、护理伦理学的概念；2.知道护理伦理学的研究对象； </w:t>
            </w:r>
          </w:p>
          <w:p>
            <w:pPr>
              <w:snapToGrid w:val="0"/>
              <w:spacing w:line="288" w:lineRule="auto"/>
              <w:jc w:val="left"/>
              <w:rPr>
                <w:rFonts w:ascii="宋体" w:hAnsi="宋体"/>
                <w:sz w:val="20"/>
                <w:szCs w:val="20"/>
              </w:rPr>
            </w:pPr>
            <w:r>
              <w:rPr>
                <w:rFonts w:hint="eastAsia" w:ascii="宋体" w:hAnsi="宋体"/>
                <w:sz w:val="20"/>
                <w:szCs w:val="20"/>
              </w:rPr>
              <w:t>3.知道职业道德的基本内容；</w:t>
            </w:r>
          </w:p>
          <w:p>
            <w:pPr>
              <w:snapToGrid w:val="0"/>
              <w:spacing w:line="288" w:lineRule="auto"/>
              <w:jc w:val="left"/>
              <w:rPr>
                <w:rFonts w:ascii="宋体" w:hAnsi="宋体"/>
                <w:sz w:val="20"/>
                <w:szCs w:val="20"/>
              </w:rPr>
            </w:pPr>
            <w:r>
              <w:rPr>
                <w:rFonts w:hint="eastAsia" w:ascii="宋体" w:hAnsi="宋体"/>
                <w:sz w:val="20"/>
                <w:szCs w:val="20"/>
              </w:rPr>
              <w:t>4.知道道德的特征和功能；</w:t>
            </w:r>
          </w:p>
          <w:p>
            <w:pPr>
              <w:snapToGrid w:val="0"/>
              <w:spacing w:line="288" w:lineRule="auto"/>
              <w:jc w:val="left"/>
              <w:rPr>
                <w:rFonts w:ascii="宋体" w:hAnsi="宋体"/>
                <w:sz w:val="20"/>
                <w:szCs w:val="20"/>
              </w:rPr>
            </w:pPr>
            <w:r>
              <w:rPr>
                <w:rFonts w:hint="eastAsia" w:ascii="宋体" w:hAnsi="宋体"/>
                <w:sz w:val="20"/>
                <w:szCs w:val="20"/>
              </w:rPr>
              <w:t>5.知道市场经济、科技发展等对护理道德建设的影响；</w:t>
            </w:r>
          </w:p>
          <w:p>
            <w:pPr>
              <w:snapToGrid w:val="0"/>
              <w:spacing w:line="288" w:lineRule="auto"/>
              <w:jc w:val="left"/>
              <w:rPr>
                <w:rFonts w:ascii="宋体" w:hAnsi="宋体"/>
                <w:sz w:val="20"/>
                <w:szCs w:val="20"/>
              </w:rPr>
            </w:pPr>
            <w:r>
              <w:rPr>
                <w:rFonts w:hint="eastAsia" w:ascii="宋体" w:hAnsi="宋体"/>
                <w:sz w:val="20"/>
                <w:szCs w:val="20"/>
              </w:rPr>
              <w:t>6.在护理实践中进行自我伦理教育、修养与评价。</w:t>
            </w:r>
          </w:p>
          <w:p>
            <w:pPr>
              <w:snapToGrid w:val="0"/>
              <w:spacing w:line="288" w:lineRule="auto"/>
              <w:jc w:val="left"/>
              <w:rPr>
                <w:rFonts w:ascii="宋体"/>
                <w:b/>
                <w:bCs/>
                <w:sz w:val="20"/>
                <w:szCs w:val="20"/>
              </w:rPr>
            </w:pPr>
          </w:p>
        </w:tc>
        <w:tc>
          <w:tcPr>
            <w:tcW w:w="2359" w:type="dxa"/>
          </w:tcPr>
          <w:p>
            <w:pPr>
              <w:snapToGrid w:val="0"/>
              <w:spacing w:line="288" w:lineRule="auto"/>
              <w:jc w:val="left"/>
              <w:rPr>
                <w:rFonts w:ascii="宋体" w:hAnsi="宋体"/>
                <w:sz w:val="20"/>
                <w:szCs w:val="20"/>
              </w:rPr>
            </w:pPr>
            <w:r>
              <w:rPr>
                <w:rFonts w:hint="eastAsia" w:ascii="宋体" w:hAnsi="宋体"/>
                <w:sz w:val="20"/>
                <w:szCs w:val="20"/>
              </w:rPr>
              <w:t>1.能说出道德、伦理学、护理伦理学的概念；</w:t>
            </w:r>
          </w:p>
          <w:p>
            <w:pPr>
              <w:snapToGrid w:val="0"/>
              <w:spacing w:line="288" w:lineRule="auto"/>
              <w:jc w:val="left"/>
              <w:rPr>
                <w:rFonts w:ascii="宋体" w:hAnsi="宋体"/>
                <w:sz w:val="20"/>
                <w:szCs w:val="20"/>
              </w:rPr>
            </w:pPr>
            <w:r>
              <w:rPr>
                <w:rFonts w:hint="eastAsia" w:ascii="宋体" w:hAnsi="宋体"/>
                <w:sz w:val="20"/>
                <w:szCs w:val="20"/>
              </w:rPr>
              <w:t xml:space="preserve">2.能说出护理伦理学的研究对象； </w:t>
            </w:r>
          </w:p>
          <w:p>
            <w:pPr>
              <w:snapToGrid w:val="0"/>
              <w:spacing w:line="288" w:lineRule="auto"/>
              <w:jc w:val="left"/>
              <w:rPr>
                <w:rFonts w:ascii="宋体" w:hAnsi="宋体"/>
                <w:sz w:val="20"/>
                <w:szCs w:val="20"/>
              </w:rPr>
            </w:pPr>
            <w:r>
              <w:rPr>
                <w:rFonts w:hint="eastAsia" w:ascii="宋体" w:hAnsi="宋体"/>
                <w:sz w:val="20"/>
                <w:szCs w:val="20"/>
              </w:rPr>
              <w:t>3.能说出职业道德的基本内容；</w:t>
            </w:r>
          </w:p>
          <w:p>
            <w:pPr>
              <w:snapToGrid w:val="0"/>
              <w:spacing w:line="288" w:lineRule="auto"/>
              <w:jc w:val="left"/>
              <w:rPr>
                <w:rFonts w:ascii="宋体" w:hAnsi="宋体"/>
                <w:sz w:val="20"/>
                <w:szCs w:val="20"/>
              </w:rPr>
            </w:pPr>
            <w:r>
              <w:rPr>
                <w:rFonts w:hint="eastAsia" w:ascii="宋体" w:hAnsi="宋体"/>
                <w:sz w:val="20"/>
                <w:szCs w:val="20"/>
              </w:rPr>
              <w:t>4.能理解道德的特征和功能；</w:t>
            </w:r>
          </w:p>
          <w:p>
            <w:pPr>
              <w:snapToGrid w:val="0"/>
              <w:spacing w:line="288" w:lineRule="auto"/>
              <w:jc w:val="left"/>
              <w:rPr>
                <w:rFonts w:ascii="宋体" w:hAnsi="宋体"/>
                <w:sz w:val="20"/>
                <w:szCs w:val="20"/>
              </w:rPr>
            </w:pPr>
            <w:r>
              <w:rPr>
                <w:rFonts w:hint="eastAsia" w:ascii="宋体" w:hAnsi="宋体"/>
                <w:sz w:val="20"/>
                <w:szCs w:val="20"/>
              </w:rPr>
              <w:t>5.能阐述市场经济、科技发展等对护理道德建设的影响；</w:t>
            </w:r>
          </w:p>
          <w:p>
            <w:pPr>
              <w:snapToGrid w:val="0"/>
              <w:spacing w:line="288" w:lineRule="auto"/>
              <w:jc w:val="left"/>
              <w:rPr>
                <w:rFonts w:ascii="宋体"/>
                <w:sz w:val="20"/>
                <w:szCs w:val="20"/>
              </w:rPr>
            </w:pPr>
            <w:r>
              <w:rPr>
                <w:rFonts w:hint="eastAsia" w:ascii="宋体" w:hAnsi="宋体"/>
                <w:sz w:val="20"/>
                <w:szCs w:val="20"/>
              </w:rPr>
              <w:t>6.能在护理实践中进行自我伦理教育、修养与评价。</w:t>
            </w:r>
          </w:p>
        </w:tc>
        <w:tc>
          <w:tcPr>
            <w:tcW w:w="1024" w:type="dxa"/>
          </w:tcPr>
          <w:p>
            <w:pPr>
              <w:snapToGrid w:val="0"/>
              <w:spacing w:line="288" w:lineRule="auto"/>
              <w:jc w:val="left"/>
              <w:rPr>
                <w:rFonts w:ascii="宋体"/>
                <w:sz w:val="20"/>
                <w:szCs w:val="20"/>
              </w:rPr>
            </w:pPr>
            <w:r>
              <w:rPr>
                <w:rFonts w:hint="eastAsia" w:ascii="宋体" w:hAnsi="宋体"/>
                <w:sz w:val="20"/>
                <w:szCs w:val="20"/>
              </w:rPr>
              <w:t>自我伦理教育、修养与评价的运用</w:t>
            </w:r>
          </w:p>
        </w:tc>
        <w:tc>
          <w:tcPr>
            <w:tcW w:w="424" w:type="dxa"/>
          </w:tcPr>
          <w:p>
            <w:pPr>
              <w:snapToGrid w:val="0"/>
              <w:spacing w:line="288" w:lineRule="auto"/>
              <w:jc w:val="center"/>
              <w:rPr>
                <w:rFonts w:hint="eastAsia" w:ascii="宋体" w:hAnsi="宋体" w:eastAsia="宋体"/>
                <w:color w:val="000000"/>
                <w:sz w:val="20"/>
                <w:szCs w:val="20"/>
                <w:lang w:eastAsia="zh-CN"/>
              </w:rPr>
            </w:pPr>
            <w:r>
              <w:rPr>
                <w:rFonts w:hint="eastAsia" w:ascii="宋体" w:hAnsi="宋体"/>
                <w:color w:val="000000"/>
                <w:sz w:val="20"/>
                <w:szCs w:val="20"/>
                <w:lang w:val="en-US" w:eastAsia="zh-CN"/>
              </w:rPr>
              <w:t>2</w:t>
            </w:r>
          </w:p>
        </w:tc>
        <w:tc>
          <w:tcPr>
            <w:tcW w:w="435"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0</w:t>
            </w:r>
          </w:p>
        </w:tc>
        <w:tc>
          <w:tcPr>
            <w:tcW w:w="5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7" w:type="dxa"/>
            <w:vAlign w:val="center"/>
          </w:tcPr>
          <w:p>
            <w:pPr>
              <w:snapToGrid w:val="0"/>
              <w:spacing w:line="288" w:lineRule="auto"/>
              <w:jc w:val="center"/>
              <w:rPr>
                <w:rFonts w:ascii="宋体" w:hAnsi="宋体"/>
                <w:color w:val="000000"/>
                <w:sz w:val="20"/>
                <w:szCs w:val="20"/>
              </w:rPr>
            </w:pPr>
            <w:r>
              <w:rPr>
                <w:rFonts w:ascii="宋体" w:hAnsi="宋体"/>
                <w:color w:val="000000"/>
                <w:sz w:val="20"/>
                <w:szCs w:val="20"/>
              </w:rPr>
              <w:t>2</w:t>
            </w:r>
          </w:p>
        </w:tc>
        <w:tc>
          <w:tcPr>
            <w:tcW w:w="746" w:type="dxa"/>
            <w:vAlign w:val="center"/>
          </w:tcPr>
          <w:p>
            <w:pPr>
              <w:snapToGrid w:val="0"/>
              <w:spacing w:line="288" w:lineRule="auto"/>
              <w:jc w:val="center"/>
              <w:rPr>
                <w:rFonts w:ascii="宋体"/>
                <w:color w:val="000000"/>
                <w:sz w:val="20"/>
                <w:szCs w:val="20"/>
              </w:rPr>
            </w:pPr>
            <w:r>
              <w:rPr>
                <w:rFonts w:hint="eastAsia" w:ascii="宋体" w:hAnsi="宋体"/>
                <w:color w:val="000000"/>
                <w:sz w:val="20"/>
                <w:szCs w:val="20"/>
              </w:rPr>
              <w:t xml:space="preserve">护理伦理学的基础理论 </w:t>
            </w:r>
          </w:p>
        </w:tc>
        <w:tc>
          <w:tcPr>
            <w:tcW w:w="2617"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1.知道美德论、义务论、效果论等基本概念；</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2.知道护理伦理学的基本观点和基本理论；</w:t>
            </w:r>
          </w:p>
          <w:p>
            <w:pPr>
              <w:snapToGrid w:val="0"/>
              <w:spacing w:line="288" w:lineRule="auto"/>
              <w:jc w:val="left"/>
              <w:rPr>
                <w:rFonts w:ascii="宋体" w:hAnsi="宋体"/>
                <w:color w:val="000000"/>
                <w:sz w:val="20"/>
                <w:szCs w:val="20"/>
              </w:rPr>
            </w:pPr>
            <w:r>
              <w:rPr>
                <w:rFonts w:hint="eastAsia" w:ascii="宋体" w:hAnsi="宋体"/>
                <w:color w:val="000000"/>
                <w:sz w:val="20"/>
                <w:szCs w:val="20"/>
              </w:rPr>
              <w:t>3.在护理实践活动运用护理伦理学的基础理论。</w:t>
            </w:r>
          </w:p>
        </w:tc>
        <w:tc>
          <w:tcPr>
            <w:tcW w:w="2359"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1.能说出美德论、义务论、效果论等基本概念；</w:t>
            </w:r>
          </w:p>
          <w:p>
            <w:pPr>
              <w:snapToGrid w:val="0"/>
              <w:spacing w:line="288" w:lineRule="auto"/>
              <w:jc w:val="left"/>
              <w:rPr>
                <w:rFonts w:ascii="宋体" w:hAnsi="宋体"/>
                <w:color w:val="000000"/>
                <w:sz w:val="20"/>
                <w:szCs w:val="20"/>
              </w:rPr>
            </w:pPr>
            <w:r>
              <w:rPr>
                <w:rFonts w:hint="eastAsia" w:ascii="宋体" w:hAnsi="宋体"/>
                <w:color w:val="000000"/>
                <w:sz w:val="20"/>
                <w:szCs w:val="20"/>
              </w:rPr>
              <w:t>2.能阐述护理伦理学的基本观点和基本理论；</w:t>
            </w:r>
          </w:p>
          <w:p>
            <w:pPr>
              <w:snapToGrid w:val="0"/>
              <w:spacing w:line="288" w:lineRule="auto"/>
              <w:jc w:val="left"/>
              <w:rPr>
                <w:rFonts w:ascii="宋体"/>
                <w:color w:val="000000"/>
                <w:sz w:val="20"/>
                <w:szCs w:val="20"/>
              </w:rPr>
            </w:pPr>
            <w:r>
              <w:rPr>
                <w:rFonts w:hint="eastAsia" w:ascii="宋体" w:hAnsi="宋体"/>
                <w:color w:val="000000"/>
                <w:sz w:val="20"/>
                <w:szCs w:val="20"/>
              </w:rPr>
              <w:t>3.能运用护理伦理学的基础理论指导护理实践活动。</w:t>
            </w:r>
          </w:p>
        </w:tc>
        <w:tc>
          <w:tcPr>
            <w:tcW w:w="102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护理伦理学的基础理论的运用</w:t>
            </w:r>
          </w:p>
        </w:tc>
        <w:tc>
          <w:tcPr>
            <w:tcW w:w="424" w:type="dxa"/>
          </w:tcPr>
          <w:p>
            <w:pPr>
              <w:snapToGrid w:val="0"/>
              <w:spacing w:line="288" w:lineRule="auto"/>
              <w:jc w:val="center"/>
              <w:rPr>
                <w:rFonts w:hint="eastAsia" w:ascii="宋体" w:hAnsi="宋体" w:eastAsia="宋体"/>
                <w:color w:val="000000"/>
                <w:sz w:val="20"/>
                <w:szCs w:val="20"/>
                <w:lang w:eastAsia="zh-CN"/>
              </w:rPr>
            </w:pPr>
            <w:r>
              <w:rPr>
                <w:rFonts w:hint="eastAsia" w:ascii="宋体" w:hAnsi="宋体"/>
                <w:color w:val="000000"/>
                <w:sz w:val="20"/>
                <w:szCs w:val="20"/>
                <w:lang w:val="en-US" w:eastAsia="zh-CN"/>
              </w:rPr>
              <w:t>2</w:t>
            </w:r>
          </w:p>
        </w:tc>
        <w:tc>
          <w:tcPr>
            <w:tcW w:w="435"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0</w:t>
            </w:r>
          </w:p>
        </w:tc>
        <w:tc>
          <w:tcPr>
            <w:tcW w:w="518" w:type="dxa"/>
          </w:tcPr>
          <w:p>
            <w:pPr>
              <w:snapToGrid w:val="0"/>
              <w:spacing w:line="288" w:lineRule="auto"/>
              <w:jc w:val="center"/>
              <w:rPr>
                <w:rFonts w:hint="eastAsia" w:ascii="宋体" w:hAnsi="宋体" w:eastAsia="宋体"/>
                <w:color w:val="000000"/>
                <w:sz w:val="20"/>
                <w:szCs w:val="20"/>
                <w:lang w:eastAsia="zh-CN"/>
              </w:rPr>
            </w:pPr>
            <w:r>
              <w:rPr>
                <w:rFonts w:hint="eastAsia" w:ascii="宋体" w:hAnsi="宋体"/>
                <w:color w:val="00000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17"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3</w:t>
            </w:r>
          </w:p>
        </w:tc>
        <w:tc>
          <w:tcPr>
            <w:tcW w:w="746"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护理伦理学的规范体系</w:t>
            </w:r>
          </w:p>
        </w:tc>
        <w:tc>
          <w:tcPr>
            <w:tcW w:w="2617"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1.知道权利与义务、尊严与价值、情感与理智、良心与荣誉、审慎与胆识的含义；</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2.知道尊重原则、有利原则、不伤害原则及公正原则的内涵；</w:t>
            </w:r>
          </w:p>
          <w:p>
            <w:pPr>
              <w:snapToGrid w:val="0"/>
              <w:spacing w:line="288" w:lineRule="auto"/>
              <w:jc w:val="left"/>
              <w:rPr>
                <w:rFonts w:ascii="宋体" w:hAnsi="宋体"/>
                <w:color w:val="000000"/>
                <w:sz w:val="20"/>
                <w:szCs w:val="20"/>
              </w:rPr>
            </w:pPr>
            <w:r>
              <w:rPr>
                <w:rFonts w:hint="eastAsia" w:ascii="宋体" w:hAnsi="宋体"/>
                <w:color w:val="000000"/>
                <w:sz w:val="20"/>
                <w:szCs w:val="20"/>
              </w:rPr>
              <w:t>3.知道护理伦理学基本规范的内容及要求；</w:t>
            </w:r>
          </w:p>
          <w:p>
            <w:pPr>
              <w:snapToGrid w:val="0"/>
              <w:spacing w:line="288" w:lineRule="auto"/>
              <w:jc w:val="left"/>
              <w:rPr>
                <w:rFonts w:ascii="宋体" w:hAnsi="宋体"/>
                <w:color w:val="000000"/>
                <w:sz w:val="20"/>
                <w:szCs w:val="20"/>
              </w:rPr>
            </w:pPr>
            <w:r>
              <w:rPr>
                <w:rFonts w:hint="eastAsia" w:ascii="宋体" w:hAnsi="宋体"/>
                <w:color w:val="000000"/>
                <w:sz w:val="20"/>
                <w:szCs w:val="20"/>
              </w:rPr>
              <w:t>4.在护理实践中正确运用护理伦理学基本原则。</w:t>
            </w:r>
          </w:p>
        </w:tc>
        <w:tc>
          <w:tcPr>
            <w:tcW w:w="2359"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1.能阐述权利与义务、尊严与价值、情感与理智、良心与荣誉、审慎与胆识的含义；</w:t>
            </w:r>
          </w:p>
          <w:p>
            <w:pPr>
              <w:snapToGrid w:val="0"/>
              <w:spacing w:line="288" w:lineRule="auto"/>
              <w:jc w:val="left"/>
              <w:rPr>
                <w:rFonts w:ascii="宋体" w:hAnsi="宋体"/>
                <w:color w:val="000000"/>
                <w:sz w:val="20"/>
                <w:szCs w:val="20"/>
              </w:rPr>
            </w:pPr>
            <w:r>
              <w:rPr>
                <w:rFonts w:hint="eastAsia" w:ascii="宋体" w:hAnsi="宋体"/>
                <w:color w:val="000000"/>
                <w:sz w:val="20"/>
                <w:szCs w:val="20"/>
              </w:rPr>
              <w:t>2.能说出尊重原则、有利原则、不伤害原则及公正原则的内涵；</w:t>
            </w:r>
          </w:p>
          <w:p>
            <w:pPr>
              <w:snapToGrid w:val="0"/>
              <w:spacing w:line="288" w:lineRule="auto"/>
              <w:jc w:val="left"/>
              <w:rPr>
                <w:rFonts w:ascii="宋体" w:hAnsi="宋体"/>
                <w:color w:val="000000"/>
                <w:sz w:val="20"/>
                <w:szCs w:val="20"/>
              </w:rPr>
            </w:pPr>
            <w:r>
              <w:rPr>
                <w:rFonts w:hint="eastAsia" w:ascii="宋体" w:hAnsi="宋体"/>
                <w:color w:val="000000"/>
                <w:sz w:val="20"/>
                <w:szCs w:val="20"/>
              </w:rPr>
              <w:t>3.能说出护理伦理学基本规范的内容及要求；</w:t>
            </w:r>
          </w:p>
          <w:p>
            <w:pPr>
              <w:snapToGrid w:val="0"/>
              <w:spacing w:line="288" w:lineRule="auto"/>
              <w:jc w:val="left"/>
              <w:rPr>
                <w:rFonts w:ascii="宋体" w:hAnsi="宋体"/>
                <w:color w:val="000000"/>
                <w:sz w:val="20"/>
                <w:szCs w:val="20"/>
              </w:rPr>
            </w:pPr>
            <w:r>
              <w:rPr>
                <w:rFonts w:hint="eastAsia" w:ascii="宋体" w:hAnsi="宋体"/>
                <w:color w:val="000000"/>
                <w:sz w:val="20"/>
                <w:szCs w:val="20"/>
              </w:rPr>
              <w:t>4.能在护理实践中正确运用护理伦理学基本原则、规范及范畴,确立护理伦理观念,并在此观念指导下选择合乎伦理的护理行为。</w:t>
            </w:r>
          </w:p>
        </w:tc>
        <w:tc>
          <w:tcPr>
            <w:tcW w:w="102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护理伦理学基本原则的运用</w:t>
            </w:r>
          </w:p>
        </w:tc>
        <w:tc>
          <w:tcPr>
            <w:tcW w:w="424" w:type="dxa"/>
          </w:tcPr>
          <w:p>
            <w:pPr>
              <w:snapToGrid w:val="0"/>
              <w:spacing w:line="288" w:lineRule="auto"/>
              <w:jc w:val="cente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2</w:t>
            </w:r>
          </w:p>
        </w:tc>
        <w:tc>
          <w:tcPr>
            <w:tcW w:w="435"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0</w:t>
            </w:r>
          </w:p>
        </w:tc>
        <w:tc>
          <w:tcPr>
            <w:tcW w:w="518" w:type="dxa"/>
          </w:tcPr>
          <w:p>
            <w:pPr>
              <w:snapToGrid w:val="0"/>
              <w:spacing w:line="288" w:lineRule="auto"/>
              <w:jc w:val="center"/>
              <w:rPr>
                <w:rFonts w:hint="eastAsia" w:ascii="宋体" w:hAnsi="宋体" w:eastAsia="宋体"/>
                <w:color w:val="000000"/>
                <w:sz w:val="20"/>
                <w:szCs w:val="20"/>
                <w:lang w:eastAsia="zh-CN"/>
              </w:rPr>
            </w:pPr>
            <w:r>
              <w:rPr>
                <w:rFonts w:hint="eastAsia" w:ascii="宋体" w:hAnsi="宋体"/>
                <w:color w:val="00000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7"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4</w:t>
            </w:r>
          </w:p>
        </w:tc>
        <w:tc>
          <w:tcPr>
            <w:tcW w:w="746"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护理人际关系的伦理道德</w:t>
            </w:r>
          </w:p>
        </w:tc>
        <w:tc>
          <w:tcPr>
            <w:tcW w:w="2617"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1.知道护患双方权利和义务的内容；</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2.知道护患关系、护医关系以及护士与其他人员关系的道德规范；</w:t>
            </w:r>
          </w:p>
          <w:p>
            <w:pPr>
              <w:snapToGrid w:val="0"/>
              <w:spacing w:line="288" w:lineRule="auto"/>
              <w:jc w:val="left"/>
              <w:rPr>
                <w:rFonts w:ascii="宋体" w:hAnsi="宋体"/>
                <w:color w:val="000000"/>
                <w:sz w:val="20"/>
                <w:szCs w:val="20"/>
              </w:rPr>
            </w:pPr>
            <w:r>
              <w:rPr>
                <w:rFonts w:hint="eastAsia" w:ascii="宋体" w:hAnsi="宋体"/>
                <w:color w:val="000000"/>
                <w:sz w:val="20"/>
                <w:szCs w:val="20"/>
              </w:rPr>
              <w:t>3.在临床护理工作中正确运用护患权利和义务，处理护理人际关系。</w:t>
            </w:r>
          </w:p>
        </w:tc>
        <w:tc>
          <w:tcPr>
            <w:tcW w:w="2359"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1.能说出护患双方权利和义务的内容；</w:t>
            </w:r>
          </w:p>
          <w:p>
            <w:pPr>
              <w:snapToGrid w:val="0"/>
              <w:spacing w:line="288" w:lineRule="auto"/>
              <w:jc w:val="left"/>
              <w:rPr>
                <w:rFonts w:ascii="宋体" w:hAnsi="宋体"/>
                <w:color w:val="000000"/>
                <w:sz w:val="20"/>
                <w:szCs w:val="20"/>
              </w:rPr>
            </w:pPr>
            <w:r>
              <w:rPr>
                <w:rFonts w:hint="eastAsia" w:ascii="宋体" w:hAnsi="宋体"/>
                <w:color w:val="000000"/>
                <w:sz w:val="20"/>
                <w:szCs w:val="20"/>
              </w:rPr>
              <w:t>2.能理解护患关系、护医关系以及护士与其他人员关系的道德规范；</w:t>
            </w:r>
          </w:p>
          <w:p>
            <w:pPr>
              <w:snapToGrid w:val="0"/>
              <w:spacing w:line="288" w:lineRule="auto"/>
              <w:jc w:val="left"/>
              <w:rPr>
                <w:rFonts w:ascii="宋体" w:hAnsi="宋体"/>
                <w:color w:val="000000"/>
                <w:sz w:val="20"/>
                <w:szCs w:val="20"/>
              </w:rPr>
            </w:pPr>
            <w:r>
              <w:rPr>
                <w:rFonts w:hint="eastAsia" w:ascii="宋体" w:hAnsi="宋体"/>
                <w:color w:val="000000"/>
                <w:sz w:val="20"/>
                <w:szCs w:val="20"/>
              </w:rPr>
              <w:t>4.能运用护患权利和义务于临床护理工作中，正确处理护理人际关系。</w:t>
            </w:r>
          </w:p>
        </w:tc>
        <w:tc>
          <w:tcPr>
            <w:tcW w:w="102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护患权利和义务在临床护理工作中的运用</w:t>
            </w:r>
          </w:p>
        </w:tc>
        <w:tc>
          <w:tcPr>
            <w:tcW w:w="424"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435"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0</w:t>
            </w:r>
          </w:p>
        </w:tc>
        <w:tc>
          <w:tcPr>
            <w:tcW w:w="5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17"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5</w:t>
            </w:r>
          </w:p>
        </w:tc>
        <w:tc>
          <w:tcPr>
            <w:tcW w:w="746"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临床护理实践中的伦理道德(一)</w:t>
            </w:r>
          </w:p>
        </w:tc>
        <w:tc>
          <w:tcPr>
            <w:tcW w:w="2617"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1.知道基础护理的伦理规范；</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2.知道急危重症护理与围术期护理伦理要求；</w:t>
            </w:r>
          </w:p>
          <w:p>
            <w:pPr>
              <w:snapToGrid w:val="0"/>
              <w:spacing w:line="288" w:lineRule="auto"/>
              <w:jc w:val="left"/>
              <w:rPr>
                <w:rFonts w:ascii="宋体" w:hAnsi="宋体"/>
                <w:color w:val="000000"/>
                <w:sz w:val="20"/>
                <w:szCs w:val="20"/>
              </w:rPr>
            </w:pPr>
            <w:r>
              <w:rPr>
                <w:rFonts w:hint="eastAsia" w:ascii="宋体" w:hAnsi="宋体"/>
                <w:color w:val="000000"/>
                <w:sz w:val="20"/>
                <w:szCs w:val="20"/>
              </w:rPr>
              <w:t>3.理解急危重症护理与手术护理的伦理难题；</w:t>
            </w:r>
          </w:p>
          <w:p>
            <w:pPr>
              <w:snapToGrid w:val="0"/>
              <w:spacing w:line="288" w:lineRule="auto"/>
              <w:jc w:val="left"/>
              <w:rPr>
                <w:rFonts w:ascii="宋体" w:hAnsi="宋体"/>
                <w:color w:val="000000"/>
                <w:sz w:val="20"/>
                <w:szCs w:val="20"/>
              </w:rPr>
            </w:pPr>
            <w:r>
              <w:rPr>
                <w:rFonts w:hint="eastAsia" w:ascii="宋体" w:hAnsi="宋体"/>
                <w:color w:val="000000"/>
                <w:sz w:val="20"/>
                <w:szCs w:val="20"/>
              </w:rPr>
              <w:t>4.对病人进行生活护理运用生活护理的伦理要求；</w:t>
            </w:r>
          </w:p>
          <w:p>
            <w:pPr>
              <w:snapToGrid w:val="0"/>
              <w:spacing w:line="288" w:lineRule="auto"/>
              <w:jc w:val="left"/>
              <w:rPr>
                <w:rFonts w:ascii="宋体" w:hAnsi="宋体"/>
                <w:color w:val="000000"/>
                <w:sz w:val="20"/>
                <w:szCs w:val="20"/>
              </w:rPr>
            </w:pPr>
            <w:r>
              <w:rPr>
                <w:rFonts w:hint="eastAsia" w:ascii="宋体" w:hAnsi="宋体"/>
                <w:color w:val="000000"/>
                <w:sz w:val="20"/>
                <w:szCs w:val="20"/>
              </w:rPr>
              <w:t>5.在手术护理中运用围术期护理伦理的要求。</w:t>
            </w:r>
          </w:p>
        </w:tc>
        <w:tc>
          <w:tcPr>
            <w:tcW w:w="2359"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1.能说出基础护理的伦理规范；</w:t>
            </w:r>
          </w:p>
          <w:p>
            <w:pPr>
              <w:snapToGrid w:val="0"/>
              <w:spacing w:line="288" w:lineRule="auto"/>
              <w:jc w:val="left"/>
              <w:rPr>
                <w:rFonts w:ascii="宋体" w:hAnsi="宋体"/>
                <w:color w:val="000000"/>
                <w:sz w:val="20"/>
                <w:szCs w:val="20"/>
              </w:rPr>
            </w:pPr>
            <w:r>
              <w:rPr>
                <w:rFonts w:hint="eastAsia" w:ascii="宋体" w:hAnsi="宋体"/>
                <w:color w:val="000000"/>
                <w:sz w:val="20"/>
                <w:szCs w:val="20"/>
              </w:rPr>
              <w:t>2.能说出急危重症护理与围术期护理伦理要求；</w:t>
            </w:r>
          </w:p>
          <w:p>
            <w:pPr>
              <w:snapToGrid w:val="0"/>
              <w:spacing w:line="288" w:lineRule="auto"/>
              <w:jc w:val="left"/>
              <w:rPr>
                <w:rFonts w:ascii="宋体" w:hAnsi="宋体"/>
                <w:color w:val="000000"/>
                <w:sz w:val="20"/>
                <w:szCs w:val="20"/>
              </w:rPr>
            </w:pPr>
            <w:r>
              <w:rPr>
                <w:rFonts w:hint="eastAsia" w:ascii="宋体" w:hAnsi="宋体"/>
                <w:color w:val="000000"/>
                <w:sz w:val="20"/>
                <w:szCs w:val="20"/>
              </w:rPr>
              <w:t>3.能阐述急危重症护理与手术护理的伦理难题；</w:t>
            </w:r>
          </w:p>
          <w:p>
            <w:pPr>
              <w:snapToGrid w:val="0"/>
              <w:spacing w:line="288" w:lineRule="auto"/>
              <w:jc w:val="left"/>
              <w:rPr>
                <w:rFonts w:ascii="宋体" w:hAnsi="宋体"/>
                <w:color w:val="000000"/>
                <w:sz w:val="20"/>
                <w:szCs w:val="20"/>
              </w:rPr>
            </w:pPr>
            <w:r>
              <w:rPr>
                <w:rFonts w:hint="eastAsia" w:ascii="宋体" w:hAnsi="宋体"/>
                <w:color w:val="000000"/>
                <w:sz w:val="20"/>
                <w:szCs w:val="20"/>
              </w:rPr>
              <w:t>4.能运用生活护理的伦理要求对病人进行生活护理；</w:t>
            </w:r>
          </w:p>
          <w:p>
            <w:pPr>
              <w:snapToGrid w:val="0"/>
              <w:spacing w:line="288" w:lineRule="auto"/>
              <w:jc w:val="left"/>
              <w:rPr>
                <w:rFonts w:ascii="宋体" w:hAnsi="宋体"/>
                <w:color w:val="000000"/>
                <w:sz w:val="20"/>
                <w:szCs w:val="20"/>
              </w:rPr>
            </w:pPr>
            <w:r>
              <w:rPr>
                <w:rFonts w:hint="eastAsia" w:ascii="宋体" w:hAnsi="宋体"/>
                <w:color w:val="000000"/>
                <w:sz w:val="20"/>
                <w:szCs w:val="20"/>
              </w:rPr>
              <w:t>5.能依据围术期护理伦理的要求进行手术护理。</w:t>
            </w:r>
          </w:p>
        </w:tc>
        <w:tc>
          <w:tcPr>
            <w:tcW w:w="102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1.生活护理的伦理要求的运用</w:t>
            </w:r>
          </w:p>
          <w:p>
            <w:pPr>
              <w:snapToGrid w:val="0"/>
              <w:spacing w:line="288" w:lineRule="auto"/>
              <w:jc w:val="left"/>
              <w:rPr>
                <w:rFonts w:ascii="宋体" w:hAnsi="宋体"/>
                <w:color w:val="000000"/>
                <w:sz w:val="20"/>
                <w:szCs w:val="20"/>
              </w:rPr>
            </w:pPr>
            <w:r>
              <w:rPr>
                <w:rFonts w:hint="eastAsia" w:ascii="宋体" w:hAnsi="宋体"/>
                <w:color w:val="000000"/>
                <w:sz w:val="20"/>
                <w:szCs w:val="20"/>
              </w:rPr>
              <w:t>2.手术护理伦理的要求的运用</w:t>
            </w:r>
          </w:p>
        </w:tc>
        <w:tc>
          <w:tcPr>
            <w:tcW w:w="424"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p>
        </w:tc>
        <w:tc>
          <w:tcPr>
            <w:tcW w:w="435"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0</w:t>
            </w:r>
          </w:p>
        </w:tc>
        <w:tc>
          <w:tcPr>
            <w:tcW w:w="5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17"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6</w:t>
            </w:r>
          </w:p>
        </w:tc>
        <w:tc>
          <w:tcPr>
            <w:tcW w:w="746" w:type="dxa"/>
            <w:vAlign w:val="center"/>
          </w:tcPr>
          <w:p>
            <w:pPr>
              <w:snapToGrid w:val="0"/>
              <w:spacing w:line="288" w:lineRule="auto"/>
              <w:jc w:val="center"/>
              <w:rPr>
                <w:rFonts w:ascii="宋体" w:hAnsi="宋体"/>
                <w:color w:val="000000"/>
                <w:szCs w:val="21"/>
              </w:rPr>
            </w:pPr>
            <w:r>
              <w:rPr>
                <w:rFonts w:ascii="宋体" w:hAnsi="宋体" w:cs="宋体"/>
                <w:szCs w:val="21"/>
              </w:rPr>
              <w:t>临床护理实践中的伦理道德（二）</w:t>
            </w:r>
          </w:p>
        </w:tc>
        <w:tc>
          <w:tcPr>
            <w:tcW w:w="2617"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1.知道妇科病人、孕产妇、患儿及老年人的护理特点；</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2.知道妇产科、儿科及老年护理伦理要求；</w:t>
            </w:r>
          </w:p>
          <w:p>
            <w:pPr>
              <w:snapToGrid w:val="0"/>
              <w:spacing w:line="288" w:lineRule="auto"/>
              <w:jc w:val="left"/>
              <w:rPr>
                <w:rFonts w:ascii="宋体" w:hAnsi="宋体"/>
                <w:color w:val="000000"/>
                <w:sz w:val="20"/>
                <w:szCs w:val="20"/>
              </w:rPr>
            </w:pPr>
            <w:r>
              <w:rPr>
                <w:rFonts w:hint="eastAsia" w:ascii="宋体" w:hAnsi="宋体"/>
                <w:color w:val="000000"/>
                <w:sz w:val="20"/>
                <w:szCs w:val="20"/>
              </w:rPr>
              <w:t>3.在解决处理妇产科、儿科及老年科护理工作中的伦理问题中运用护理伦理学原则和护理伦理规范。</w:t>
            </w:r>
          </w:p>
        </w:tc>
        <w:tc>
          <w:tcPr>
            <w:tcW w:w="2359"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1.能说出妇科病人、孕产妇、患儿及老年人的护理特点；</w:t>
            </w:r>
          </w:p>
          <w:p>
            <w:pPr>
              <w:snapToGrid w:val="0"/>
              <w:spacing w:line="288" w:lineRule="auto"/>
              <w:jc w:val="left"/>
              <w:rPr>
                <w:rFonts w:ascii="宋体" w:hAnsi="宋体"/>
                <w:color w:val="000000"/>
                <w:sz w:val="20"/>
                <w:szCs w:val="20"/>
              </w:rPr>
            </w:pPr>
            <w:r>
              <w:rPr>
                <w:rFonts w:hint="eastAsia" w:ascii="宋体" w:hAnsi="宋体"/>
                <w:color w:val="000000"/>
                <w:sz w:val="20"/>
                <w:szCs w:val="20"/>
              </w:rPr>
              <w:t>2.能说出妇产科、儿科及老年护理伦理要求；</w:t>
            </w:r>
          </w:p>
          <w:p>
            <w:pPr>
              <w:snapToGrid w:val="0"/>
              <w:spacing w:line="288" w:lineRule="auto"/>
              <w:jc w:val="left"/>
              <w:rPr>
                <w:rFonts w:ascii="宋体" w:hAnsi="宋体"/>
                <w:color w:val="000000"/>
                <w:sz w:val="20"/>
                <w:szCs w:val="20"/>
              </w:rPr>
            </w:pPr>
            <w:r>
              <w:rPr>
                <w:rFonts w:hint="eastAsia" w:ascii="宋体" w:hAnsi="宋体"/>
                <w:color w:val="000000"/>
                <w:sz w:val="20"/>
                <w:szCs w:val="20"/>
              </w:rPr>
              <w:t>3.能运用护理伦理学原则和护理伦理规范，解决处理妇产科、儿科及老年科护理工作中的伦理问题。</w:t>
            </w:r>
          </w:p>
        </w:tc>
        <w:tc>
          <w:tcPr>
            <w:tcW w:w="102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护理伦理学原则和护理伦理规范在妇产科、儿科及老年科护理工作中的运用</w:t>
            </w:r>
          </w:p>
        </w:tc>
        <w:tc>
          <w:tcPr>
            <w:tcW w:w="424"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p>
        </w:tc>
        <w:tc>
          <w:tcPr>
            <w:tcW w:w="435"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0</w:t>
            </w:r>
          </w:p>
        </w:tc>
        <w:tc>
          <w:tcPr>
            <w:tcW w:w="5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17"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7</w:t>
            </w:r>
          </w:p>
        </w:tc>
        <w:tc>
          <w:tcPr>
            <w:tcW w:w="746" w:type="dxa"/>
            <w:vAlign w:val="center"/>
          </w:tcPr>
          <w:p>
            <w:pPr>
              <w:snapToGrid w:val="0"/>
              <w:spacing w:line="288" w:lineRule="auto"/>
              <w:jc w:val="center"/>
              <w:rPr>
                <w:rFonts w:ascii="宋体" w:hAnsi="宋体"/>
                <w:color w:val="000000"/>
                <w:szCs w:val="21"/>
              </w:rPr>
            </w:pPr>
            <w:r>
              <w:rPr>
                <w:rFonts w:ascii="宋体" w:hAnsi="宋体" w:cs="宋体"/>
                <w:szCs w:val="21"/>
              </w:rPr>
              <w:t>临床护理实践中的伦理道德（</w:t>
            </w:r>
            <w:r>
              <w:rPr>
                <w:rFonts w:hint="eastAsia" w:ascii="宋体" w:hAnsi="宋体" w:cs="宋体"/>
                <w:szCs w:val="21"/>
              </w:rPr>
              <w:t>三</w:t>
            </w:r>
            <w:r>
              <w:rPr>
                <w:rFonts w:ascii="宋体" w:hAnsi="宋体" w:cs="宋体"/>
                <w:szCs w:val="21"/>
              </w:rPr>
              <w:t>）</w:t>
            </w:r>
          </w:p>
        </w:tc>
        <w:tc>
          <w:tcPr>
            <w:tcW w:w="2617" w:type="dxa"/>
          </w:tcPr>
          <w:p>
            <w:pPr>
              <w:snapToGrid w:val="0"/>
              <w:spacing w:line="288" w:lineRule="auto"/>
              <w:jc w:val="left"/>
              <w:rPr>
                <w:rFonts w:ascii="宋体" w:hAnsi="宋体"/>
                <w:color w:val="000000"/>
                <w:sz w:val="20"/>
                <w:szCs w:val="20"/>
              </w:rPr>
            </w:pPr>
            <w:r>
              <w:rPr>
                <w:rFonts w:ascii="宋体" w:hAnsi="宋体"/>
                <w:color w:val="000000"/>
                <w:sz w:val="20"/>
                <w:szCs w:val="20"/>
              </w:rPr>
              <w:t>1.</w:t>
            </w:r>
            <w:r>
              <w:rPr>
                <w:rFonts w:hint="eastAsia" w:ascii="宋体" w:hAnsi="宋体"/>
                <w:color w:val="000000"/>
                <w:sz w:val="20"/>
                <w:szCs w:val="20"/>
              </w:rPr>
              <w:t>知道精神科、传染科和肿瘤科护理的伦理要求；</w:t>
            </w:r>
          </w:p>
          <w:p>
            <w:pPr>
              <w:snapToGrid w:val="0"/>
              <w:spacing w:line="288" w:lineRule="auto"/>
              <w:jc w:val="left"/>
              <w:rPr>
                <w:rFonts w:ascii="宋体" w:hAnsi="宋体"/>
                <w:color w:val="000000"/>
                <w:sz w:val="20"/>
                <w:szCs w:val="20"/>
              </w:rPr>
            </w:pPr>
            <w:r>
              <w:rPr>
                <w:rFonts w:hint="eastAsia" w:ascii="宋体" w:hAnsi="宋体"/>
                <w:color w:val="000000"/>
                <w:sz w:val="20"/>
                <w:szCs w:val="20"/>
              </w:rPr>
              <w:t>2.理解精神科、传染科和肿瘤科护理的伦理难题；</w:t>
            </w:r>
          </w:p>
          <w:p>
            <w:pPr>
              <w:snapToGrid w:val="0"/>
              <w:spacing w:line="288" w:lineRule="auto"/>
              <w:jc w:val="left"/>
              <w:rPr>
                <w:rFonts w:ascii="宋体" w:hAnsi="宋体"/>
                <w:color w:val="000000"/>
                <w:sz w:val="20"/>
                <w:szCs w:val="20"/>
              </w:rPr>
            </w:pPr>
            <w:r>
              <w:rPr>
                <w:rFonts w:hint="eastAsia" w:ascii="宋体" w:hAnsi="宋体"/>
                <w:color w:val="000000"/>
                <w:sz w:val="20"/>
                <w:szCs w:val="20"/>
              </w:rPr>
              <w:t>3.运用精神科、传染科和肿瘤科的伦理要求开展相关护理活动。</w:t>
            </w:r>
          </w:p>
        </w:tc>
        <w:tc>
          <w:tcPr>
            <w:tcW w:w="2359" w:type="dxa"/>
          </w:tcPr>
          <w:p>
            <w:pPr>
              <w:snapToGrid w:val="0"/>
              <w:spacing w:line="288" w:lineRule="auto"/>
              <w:jc w:val="left"/>
              <w:rPr>
                <w:rFonts w:ascii="宋体" w:hAnsi="宋体"/>
                <w:color w:val="000000"/>
                <w:sz w:val="20"/>
                <w:szCs w:val="20"/>
              </w:rPr>
            </w:pPr>
            <w:r>
              <w:rPr>
                <w:rFonts w:ascii="宋体" w:hAnsi="宋体"/>
                <w:color w:val="000000"/>
                <w:sz w:val="20"/>
                <w:szCs w:val="20"/>
              </w:rPr>
              <w:t>1.</w:t>
            </w:r>
            <w:r>
              <w:rPr>
                <w:rFonts w:hint="eastAsia" w:ascii="宋体" w:hAnsi="宋体"/>
                <w:color w:val="000000"/>
                <w:sz w:val="20"/>
                <w:szCs w:val="20"/>
              </w:rPr>
              <w:t>能说出精神科、传染科和肿瘤科护理的伦理要求；</w:t>
            </w:r>
          </w:p>
          <w:p>
            <w:pPr>
              <w:snapToGrid w:val="0"/>
              <w:spacing w:line="288" w:lineRule="auto"/>
              <w:jc w:val="left"/>
              <w:rPr>
                <w:rFonts w:ascii="宋体" w:hAnsi="宋体"/>
                <w:color w:val="000000"/>
                <w:sz w:val="20"/>
                <w:szCs w:val="20"/>
              </w:rPr>
            </w:pPr>
            <w:r>
              <w:rPr>
                <w:rFonts w:hint="eastAsia" w:ascii="宋体" w:hAnsi="宋体"/>
                <w:color w:val="000000"/>
                <w:sz w:val="20"/>
                <w:szCs w:val="20"/>
              </w:rPr>
              <w:t>2.能阐述精神科、传染科和肿瘤科护理的伦理难题；</w:t>
            </w:r>
          </w:p>
          <w:p>
            <w:pPr>
              <w:snapToGrid w:val="0"/>
              <w:spacing w:line="288" w:lineRule="auto"/>
              <w:jc w:val="left"/>
              <w:rPr>
                <w:rFonts w:ascii="宋体" w:hAnsi="宋体"/>
                <w:color w:val="000000"/>
                <w:sz w:val="20"/>
                <w:szCs w:val="20"/>
              </w:rPr>
            </w:pPr>
            <w:r>
              <w:rPr>
                <w:rFonts w:hint="eastAsia" w:ascii="宋体" w:hAnsi="宋体"/>
                <w:color w:val="000000"/>
                <w:sz w:val="20"/>
                <w:szCs w:val="20"/>
              </w:rPr>
              <w:t>3.能运用精神科、传染科和肿瘤科的伦理要求开展相关护理活动。</w:t>
            </w:r>
          </w:p>
        </w:tc>
        <w:tc>
          <w:tcPr>
            <w:tcW w:w="102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护理伦理学原则和护理伦理规范在精神科、传染科和肿瘤科护理工作中的运用</w:t>
            </w:r>
          </w:p>
        </w:tc>
        <w:tc>
          <w:tcPr>
            <w:tcW w:w="424"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p>
        </w:tc>
        <w:tc>
          <w:tcPr>
            <w:tcW w:w="435"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0</w:t>
            </w:r>
          </w:p>
        </w:tc>
        <w:tc>
          <w:tcPr>
            <w:tcW w:w="5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17"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8</w:t>
            </w:r>
          </w:p>
        </w:tc>
        <w:tc>
          <w:tcPr>
            <w:tcW w:w="746" w:type="dxa"/>
            <w:vAlign w:val="center"/>
          </w:tcPr>
          <w:p>
            <w:pPr>
              <w:snapToGrid w:val="0"/>
              <w:spacing w:line="288" w:lineRule="auto"/>
              <w:jc w:val="center"/>
              <w:rPr>
                <w:rFonts w:ascii="宋体" w:hAnsi="宋体"/>
                <w:color w:val="000000"/>
                <w:sz w:val="20"/>
                <w:szCs w:val="20"/>
              </w:rPr>
            </w:pPr>
            <w:r>
              <w:rPr>
                <w:rFonts w:ascii="宋体" w:hAnsi="宋体" w:cs="宋体"/>
                <w:szCs w:val="21"/>
              </w:rPr>
              <w:t>公共卫生服务的伦理道德</w:t>
            </w:r>
          </w:p>
        </w:tc>
        <w:tc>
          <w:tcPr>
            <w:tcW w:w="2617" w:type="dxa"/>
          </w:tcPr>
          <w:p>
            <w:pPr>
              <w:snapToGrid w:val="0"/>
              <w:spacing w:line="288" w:lineRule="auto"/>
              <w:jc w:val="left"/>
              <w:rPr>
                <w:rFonts w:ascii="宋体" w:hAnsi="宋体"/>
                <w:color w:val="000000"/>
                <w:sz w:val="20"/>
                <w:szCs w:val="20"/>
              </w:rPr>
            </w:pPr>
            <w:r>
              <w:rPr>
                <w:rFonts w:ascii="宋体" w:hAnsi="宋体"/>
                <w:color w:val="000000"/>
                <w:sz w:val="20"/>
                <w:szCs w:val="20"/>
              </w:rPr>
              <w:t>1.</w:t>
            </w:r>
            <w:r>
              <w:rPr>
                <w:rFonts w:hint="eastAsia" w:ascii="宋体" w:hAnsi="宋体"/>
                <w:color w:val="000000"/>
                <w:sz w:val="20"/>
                <w:szCs w:val="20"/>
              </w:rPr>
              <w:t>知道突发公共卫生事件应急处理的伦理责任和道德要求；</w:t>
            </w:r>
          </w:p>
          <w:p>
            <w:pPr>
              <w:snapToGrid w:val="0"/>
              <w:spacing w:line="288" w:lineRule="auto"/>
              <w:jc w:val="left"/>
              <w:rPr>
                <w:rFonts w:ascii="宋体" w:hAnsi="宋体"/>
                <w:color w:val="000000"/>
                <w:sz w:val="18"/>
                <w:szCs w:val="18"/>
              </w:rPr>
            </w:pPr>
            <w:r>
              <w:rPr>
                <w:rFonts w:hint="eastAsia" w:ascii="宋体" w:hAnsi="宋体"/>
                <w:color w:val="000000"/>
                <w:sz w:val="20"/>
                <w:szCs w:val="20"/>
              </w:rPr>
              <w:t>2.知道社区卫生保健的护理伦理规范、预防保健工作的伦理道</w:t>
            </w:r>
            <w:r>
              <w:rPr>
                <w:rFonts w:hint="eastAsia" w:ascii="宋体" w:hAnsi="宋体"/>
                <w:color w:val="000000"/>
                <w:sz w:val="18"/>
                <w:szCs w:val="18"/>
              </w:rPr>
              <w:t>德要求；</w:t>
            </w:r>
          </w:p>
          <w:p>
            <w:pPr>
              <w:snapToGrid w:val="0"/>
              <w:spacing w:line="288" w:lineRule="auto"/>
              <w:jc w:val="left"/>
              <w:rPr>
                <w:rFonts w:ascii="宋体" w:hAnsi="宋体"/>
                <w:color w:val="000000"/>
                <w:sz w:val="20"/>
                <w:szCs w:val="20"/>
              </w:rPr>
            </w:pPr>
            <w:r>
              <w:rPr>
                <w:rFonts w:hint="eastAsia" w:ascii="宋体" w:hAnsi="宋体"/>
                <w:color w:val="000000"/>
                <w:sz w:val="18"/>
                <w:szCs w:val="18"/>
              </w:rPr>
              <w:t>3.在处置突发公共卫生事件中运用公共卫生服务的</w:t>
            </w:r>
            <w:r>
              <w:rPr>
                <w:rFonts w:hint="eastAsia" w:ascii="宋体" w:hAnsi="宋体"/>
                <w:color w:val="000000"/>
                <w:sz w:val="20"/>
                <w:szCs w:val="20"/>
              </w:rPr>
              <w:t>伦理原则和道德要求。</w:t>
            </w:r>
          </w:p>
          <w:p>
            <w:pPr>
              <w:snapToGrid w:val="0"/>
              <w:spacing w:line="288" w:lineRule="auto"/>
              <w:jc w:val="left"/>
              <w:rPr>
                <w:rFonts w:ascii="宋体" w:hAnsi="宋体"/>
                <w:color w:val="000000"/>
                <w:sz w:val="20"/>
                <w:szCs w:val="20"/>
              </w:rPr>
            </w:pPr>
          </w:p>
        </w:tc>
        <w:tc>
          <w:tcPr>
            <w:tcW w:w="2359" w:type="dxa"/>
          </w:tcPr>
          <w:p>
            <w:pPr>
              <w:snapToGrid w:val="0"/>
              <w:spacing w:line="288" w:lineRule="auto"/>
              <w:jc w:val="left"/>
              <w:rPr>
                <w:rFonts w:ascii="宋体" w:hAnsi="宋体"/>
                <w:color w:val="000000"/>
                <w:sz w:val="20"/>
                <w:szCs w:val="20"/>
              </w:rPr>
            </w:pPr>
            <w:r>
              <w:rPr>
                <w:rFonts w:ascii="宋体" w:hAnsi="宋体"/>
                <w:color w:val="000000"/>
                <w:sz w:val="20"/>
                <w:szCs w:val="20"/>
              </w:rPr>
              <w:t>1.</w:t>
            </w:r>
            <w:r>
              <w:rPr>
                <w:rFonts w:hint="eastAsia" w:ascii="宋体" w:hAnsi="宋体"/>
                <w:color w:val="000000"/>
                <w:sz w:val="20"/>
                <w:szCs w:val="20"/>
              </w:rPr>
              <w:t>能说出突发公共卫生事件应急处理的伦理责任和道德要求；</w:t>
            </w:r>
          </w:p>
          <w:p>
            <w:pPr>
              <w:snapToGrid w:val="0"/>
              <w:spacing w:line="288" w:lineRule="auto"/>
              <w:jc w:val="left"/>
              <w:rPr>
                <w:rFonts w:ascii="宋体" w:hAnsi="宋体"/>
                <w:color w:val="000000"/>
                <w:sz w:val="20"/>
                <w:szCs w:val="20"/>
              </w:rPr>
            </w:pPr>
            <w:r>
              <w:rPr>
                <w:rFonts w:hint="eastAsia" w:ascii="宋体" w:hAnsi="宋体"/>
                <w:color w:val="000000"/>
                <w:sz w:val="20"/>
                <w:szCs w:val="20"/>
              </w:rPr>
              <w:t>2.能说出社区卫生保健的护理伦理规范、预防保健工作的伦理道德要求；</w:t>
            </w:r>
          </w:p>
          <w:p>
            <w:pPr>
              <w:snapToGrid w:val="0"/>
              <w:spacing w:line="288" w:lineRule="auto"/>
              <w:jc w:val="left"/>
              <w:rPr>
                <w:rFonts w:ascii="宋体" w:hAnsi="宋体"/>
                <w:color w:val="000000"/>
                <w:sz w:val="20"/>
                <w:szCs w:val="20"/>
              </w:rPr>
            </w:pPr>
            <w:r>
              <w:rPr>
                <w:rFonts w:hint="eastAsia" w:ascii="宋体" w:hAnsi="宋体"/>
                <w:color w:val="000000"/>
                <w:sz w:val="20"/>
                <w:szCs w:val="20"/>
              </w:rPr>
              <w:t>3.能在处置突发公共卫生事件中运用公共卫生服务的伦理原则和道德要求。</w:t>
            </w:r>
          </w:p>
        </w:tc>
        <w:tc>
          <w:tcPr>
            <w:tcW w:w="102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公共卫生服务的伦理原则和道德要求的内容和运用</w:t>
            </w:r>
          </w:p>
        </w:tc>
        <w:tc>
          <w:tcPr>
            <w:tcW w:w="424"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p>
        </w:tc>
        <w:tc>
          <w:tcPr>
            <w:tcW w:w="435"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0</w:t>
            </w:r>
          </w:p>
        </w:tc>
        <w:tc>
          <w:tcPr>
            <w:tcW w:w="5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6" w:hRule="atLeast"/>
        </w:trPr>
        <w:tc>
          <w:tcPr>
            <w:tcW w:w="417"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9</w:t>
            </w:r>
          </w:p>
        </w:tc>
        <w:tc>
          <w:tcPr>
            <w:tcW w:w="746"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特殊医疗技术活动中的伦理道德</w:t>
            </w:r>
          </w:p>
        </w:tc>
        <w:tc>
          <w:tcPr>
            <w:tcW w:w="2617"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1.知道器官移植、辅助生殖技术的伦理原则、性伦理原则；</w:t>
            </w:r>
          </w:p>
          <w:p>
            <w:pPr>
              <w:snapToGrid w:val="0"/>
              <w:spacing w:line="288" w:lineRule="auto"/>
              <w:jc w:val="left"/>
              <w:rPr>
                <w:rFonts w:ascii="宋体" w:hAnsi="宋体"/>
                <w:color w:val="000000"/>
                <w:sz w:val="20"/>
                <w:szCs w:val="20"/>
              </w:rPr>
            </w:pPr>
            <w:r>
              <w:rPr>
                <w:rFonts w:hint="eastAsia" w:ascii="宋体" w:hAnsi="宋体"/>
                <w:color w:val="000000"/>
                <w:sz w:val="20"/>
                <w:szCs w:val="20"/>
              </w:rPr>
              <w:t>2.理解器官移植中的伦理责任与难题、选择标准；</w:t>
            </w:r>
          </w:p>
          <w:p>
            <w:pPr>
              <w:snapToGrid w:val="0"/>
              <w:spacing w:line="288" w:lineRule="auto"/>
              <w:jc w:val="left"/>
              <w:rPr>
                <w:rFonts w:ascii="宋体" w:hAnsi="宋体"/>
                <w:color w:val="000000"/>
                <w:sz w:val="20"/>
                <w:szCs w:val="20"/>
              </w:rPr>
            </w:pPr>
            <w:r>
              <w:rPr>
                <w:rFonts w:hint="eastAsia" w:ascii="宋体" w:hAnsi="宋体"/>
                <w:color w:val="000000"/>
                <w:sz w:val="20"/>
                <w:szCs w:val="20"/>
              </w:rPr>
              <w:t>3.理解辅助生殖技术的伦理价值、生育控制的伦理原则；</w:t>
            </w:r>
          </w:p>
          <w:p>
            <w:pPr>
              <w:snapToGrid w:val="0"/>
              <w:spacing w:line="288" w:lineRule="auto"/>
              <w:jc w:val="left"/>
              <w:rPr>
                <w:rFonts w:ascii="宋体" w:hAnsi="宋体"/>
                <w:color w:val="000000"/>
                <w:sz w:val="20"/>
                <w:szCs w:val="20"/>
              </w:rPr>
            </w:pPr>
            <w:r>
              <w:rPr>
                <w:rFonts w:hint="eastAsia" w:ascii="宋体" w:hAnsi="宋体"/>
                <w:color w:val="000000"/>
                <w:sz w:val="20"/>
                <w:szCs w:val="20"/>
              </w:rPr>
              <w:t>4.在器官移植、辅助生殖技术及性教育实践中运用基本伦理准则。</w:t>
            </w:r>
          </w:p>
        </w:tc>
        <w:tc>
          <w:tcPr>
            <w:tcW w:w="2359"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1.能说出器官移植、辅助生殖技术的伦理原则、性伦理原则；</w:t>
            </w:r>
          </w:p>
          <w:p>
            <w:pPr>
              <w:snapToGrid w:val="0"/>
              <w:spacing w:line="288" w:lineRule="auto"/>
              <w:jc w:val="left"/>
              <w:rPr>
                <w:rFonts w:ascii="宋体" w:hAnsi="宋体"/>
                <w:color w:val="000000"/>
                <w:sz w:val="20"/>
                <w:szCs w:val="20"/>
              </w:rPr>
            </w:pPr>
            <w:r>
              <w:rPr>
                <w:rFonts w:hint="eastAsia" w:ascii="宋体" w:hAnsi="宋体"/>
                <w:color w:val="000000"/>
                <w:sz w:val="20"/>
                <w:szCs w:val="20"/>
              </w:rPr>
              <w:t>2.能阐述器官移植中的伦理责任与难题、选择标准；</w:t>
            </w:r>
          </w:p>
          <w:p>
            <w:pPr>
              <w:snapToGrid w:val="0"/>
              <w:spacing w:line="288" w:lineRule="auto"/>
              <w:jc w:val="left"/>
              <w:rPr>
                <w:rFonts w:ascii="宋体" w:hAnsi="宋体"/>
                <w:color w:val="000000"/>
                <w:sz w:val="20"/>
                <w:szCs w:val="20"/>
              </w:rPr>
            </w:pPr>
            <w:r>
              <w:rPr>
                <w:rFonts w:hint="eastAsia" w:ascii="宋体" w:hAnsi="宋体"/>
                <w:color w:val="000000"/>
                <w:sz w:val="20"/>
                <w:szCs w:val="20"/>
              </w:rPr>
              <w:t>3.能阐述辅助生殖技术的伦理价值、生育控制的伦理原则；</w:t>
            </w:r>
          </w:p>
          <w:p>
            <w:pPr>
              <w:snapToGrid w:val="0"/>
              <w:spacing w:line="288" w:lineRule="auto"/>
              <w:jc w:val="left"/>
              <w:rPr>
                <w:rFonts w:ascii="宋体" w:hAnsi="宋体"/>
                <w:color w:val="000000"/>
                <w:sz w:val="20"/>
                <w:szCs w:val="20"/>
              </w:rPr>
            </w:pPr>
            <w:r>
              <w:rPr>
                <w:rFonts w:hint="eastAsia" w:ascii="宋体" w:hAnsi="宋体"/>
                <w:color w:val="000000"/>
                <w:sz w:val="20"/>
                <w:szCs w:val="20"/>
              </w:rPr>
              <w:t>4.能运用基本伦理准则，分析器官移植、辅助生殖技术及性教育实践中的具体问题。</w:t>
            </w:r>
          </w:p>
        </w:tc>
        <w:tc>
          <w:tcPr>
            <w:tcW w:w="102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器官移植、辅助生殖技术及性教育实践中基本伦理准则的内容和</w:t>
            </w:r>
            <w:bookmarkStart w:id="1" w:name="_GoBack"/>
            <w:bookmarkEnd w:id="1"/>
            <w:r>
              <w:rPr>
                <w:rFonts w:hint="eastAsia" w:ascii="宋体" w:hAnsi="宋体"/>
                <w:color w:val="000000"/>
                <w:sz w:val="20"/>
                <w:szCs w:val="20"/>
              </w:rPr>
              <w:t>运用</w:t>
            </w:r>
          </w:p>
        </w:tc>
        <w:tc>
          <w:tcPr>
            <w:tcW w:w="424" w:type="dxa"/>
          </w:tcPr>
          <w:p>
            <w:pPr>
              <w:snapToGrid w:val="0"/>
              <w:spacing w:line="288" w:lineRule="auto"/>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1</w:t>
            </w:r>
          </w:p>
        </w:tc>
        <w:tc>
          <w:tcPr>
            <w:tcW w:w="435"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0</w:t>
            </w:r>
          </w:p>
        </w:tc>
        <w:tc>
          <w:tcPr>
            <w:tcW w:w="518" w:type="dxa"/>
          </w:tcPr>
          <w:p>
            <w:pPr>
              <w:snapToGrid w:val="0"/>
              <w:spacing w:line="288" w:lineRule="auto"/>
              <w:rPr>
                <w:rFonts w:hint="eastAsia" w:ascii="宋体" w:hAnsi="宋体" w:eastAsia="宋体"/>
                <w:color w:val="000000"/>
                <w:sz w:val="20"/>
                <w:szCs w:val="20"/>
                <w:lang w:eastAsia="zh-CN"/>
              </w:rPr>
            </w:pPr>
            <w:r>
              <w:rPr>
                <w:rFonts w:hint="eastAsia" w:ascii="宋体" w:hAnsi="宋体"/>
                <w:color w:val="000000"/>
                <w:sz w:val="20"/>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5" w:hRule="atLeast"/>
        </w:trPr>
        <w:tc>
          <w:tcPr>
            <w:tcW w:w="417"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10</w:t>
            </w:r>
          </w:p>
        </w:tc>
        <w:tc>
          <w:tcPr>
            <w:tcW w:w="746"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临终关怀与死亡的伦理道德</w:t>
            </w:r>
          </w:p>
        </w:tc>
        <w:tc>
          <w:tcPr>
            <w:tcW w:w="2617"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1.知道临终关怀概念、特点及伦理意义；  2.知道脑死亡标准的演变及伦理意义；  3.知道安乐死的历史演进及伦理争议；  4.在护理实践中运用临终关怀和尸体护理的伦理道德。</w:t>
            </w:r>
          </w:p>
        </w:tc>
        <w:tc>
          <w:tcPr>
            <w:tcW w:w="2359"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 xml:space="preserve">1.能说出临终关怀概念、特点及伦理意义；  </w:t>
            </w:r>
          </w:p>
          <w:p>
            <w:pPr>
              <w:snapToGrid w:val="0"/>
              <w:spacing w:line="288" w:lineRule="auto"/>
              <w:jc w:val="left"/>
              <w:rPr>
                <w:rFonts w:ascii="宋体" w:hAnsi="宋体"/>
                <w:color w:val="000000"/>
                <w:sz w:val="20"/>
                <w:szCs w:val="20"/>
              </w:rPr>
            </w:pPr>
            <w:r>
              <w:rPr>
                <w:rFonts w:hint="eastAsia" w:ascii="宋体" w:hAnsi="宋体"/>
                <w:color w:val="000000"/>
                <w:sz w:val="20"/>
                <w:szCs w:val="20"/>
              </w:rPr>
              <w:t xml:space="preserve">2.能说出脑死亡标准的演变及伦理意义；  </w:t>
            </w:r>
          </w:p>
          <w:p>
            <w:pPr>
              <w:snapToGrid w:val="0"/>
              <w:spacing w:line="288" w:lineRule="auto"/>
              <w:jc w:val="left"/>
              <w:rPr>
                <w:rFonts w:ascii="宋体" w:hAnsi="宋体"/>
                <w:color w:val="000000"/>
                <w:sz w:val="20"/>
                <w:szCs w:val="20"/>
              </w:rPr>
            </w:pPr>
            <w:r>
              <w:rPr>
                <w:rFonts w:hint="eastAsia" w:ascii="宋体" w:hAnsi="宋体"/>
                <w:color w:val="000000"/>
                <w:sz w:val="20"/>
                <w:szCs w:val="20"/>
              </w:rPr>
              <w:t xml:space="preserve">3.能阐述安乐死的历史演进及伦理争议；  </w:t>
            </w:r>
          </w:p>
          <w:p>
            <w:pPr>
              <w:snapToGrid w:val="0"/>
              <w:spacing w:line="288" w:lineRule="auto"/>
              <w:jc w:val="left"/>
              <w:rPr>
                <w:rFonts w:ascii="宋体" w:hAnsi="宋体"/>
                <w:color w:val="000000"/>
                <w:sz w:val="20"/>
                <w:szCs w:val="20"/>
              </w:rPr>
            </w:pPr>
            <w:r>
              <w:rPr>
                <w:rFonts w:hint="eastAsia" w:ascii="宋体" w:hAnsi="宋体"/>
                <w:color w:val="000000"/>
                <w:sz w:val="20"/>
                <w:szCs w:val="20"/>
              </w:rPr>
              <w:t>4.能在护理实践中运用临终关怀和尸体护理的伦理道德。</w:t>
            </w:r>
          </w:p>
        </w:tc>
        <w:tc>
          <w:tcPr>
            <w:tcW w:w="102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临终关怀和尸体护理的伦理道德的内容和运用</w:t>
            </w:r>
          </w:p>
        </w:tc>
        <w:tc>
          <w:tcPr>
            <w:tcW w:w="424" w:type="dxa"/>
          </w:tcPr>
          <w:p>
            <w:pPr>
              <w:snapToGrid w:val="0"/>
              <w:spacing w:line="288" w:lineRule="auto"/>
              <w:jc w:val="center"/>
              <w:rPr>
                <w:rFonts w:hint="eastAsia" w:ascii="宋体" w:hAnsi="宋体" w:eastAsia="宋体"/>
                <w:color w:val="000000"/>
                <w:sz w:val="20"/>
                <w:szCs w:val="20"/>
                <w:lang w:eastAsia="zh-CN"/>
              </w:rPr>
            </w:pPr>
            <w:r>
              <w:rPr>
                <w:rFonts w:hint="eastAsia" w:ascii="宋体" w:hAnsi="宋体"/>
                <w:color w:val="000000"/>
                <w:sz w:val="20"/>
                <w:szCs w:val="20"/>
                <w:lang w:val="en-US" w:eastAsia="zh-CN"/>
              </w:rPr>
              <w:t>1</w:t>
            </w:r>
          </w:p>
        </w:tc>
        <w:tc>
          <w:tcPr>
            <w:tcW w:w="435"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0</w:t>
            </w:r>
          </w:p>
        </w:tc>
        <w:tc>
          <w:tcPr>
            <w:tcW w:w="518" w:type="dxa"/>
          </w:tcPr>
          <w:p>
            <w:pPr>
              <w:snapToGrid w:val="0"/>
              <w:spacing w:line="288" w:lineRule="auto"/>
              <w:jc w:val="center"/>
              <w:rPr>
                <w:rFonts w:hint="eastAsia" w:ascii="宋体" w:hAnsi="宋体" w:eastAsia="宋体"/>
                <w:color w:val="000000"/>
                <w:sz w:val="20"/>
                <w:szCs w:val="20"/>
                <w:lang w:eastAsia="zh-CN"/>
              </w:rPr>
            </w:pPr>
            <w:r>
              <w:rPr>
                <w:rFonts w:hint="eastAsia" w:ascii="宋体" w:hAnsi="宋体"/>
                <w:color w:val="000000"/>
                <w:sz w:val="20"/>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17"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11</w:t>
            </w:r>
          </w:p>
        </w:tc>
        <w:tc>
          <w:tcPr>
            <w:tcW w:w="746"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护理科研工作中的伦理道德</w:t>
            </w:r>
          </w:p>
        </w:tc>
        <w:tc>
          <w:tcPr>
            <w:tcW w:w="2617"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w:t>
            </w:r>
            <w:r>
              <w:rPr>
                <w:rFonts w:ascii="宋体" w:hAnsi="宋体"/>
                <w:color w:val="000000"/>
                <w:sz w:val="20"/>
                <w:szCs w:val="20"/>
              </w:rPr>
              <w:t>护理科研原则</w:t>
            </w:r>
            <w:r>
              <w:rPr>
                <w:rFonts w:hint="eastAsia" w:ascii="宋体" w:hAnsi="宋体"/>
                <w:color w:val="000000"/>
                <w:sz w:val="20"/>
                <w:szCs w:val="20"/>
              </w:rPr>
              <w:t>及</w:t>
            </w:r>
            <w:r>
              <w:rPr>
                <w:rFonts w:ascii="宋体" w:hAnsi="宋体"/>
                <w:color w:val="000000"/>
                <w:sz w:val="20"/>
                <w:szCs w:val="20"/>
              </w:rPr>
              <w:t>基本规范</w:t>
            </w:r>
            <w:r>
              <w:rPr>
                <w:rFonts w:hint="eastAsia" w:ascii="宋体" w:hAnsi="宋体"/>
                <w:color w:val="000000"/>
                <w:sz w:val="20"/>
                <w:szCs w:val="20"/>
              </w:rPr>
              <w:t>；</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w:t>
            </w:r>
            <w:r>
              <w:rPr>
                <w:rFonts w:ascii="宋体" w:hAnsi="宋体"/>
                <w:color w:val="000000"/>
                <w:sz w:val="20"/>
                <w:szCs w:val="20"/>
              </w:rPr>
              <w:t>人体实验的基本原则</w:t>
            </w:r>
            <w:r>
              <w:rPr>
                <w:rFonts w:hint="eastAsia" w:ascii="宋体" w:hAnsi="宋体"/>
                <w:color w:val="000000"/>
                <w:sz w:val="20"/>
                <w:szCs w:val="20"/>
              </w:rPr>
              <w:t>；</w:t>
            </w:r>
          </w:p>
          <w:p>
            <w:pPr>
              <w:snapToGrid w:val="0"/>
              <w:spacing w:line="288" w:lineRule="auto"/>
              <w:jc w:val="left"/>
              <w:rPr>
                <w:rFonts w:ascii="宋体" w:hAnsi="宋体"/>
                <w:color w:val="000000"/>
                <w:sz w:val="20"/>
                <w:szCs w:val="20"/>
              </w:rPr>
            </w:pPr>
            <w:r>
              <w:rPr>
                <w:rFonts w:hint="eastAsia" w:ascii="宋体" w:hAnsi="宋体"/>
                <w:color w:val="000000"/>
                <w:sz w:val="20"/>
                <w:szCs w:val="20"/>
              </w:rPr>
              <w:t>3.知道</w:t>
            </w:r>
            <w:r>
              <w:rPr>
                <w:rFonts w:ascii="宋体" w:hAnsi="宋体"/>
                <w:color w:val="000000"/>
                <w:sz w:val="20"/>
                <w:szCs w:val="20"/>
              </w:rPr>
              <w:t>科研行为不端的定义</w:t>
            </w:r>
            <w:r>
              <w:rPr>
                <w:rFonts w:hint="eastAsia" w:ascii="宋体" w:hAnsi="宋体"/>
                <w:color w:val="000000"/>
                <w:sz w:val="20"/>
                <w:szCs w:val="20"/>
              </w:rPr>
              <w:t>；</w:t>
            </w:r>
          </w:p>
          <w:p>
            <w:pPr>
              <w:snapToGrid w:val="0"/>
              <w:spacing w:line="288" w:lineRule="auto"/>
              <w:jc w:val="left"/>
              <w:rPr>
                <w:rFonts w:ascii="宋体" w:hAnsi="宋体"/>
                <w:color w:val="000000"/>
                <w:sz w:val="20"/>
                <w:szCs w:val="20"/>
              </w:rPr>
            </w:pPr>
            <w:r>
              <w:rPr>
                <w:rFonts w:hint="eastAsia" w:ascii="宋体" w:hAnsi="宋体"/>
                <w:color w:val="000000"/>
                <w:sz w:val="20"/>
                <w:szCs w:val="20"/>
              </w:rPr>
              <w:t>4.理解</w:t>
            </w:r>
            <w:r>
              <w:rPr>
                <w:rFonts w:ascii="宋体" w:hAnsi="宋体"/>
                <w:color w:val="000000"/>
                <w:sz w:val="20"/>
                <w:szCs w:val="20"/>
              </w:rPr>
              <w:t>人体实验中的伦理矛盾</w:t>
            </w:r>
            <w:r>
              <w:rPr>
                <w:rFonts w:hint="eastAsia" w:ascii="宋体" w:hAnsi="宋体"/>
                <w:color w:val="000000"/>
                <w:sz w:val="20"/>
                <w:szCs w:val="20"/>
              </w:rPr>
              <w:t>；</w:t>
            </w:r>
          </w:p>
          <w:p>
            <w:pPr>
              <w:snapToGrid w:val="0"/>
              <w:spacing w:line="288" w:lineRule="auto"/>
              <w:jc w:val="left"/>
              <w:rPr>
                <w:rFonts w:ascii="宋体" w:hAnsi="宋体"/>
                <w:color w:val="000000"/>
                <w:sz w:val="20"/>
                <w:szCs w:val="20"/>
              </w:rPr>
            </w:pPr>
            <w:r>
              <w:rPr>
                <w:rFonts w:hint="eastAsia" w:ascii="宋体" w:hAnsi="宋体"/>
                <w:color w:val="000000"/>
                <w:sz w:val="20"/>
                <w:szCs w:val="20"/>
              </w:rPr>
              <w:t>5.</w:t>
            </w:r>
            <w:r>
              <w:rPr>
                <w:rFonts w:ascii="宋体" w:hAnsi="宋体"/>
                <w:color w:val="000000"/>
                <w:sz w:val="20"/>
                <w:szCs w:val="20"/>
              </w:rPr>
              <w:t>能辨别科硏中的不端行为</w:t>
            </w:r>
            <w:r>
              <w:rPr>
                <w:rFonts w:hint="eastAsia" w:ascii="宋体" w:hAnsi="宋体"/>
                <w:color w:val="000000"/>
                <w:sz w:val="20"/>
                <w:szCs w:val="20"/>
              </w:rPr>
              <w:t>；</w:t>
            </w:r>
          </w:p>
          <w:p>
            <w:pPr>
              <w:snapToGrid w:val="0"/>
              <w:spacing w:line="288" w:lineRule="auto"/>
              <w:jc w:val="left"/>
              <w:rPr>
                <w:rFonts w:ascii="宋体" w:hAnsi="宋体"/>
                <w:color w:val="000000"/>
                <w:sz w:val="20"/>
                <w:szCs w:val="20"/>
              </w:rPr>
            </w:pPr>
            <w:r>
              <w:rPr>
                <w:rFonts w:hint="eastAsia" w:ascii="宋体" w:hAnsi="宋体"/>
                <w:color w:val="000000"/>
                <w:sz w:val="20"/>
                <w:szCs w:val="20"/>
              </w:rPr>
              <w:t>6.</w:t>
            </w:r>
            <w:r>
              <w:rPr>
                <w:rFonts w:ascii="宋体" w:hAnsi="宋体"/>
                <w:color w:val="000000"/>
                <w:sz w:val="20"/>
                <w:szCs w:val="20"/>
              </w:rPr>
              <w:t>开展护理科研活动</w:t>
            </w:r>
            <w:r>
              <w:rPr>
                <w:rFonts w:hint="eastAsia" w:ascii="宋体" w:hAnsi="宋体"/>
                <w:color w:val="000000"/>
                <w:sz w:val="20"/>
                <w:szCs w:val="20"/>
              </w:rPr>
              <w:t>中</w:t>
            </w:r>
            <w:r>
              <w:rPr>
                <w:rFonts w:ascii="宋体" w:hAnsi="宋体"/>
                <w:color w:val="000000"/>
                <w:sz w:val="20"/>
                <w:szCs w:val="20"/>
              </w:rPr>
              <w:t>运用科硏的基本原</w:t>
            </w:r>
          </w:p>
          <w:p>
            <w:pPr>
              <w:snapToGrid w:val="0"/>
              <w:spacing w:line="288" w:lineRule="auto"/>
              <w:jc w:val="left"/>
              <w:rPr>
                <w:rFonts w:ascii="宋体" w:hAnsi="宋体"/>
                <w:color w:val="000000"/>
                <w:sz w:val="20"/>
                <w:szCs w:val="20"/>
              </w:rPr>
            </w:pPr>
            <w:r>
              <w:rPr>
                <w:rFonts w:ascii="宋体" w:hAnsi="宋体"/>
                <w:color w:val="000000"/>
                <w:sz w:val="20"/>
                <w:szCs w:val="20"/>
              </w:rPr>
              <w:t>则和规范</w:t>
            </w:r>
            <w:r>
              <w:rPr>
                <w:rFonts w:hint="eastAsia" w:ascii="宋体" w:hAnsi="宋体"/>
                <w:color w:val="000000"/>
                <w:sz w:val="20"/>
                <w:szCs w:val="20"/>
              </w:rPr>
              <w:t>。</w:t>
            </w:r>
          </w:p>
        </w:tc>
        <w:tc>
          <w:tcPr>
            <w:tcW w:w="2359"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1.能说出</w:t>
            </w:r>
            <w:r>
              <w:rPr>
                <w:rFonts w:ascii="宋体" w:hAnsi="宋体"/>
                <w:color w:val="000000"/>
                <w:sz w:val="20"/>
                <w:szCs w:val="20"/>
              </w:rPr>
              <w:t>护理科研原则</w:t>
            </w:r>
            <w:r>
              <w:rPr>
                <w:rFonts w:hint="eastAsia" w:ascii="宋体" w:hAnsi="宋体"/>
                <w:color w:val="000000"/>
                <w:sz w:val="20"/>
                <w:szCs w:val="20"/>
              </w:rPr>
              <w:t>及</w:t>
            </w:r>
            <w:r>
              <w:rPr>
                <w:rFonts w:ascii="宋体" w:hAnsi="宋体"/>
                <w:color w:val="000000"/>
                <w:sz w:val="20"/>
                <w:szCs w:val="20"/>
              </w:rPr>
              <w:t>基本规范</w:t>
            </w:r>
            <w:r>
              <w:rPr>
                <w:rFonts w:hint="eastAsia" w:ascii="宋体" w:hAnsi="宋体"/>
                <w:color w:val="000000"/>
                <w:sz w:val="20"/>
                <w:szCs w:val="20"/>
              </w:rPr>
              <w:t>；</w:t>
            </w:r>
          </w:p>
          <w:p>
            <w:pPr>
              <w:snapToGrid w:val="0"/>
              <w:spacing w:line="288" w:lineRule="auto"/>
              <w:jc w:val="left"/>
              <w:rPr>
                <w:rFonts w:ascii="宋体" w:hAnsi="宋体"/>
                <w:color w:val="000000"/>
                <w:sz w:val="20"/>
                <w:szCs w:val="20"/>
              </w:rPr>
            </w:pPr>
            <w:r>
              <w:rPr>
                <w:rFonts w:hint="eastAsia" w:ascii="宋体" w:hAnsi="宋体"/>
                <w:color w:val="000000"/>
                <w:sz w:val="20"/>
                <w:szCs w:val="20"/>
              </w:rPr>
              <w:t>2.能说出</w:t>
            </w:r>
            <w:r>
              <w:rPr>
                <w:rFonts w:ascii="宋体" w:hAnsi="宋体"/>
                <w:color w:val="000000"/>
                <w:sz w:val="20"/>
                <w:szCs w:val="20"/>
              </w:rPr>
              <w:t>人体实验的基本原则</w:t>
            </w:r>
            <w:r>
              <w:rPr>
                <w:rFonts w:hint="eastAsia" w:ascii="宋体" w:hAnsi="宋体"/>
                <w:color w:val="000000"/>
                <w:sz w:val="20"/>
                <w:szCs w:val="20"/>
              </w:rPr>
              <w:t>；</w:t>
            </w:r>
          </w:p>
          <w:p>
            <w:pPr>
              <w:snapToGrid w:val="0"/>
              <w:spacing w:line="288" w:lineRule="auto"/>
              <w:jc w:val="left"/>
              <w:rPr>
                <w:rFonts w:ascii="宋体" w:hAnsi="宋体"/>
                <w:color w:val="000000"/>
                <w:sz w:val="20"/>
                <w:szCs w:val="20"/>
              </w:rPr>
            </w:pPr>
            <w:r>
              <w:rPr>
                <w:rFonts w:hint="eastAsia" w:ascii="宋体" w:hAnsi="宋体"/>
                <w:color w:val="000000"/>
                <w:sz w:val="20"/>
                <w:szCs w:val="20"/>
              </w:rPr>
              <w:t>3.能说出</w:t>
            </w:r>
            <w:r>
              <w:rPr>
                <w:rFonts w:ascii="宋体" w:hAnsi="宋体"/>
                <w:color w:val="000000"/>
                <w:sz w:val="20"/>
                <w:szCs w:val="20"/>
              </w:rPr>
              <w:t>科研行为不端的定义</w:t>
            </w:r>
            <w:r>
              <w:rPr>
                <w:rFonts w:hint="eastAsia" w:ascii="宋体" w:hAnsi="宋体"/>
                <w:color w:val="000000"/>
                <w:sz w:val="20"/>
                <w:szCs w:val="20"/>
              </w:rPr>
              <w:t>；</w:t>
            </w:r>
          </w:p>
          <w:p>
            <w:pPr>
              <w:snapToGrid w:val="0"/>
              <w:spacing w:line="288" w:lineRule="auto"/>
              <w:jc w:val="left"/>
              <w:rPr>
                <w:rFonts w:ascii="宋体" w:hAnsi="宋体"/>
                <w:color w:val="000000"/>
                <w:sz w:val="20"/>
                <w:szCs w:val="20"/>
              </w:rPr>
            </w:pPr>
            <w:r>
              <w:rPr>
                <w:rFonts w:hint="eastAsia" w:ascii="宋体" w:hAnsi="宋体"/>
                <w:color w:val="000000"/>
                <w:sz w:val="20"/>
                <w:szCs w:val="20"/>
              </w:rPr>
              <w:t>4.能阐述</w:t>
            </w:r>
            <w:r>
              <w:rPr>
                <w:rFonts w:ascii="宋体" w:hAnsi="宋体"/>
                <w:color w:val="000000"/>
                <w:sz w:val="20"/>
                <w:szCs w:val="20"/>
              </w:rPr>
              <w:t>人体实验中的伦理矛盾</w:t>
            </w:r>
            <w:r>
              <w:rPr>
                <w:rFonts w:hint="eastAsia" w:ascii="宋体" w:hAnsi="宋体"/>
                <w:color w:val="000000"/>
                <w:sz w:val="20"/>
                <w:szCs w:val="20"/>
              </w:rPr>
              <w:t>；</w:t>
            </w:r>
          </w:p>
          <w:p>
            <w:pPr>
              <w:snapToGrid w:val="0"/>
              <w:spacing w:line="288" w:lineRule="auto"/>
              <w:jc w:val="left"/>
              <w:rPr>
                <w:rFonts w:ascii="宋体" w:hAnsi="宋体"/>
                <w:color w:val="000000"/>
                <w:sz w:val="20"/>
                <w:szCs w:val="20"/>
              </w:rPr>
            </w:pPr>
            <w:r>
              <w:rPr>
                <w:rFonts w:hint="eastAsia" w:ascii="宋体" w:hAnsi="宋体"/>
                <w:color w:val="000000"/>
                <w:sz w:val="20"/>
                <w:szCs w:val="20"/>
              </w:rPr>
              <w:t>5.</w:t>
            </w:r>
            <w:r>
              <w:rPr>
                <w:rFonts w:ascii="宋体" w:hAnsi="宋体"/>
                <w:color w:val="000000"/>
                <w:sz w:val="20"/>
                <w:szCs w:val="20"/>
              </w:rPr>
              <w:t>能</w:t>
            </w:r>
            <w:r>
              <w:rPr>
                <w:rFonts w:hint="eastAsia" w:ascii="宋体" w:hAnsi="宋体"/>
                <w:color w:val="000000"/>
                <w:sz w:val="20"/>
                <w:szCs w:val="20"/>
              </w:rPr>
              <w:t>分析</w:t>
            </w:r>
            <w:r>
              <w:rPr>
                <w:rFonts w:ascii="宋体" w:hAnsi="宋体"/>
                <w:color w:val="000000"/>
                <w:sz w:val="20"/>
                <w:szCs w:val="20"/>
              </w:rPr>
              <w:t>辨别科硏中的不端行为</w:t>
            </w:r>
            <w:r>
              <w:rPr>
                <w:rFonts w:hint="eastAsia" w:ascii="宋体" w:hAnsi="宋体"/>
                <w:color w:val="000000"/>
                <w:sz w:val="20"/>
                <w:szCs w:val="20"/>
              </w:rPr>
              <w:t>；</w:t>
            </w:r>
          </w:p>
          <w:p>
            <w:pPr>
              <w:snapToGrid w:val="0"/>
              <w:spacing w:line="288" w:lineRule="auto"/>
              <w:jc w:val="left"/>
              <w:rPr>
                <w:rFonts w:ascii="宋体" w:hAnsi="宋体"/>
                <w:color w:val="000000"/>
                <w:sz w:val="20"/>
                <w:szCs w:val="20"/>
              </w:rPr>
            </w:pPr>
            <w:r>
              <w:rPr>
                <w:rFonts w:hint="eastAsia" w:ascii="宋体" w:hAnsi="宋体"/>
                <w:color w:val="000000"/>
                <w:sz w:val="20"/>
                <w:szCs w:val="20"/>
              </w:rPr>
              <w:t>6.能</w:t>
            </w:r>
            <w:r>
              <w:rPr>
                <w:rFonts w:ascii="宋体" w:hAnsi="宋体"/>
                <w:color w:val="000000"/>
                <w:sz w:val="20"/>
                <w:szCs w:val="20"/>
              </w:rPr>
              <w:t>运用科硏的基本原则和规范开展护理科研活动</w:t>
            </w:r>
            <w:r>
              <w:rPr>
                <w:rFonts w:hint="eastAsia" w:ascii="宋体" w:hAnsi="宋体"/>
                <w:color w:val="000000"/>
                <w:sz w:val="20"/>
                <w:szCs w:val="20"/>
              </w:rPr>
              <w:t>。</w:t>
            </w:r>
          </w:p>
        </w:tc>
        <w:tc>
          <w:tcPr>
            <w:tcW w:w="102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护理科研工作中的伦理道德的运用</w:t>
            </w:r>
          </w:p>
        </w:tc>
        <w:tc>
          <w:tcPr>
            <w:tcW w:w="424" w:type="dxa"/>
          </w:tcPr>
          <w:p>
            <w:pPr>
              <w:snapToGrid w:val="0"/>
              <w:spacing w:line="288" w:lineRule="auto"/>
              <w:jc w:val="center"/>
              <w:rPr>
                <w:rFonts w:ascii="宋体" w:hAnsi="宋体"/>
                <w:color w:val="000000"/>
                <w:sz w:val="20"/>
                <w:szCs w:val="20"/>
              </w:rPr>
            </w:pPr>
            <w:r>
              <w:rPr>
                <w:rFonts w:ascii="宋体" w:hAnsi="宋体"/>
                <w:color w:val="000000"/>
                <w:sz w:val="20"/>
                <w:szCs w:val="20"/>
              </w:rPr>
              <w:t>1</w:t>
            </w:r>
          </w:p>
        </w:tc>
        <w:tc>
          <w:tcPr>
            <w:tcW w:w="435"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0</w:t>
            </w:r>
          </w:p>
        </w:tc>
        <w:tc>
          <w:tcPr>
            <w:tcW w:w="518" w:type="dxa"/>
          </w:tcPr>
          <w:p>
            <w:pPr>
              <w:snapToGrid w:val="0"/>
              <w:spacing w:line="288" w:lineRule="auto"/>
              <w:jc w:val="center"/>
              <w:rPr>
                <w:rFonts w:ascii="宋体" w:hAnsi="宋体"/>
                <w:color w:val="000000"/>
                <w:sz w:val="20"/>
                <w:szCs w:val="20"/>
              </w:rPr>
            </w:pPr>
            <w:r>
              <w:rPr>
                <w:rFonts w:ascii="宋体" w:hAnsi="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17"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12</w:t>
            </w:r>
          </w:p>
        </w:tc>
        <w:tc>
          <w:tcPr>
            <w:tcW w:w="746"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护理管理中的伦理道德</w:t>
            </w:r>
          </w:p>
        </w:tc>
        <w:tc>
          <w:tcPr>
            <w:tcW w:w="2617"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1.知道护理管理的伦理要求和意义；</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2.知道护理管理者的伦理素质；</w:t>
            </w:r>
          </w:p>
          <w:p>
            <w:pPr>
              <w:snapToGrid w:val="0"/>
              <w:spacing w:line="288" w:lineRule="auto"/>
              <w:jc w:val="left"/>
              <w:rPr>
                <w:rFonts w:ascii="宋体" w:hAnsi="宋体"/>
                <w:color w:val="000000"/>
                <w:sz w:val="20"/>
                <w:szCs w:val="20"/>
              </w:rPr>
            </w:pPr>
            <w:r>
              <w:rPr>
                <w:rFonts w:hint="eastAsia" w:ascii="宋体" w:hAnsi="宋体"/>
                <w:color w:val="000000"/>
                <w:sz w:val="20"/>
                <w:szCs w:val="20"/>
              </w:rPr>
              <w:t>3.理解护理决策的伦理意义及困境；</w:t>
            </w:r>
          </w:p>
          <w:p>
            <w:pPr>
              <w:snapToGrid w:val="0"/>
              <w:spacing w:line="288" w:lineRule="auto"/>
              <w:jc w:val="left"/>
              <w:rPr>
                <w:rFonts w:ascii="宋体" w:hAnsi="宋体"/>
                <w:color w:val="000000"/>
                <w:sz w:val="20"/>
                <w:szCs w:val="20"/>
              </w:rPr>
            </w:pPr>
            <w:r>
              <w:rPr>
                <w:rFonts w:hint="eastAsia" w:ascii="宋体" w:hAnsi="宋体"/>
                <w:color w:val="000000"/>
                <w:sz w:val="20"/>
                <w:szCs w:val="20"/>
              </w:rPr>
              <w:t>4.分析护理管理中的伦理与法律问题；</w:t>
            </w:r>
          </w:p>
          <w:p>
            <w:pPr>
              <w:snapToGrid w:val="0"/>
              <w:spacing w:line="288" w:lineRule="auto"/>
              <w:jc w:val="left"/>
              <w:rPr>
                <w:rFonts w:ascii="宋体" w:hAnsi="宋体"/>
                <w:color w:val="000000"/>
                <w:sz w:val="20"/>
                <w:szCs w:val="20"/>
              </w:rPr>
            </w:pPr>
            <w:r>
              <w:rPr>
                <w:rFonts w:hint="eastAsia" w:ascii="宋体" w:hAnsi="宋体"/>
                <w:color w:val="000000"/>
                <w:sz w:val="20"/>
                <w:szCs w:val="20"/>
              </w:rPr>
              <w:t>5.在护理决策中运用伦理原则。</w:t>
            </w:r>
          </w:p>
        </w:tc>
        <w:tc>
          <w:tcPr>
            <w:tcW w:w="2359"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1.能说出护理管理的伦理要求和意义；</w:t>
            </w:r>
          </w:p>
          <w:p>
            <w:pPr>
              <w:snapToGrid w:val="0"/>
              <w:spacing w:line="288" w:lineRule="auto"/>
              <w:jc w:val="left"/>
              <w:rPr>
                <w:rFonts w:ascii="宋体" w:hAnsi="宋体"/>
                <w:color w:val="000000"/>
                <w:sz w:val="20"/>
                <w:szCs w:val="20"/>
              </w:rPr>
            </w:pPr>
            <w:r>
              <w:rPr>
                <w:rFonts w:hint="eastAsia" w:ascii="宋体" w:hAnsi="宋体"/>
                <w:color w:val="000000"/>
                <w:sz w:val="20"/>
                <w:szCs w:val="20"/>
              </w:rPr>
              <w:t>2.能说出护理管理者的伦理素质；</w:t>
            </w:r>
          </w:p>
          <w:p>
            <w:pPr>
              <w:snapToGrid w:val="0"/>
              <w:spacing w:line="288" w:lineRule="auto"/>
              <w:jc w:val="left"/>
              <w:rPr>
                <w:rFonts w:ascii="宋体" w:hAnsi="宋体"/>
                <w:color w:val="000000"/>
                <w:sz w:val="20"/>
                <w:szCs w:val="20"/>
              </w:rPr>
            </w:pPr>
            <w:r>
              <w:rPr>
                <w:rFonts w:hint="eastAsia" w:ascii="宋体" w:hAnsi="宋体"/>
                <w:color w:val="000000"/>
                <w:sz w:val="20"/>
                <w:szCs w:val="20"/>
              </w:rPr>
              <w:t>3.能阐述护理决策的伦理意义及困境；</w:t>
            </w:r>
          </w:p>
          <w:p>
            <w:pPr>
              <w:snapToGrid w:val="0"/>
              <w:spacing w:line="288" w:lineRule="auto"/>
              <w:jc w:val="left"/>
              <w:rPr>
                <w:rFonts w:ascii="宋体" w:hAnsi="宋体"/>
                <w:color w:val="000000"/>
                <w:sz w:val="20"/>
                <w:szCs w:val="20"/>
              </w:rPr>
            </w:pPr>
            <w:r>
              <w:rPr>
                <w:rFonts w:hint="eastAsia" w:ascii="宋体" w:hAnsi="宋体"/>
                <w:color w:val="000000"/>
                <w:sz w:val="20"/>
                <w:szCs w:val="20"/>
              </w:rPr>
              <w:t>4.能分析护理管理中的伦理与法律问题；</w:t>
            </w:r>
          </w:p>
          <w:p>
            <w:pPr>
              <w:snapToGrid w:val="0"/>
              <w:spacing w:line="288" w:lineRule="auto"/>
              <w:jc w:val="left"/>
              <w:rPr>
                <w:rFonts w:ascii="宋体" w:hAnsi="宋体"/>
                <w:color w:val="000000"/>
                <w:sz w:val="20"/>
                <w:szCs w:val="20"/>
              </w:rPr>
            </w:pPr>
            <w:r>
              <w:rPr>
                <w:rFonts w:hint="eastAsia" w:ascii="宋体" w:hAnsi="宋体"/>
                <w:color w:val="000000"/>
                <w:sz w:val="20"/>
                <w:szCs w:val="20"/>
              </w:rPr>
              <w:t>5.能在护理决策中运用伦理原则。</w:t>
            </w:r>
          </w:p>
        </w:tc>
        <w:tc>
          <w:tcPr>
            <w:tcW w:w="102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伦理原则在护理决策中的运用</w:t>
            </w:r>
          </w:p>
        </w:tc>
        <w:tc>
          <w:tcPr>
            <w:tcW w:w="424"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p>
        </w:tc>
        <w:tc>
          <w:tcPr>
            <w:tcW w:w="435"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0</w:t>
            </w:r>
          </w:p>
        </w:tc>
        <w:tc>
          <w:tcPr>
            <w:tcW w:w="518" w:type="dxa"/>
          </w:tcPr>
          <w:p>
            <w:pPr>
              <w:snapToGrid w:val="0"/>
              <w:spacing w:line="288" w:lineRule="auto"/>
              <w:jc w:val="center"/>
              <w:rPr>
                <w:rFonts w:ascii="宋体" w:hAnsi="宋体"/>
                <w:color w:val="000000"/>
                <w:sz w:val="20"/>
                <w:szCs w:val="20"/>
              </w:rPr>
            </w:pPr>
            <w:r>
              <w:rPr>
                <w:rFonts w:ascii="宋体" w:hAnsi="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417" w:type="dxa"/>
            <w:vAlign w:val="center"/>
          </w:tcPr>
          <w:p>
            <w:pPr>
              <w:snapToGrid w:val="0"/>
              <w:spacing w:line="288" w:lineRule="auto"/>
              <w:jc w:val="center"/>
              <w:rPr>
                <w:rFonts w:ascii="宋体" w:hAnsi="宋体"/>
                <w:b/>
                <w:bCs/>
                <w:color w:val="000000"/>
                <w:sz w:val="20"/>
                <w:szCs w:val="20"/>
              </w:rPr>
            </w:pPr>
            <w:r>
              <w:rPr>
                <w:rFonts w:hint="eastAsia" w:ascii="宋体" w:hAnsi="宋体"/>
                <w:b/>
                <w:bCs/>
                <w:color w:val="000000"/>
                <w:sz w:val="20"/>
                <w:szCs w:val="20"/>
              </w:rPr>
              <w:t>合计</w:t>
            </w:r>
          </w:p>
        </w:tc>
        <w:tc>
          <w:tcPr>
            <w:tcW w:w="746" w:type="dxa"/>
            <w:vAlign w:val="center"/>
          </w:tcPr>
          <w:p>
            <w:pPr>
              <w:snapToGrid w:val="0"/>
              <w:spacing w:line="288" w:lineRule="auto"/>
              <w:jc w:val="center"/>
              <w:rPr>
                <w:rFonts w:ascii="宋体" w:hAnsi="宋体"/>
                <w:b/>
                <w:bCs/>
                <w:color w:val="000000"/>
                <w:sz w:val="20"/>
                <w:szCs w:val="20"/>
              </w:rPr>
            </w:pPr>
          </w:p>
        </w:tc>
        <w:tc>
          <w:tcPr>
            <w:tcW w:w="2617" w:type="dxa"/>
            <w:vAlign w:val="center"/>
          </w:tcPr>
          <w:p>
            <w:pPr>
              <w:snapToGrid w:val="0"/>
              <w:spacing w:line="288" w:lineRule="auto"/>
              <w:jc w:val="center"/>
              <w:rPr>
                <w:rFonts w:ascii="宋体" w:hAnsi="宋体"/>
                <w:b/>
                <w:bCs/>
                <w:color w:val="000000"/>
                <w:sz w:val="20"/>
                <w:szCs w:val="20"/>
              </w:rPr>
            </w:pPr>
          </w:p>
        </w:tc>
        <w:tc>
          <w:tcPr>
            <w:tcW w:w="2359" w:type="dxa"/>
            <w:vAlign w:val="center"/>
          </w:tcPr>
          <w:p>
            <w:pPr>
              <w:snapToGrid w:val="0"/>
              <w:spacing w:line="288" w:lineRule="auto"/>
              <w:jc w:val="center"/>
              <w:rPr>
                <w:rFonts w:ascii="宋体" w:hAnsi="宋体"/>
                <w:b/>
                <w:bCs/>
                <w:color w:val="000000"/>
                <w:sz w:val="20"/>
                <w:szCs w:val="20"/>
              </w:rPr>
            </w:pPr>
          </w:p>
        </w:tc>
        <w:tc>
          <w:tcPr>
            <w:tcW w:w="1024" w:type="dxa"/>
            <w:vAlign w:val="center"/>
          </w:tcPr>
          <w:p>
            <w:pPr>
              <w:snapToGrid w:val="0"/>
              <w:spacing w:line="288" w:lineRule="auto"/>
              <w:jc w:val="center"/>
              <w:rPr>
                <w:rFonts w:ascii="宋体" w:hAnsi="宋体"/>
                <w:b/>
                <w:bCs/>
                <w:color w:val="000000"/>
                <w:sz w:val="20"/>
                <w:szCs w:val="20"/>
              </w:rPr>
            </w:pPr>
          </w:p>
        </w:tc>
        <w:tc>
          <w:tcPr>
            <w:tcW w:w="424" w:type="dxa"/>
            <w:vAlign w:val="center"/>
          </w:tcPr>
          <w:p>
            <w:pPr>
              <w:snapToGrid w:val="0"/>
              <w:spacing w:line="288" w:lineRule="auto"/>
              <w:jc w:val="center"/>
              <w:rPr>
                <w:rFonts w:ascii="宋体" w:hAnsi="宋体"/>
                <w:b/>
                <w:bCs/>
                <w:color w:val="000000"/>
                <w:sz w:val="20"/>
                <w:szCs w:val="20"/>
              </w:rPr>
            </w:pPr>
            <w:r>
              <w:rPr>
                <w:rFonts w:hint="eastAsia" w:ascii="宋体" w:hAnsi="宋体"/>
                <w:b/>
                <w:bCs/>
                <w:color w:val="000000"/>
                <w:sz w:val="20"/>
                <w:szCs w:val="20"/>
              </w:rPr>
              <w:t>16</w:t>
            </w:r>
          </w:p>
        </w:tc>
        <w:tc>
          <w:tcPr>
            <w:tcW w:w="435" w:type="dxa"/>
            <w:vAlign w:val="center"/>
          </w:tcPr>
          <w:p>
            <w:pPr>
              <w:snapToGrid w:val="0"/>
              <w:spacing w:line="288" w:lineRule="auto"/>
              <w:jc w:val="center"/>
              <w:rPr>
                <w:rFonts w:ascii="宋体" w:hAnsi="宋体"/>
                <w:b/>
                <w:bCs/>
                <w:color w:val="000000"/>
                <w:sz w:val="20"/>
                <w:szCs w:val="20"/>
              </w:rPr>
            </w:pPr>
            <w:r>
              <w:rPr>
                <w:rFonts w:hint="eastAsia" w:ascii="宋体" w:hAnsi="宋体"/>
                <w:b/>
                <w:bCs/>
                <w:color w:val="000000"/>
                <w:sz w:val="20"/>
                <w:szCs w:val="20"/>
              </w:rPr>
              <w:t>0</w:t>
            </w:r>
          </w:p>
        </w:tc>
        <w:tc>
          <w:tcPr>
            <w:tcW w:w="518" w:type="dxa"/>
            <w:vAlign w:val="center"/>
          </w:tcPr>
          <w:p>
            <w:pPr>
              <w:snapToGrid w:val="0"/>
              <w:spacing w:line="288" w:lineRule="auto"/>
              <w:jc w:val="center"/>
              <w:rPr>
                <w:rFonts w:ascii="宋体" w:hAnsi="宋体"/>
                <w:b/>
                <w:bCs/>
                <w:color w:val="000000"/>
                <w:sz w:val="20"/>
                <w:szCs w:val="20"/>
              </w:rPr>
            </w:pPr>
            <w:r>
              <w:rPr>
                <w:rFonts w:hint="eastAsia" w:ascii="宋体" w:hAnsi="宋体"/>
                <w:b/>
                <w:bCs/>
                <w:color w:val="000000"/>
                <w:sz w:val="20"/>
                <w:szCs w:val="20"/>
              </w:rPr>
              <w:t>16</w:t>
            </w:r>
          </w:p>
        </w:tc>
      </w:tr>
    </w:tbl>
    <w:p>
      <w:pPr>
        <w:widowControl/>
        <w:spacing w:before="156" w:beforeLines="50" w:after="156" w:afterLines="50" w:line="288" w:lineRule="auto"/>
        <w:ind w:firstLine="360" w:firstLineChars="150"/>
        <w:jc w:val="left"/>
        <w:rPr>
          <w:rFonts w:ascii="黑体" w:hAnsi="宋体" w:eastAsia="黑体"/>
          <w:b/>
          <w:bCs/>
          <w:sz w:val="24"/>
        </w:rPr>
      </w:pPr>
      <w:r>
        <w:rPr>
          <w:rFonts w:hint="eastAsia" w:ascii="黑体" w:hAnsi="宋体" w:eastAsia="黑体"/>
          <w:sz w:val="24"/>
        </w:rPr>
        <w:t>七、评价方式与成绩</w:t>
      </w:r>
    </w:p>
    <w:tbl>
      <w:tblPr>
        <w:tblStyle w:val="4"/>
        <w:tblpPr w:leftFromText="180" w:rightFromText="180" w:vertAnchor="text" w:horzAnchor="margin" w:tblpXSpec="center" w:tblpY="186"/>
        <w:tblOverlap w:val="never"/>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0"/>
        <w:gridCol w:w="5120"/>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600" w:type="dxa"/>
            <w:vAlign w:val="center"/>
          </w:tcPr>
          <w:p>
            <w:pPr>
              <w:snapToGrid w:val="0"/>
              <w:spacing w:before="156" w:beforeLines="50" w:after="156" w:afterLines="50"/>
              <w:jc w:val="center"/>
              <w:rPr>
                <w:rFonts w:ascii="宋体"/>
                <w:b/>
                <w:bCs/>
                <w:color w:val="000000"/>
                <w:szCs w:val="20"/>
              </w:rPr>
            </w:pPr>
            <w:r>
              <w:rPr>
                <w:rFonts w:hint="eastAsia" w:ascii="宋体" w:hAnsi="宋体"/>
                <w:b/>
                <w:bCs/>
                <w:color w:val="000000"/>
                <w:szCs w:val="20"/>
              </w:rPr>
              <w:t>总评构成（</w:t>
            </w:r>
            <w:r>
              <w:rPr>
                <w:rFonts w:ascii="宋体" w:hAnsi="宋体"/>
                <w:b/>
                <w:bCs/>
                <w:color w:val="000000"/>
                <w:szCs w:val="20"/>
              </w:rPr>
              <w:t>1+X</w:t>
            </w:r>
            <w:r>
              <w:rPr>
                <w:rFonts w:hint="eastAsia" w:ascii="宋体" w:hAnsi="宋体"/>
                <w:b/>
                <w:bCs/>
                <w:color w:val="000000"/>
                <w:szCs w:val="20"/>
              </w:rPr>
              <w:t>）</w:t>
            </w:r>
          </w:p>
        </w:tc>
        <w:tc>
          <w:tcPr>
            <w:tcW w:w="5120" w:type="dxa"/>
            <w:vAlign w:val="center"/>
          </w:tcPr>
          <w:p>
            <w:pPr>
              <w:snapToGrid w:val="0"/>
              <w:spacing w:before="156" w:beforeLines="50" w:after="156" w:afterLines="50"/>
              <w:jc w:val="center"/>
              <w:rPr>
                <w:rFonts w:ascii="宋体"/>
                <w:b/>
                <w:bCs/>
                <w:color w:val="000000"/>
                <w:szCs w:val="20"/>
              </w:rPr>
            </w:pPr>
            <w:r>
              <w:rPr>
                <w:rFonts w:hint="eastAsia" w:ascii="宋体" w:hAnsi="宋体"/>
                <w:b/>
                <w:bCs/>
                <w:color w:val="000000"/>
                <w:szCs w:val="20"/>
              </w:rPr>
              <w:t>评价方式</w:t>
            </w:r>
          </w:p>
        </w:tc>
        <w:tc>
          <w:tcPr>
            <w:tcW w:w="1920" w:type="dxa"/>
            <w:vAlign w:val="center"/>
          </w:tcPr>
          <w:p>
            <w:pPr>
              <w:snapToGrid w:val="0"/>
              <w:spacing w:before="156" w:beforeLines="50" w:after="156" w:afterLines="50"/>
              <w:jc w:val="center"/>
              <w:rPr>
                <w:rFonts w:ascii="宋体"/>
                <w:b/>
                <w:bCs/>
                <w:color w:val="000000"/>
                <w:szCs w:val="20"/>
              </w:rPr>
            </w:pPr>
            <w:r>
              <w:rPr>
                <w:rFonts w:hint="eastAsia" w:ascii="宋体" w:hAnsi="宋体"/>
                <w:b/>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600" w:type="dxa"/>
            <w:vAlign w:val="center"/>
          </w:tcPr>
          <w:p>
            <w:pPr>
              <w:widowControl/>
              <w:spacing w:line="360" w:lineRule="auto"/>
              <w:jc w:val="center"/>
              <w:rPr>
                <w:rFonts w:ascii="宋体" w:hAnsi="宋体"/>
                <w:bCs/>
                <w:color w:val="000000"/>
                <w:sz w:val="20"/>
                <w:szCs w:val="20"/>
              </w:rPr>
            </w:pPr>
            <w:r>
              <w:rPr>
                <w:rFonts w:hint="eastAsia" w:ascii="宋体" w:hAnsi="宋体" w:cs="Arial"/>
                <w:kern w:val="0"/>
                <w:sz w:val="20"/>
                <w:szCs w:val="20"/>
              </w:rPr>
              <w:t>1</w:t>
            </w:r>
          </w:p>
        </w:tc>
        <w:tc>
          <w:tcPr>
            <w:tcW w:w="5120" w:type="dxa"/>
            <w:vAlign w:val="center"/>
          </w:tcPr>
          <w:p>
            <w:pPr>
              <w:widowControl/>
              <w:spacing w:line="360" w:lineRule="auto"/>
              <w:jc w:val="center"/>
              <w:rPr>
                <w:rFonts w:ascii="宋体"/>
                <w:bCs/>
                <w:color w:val="000000"/>
                <w:sz w:val="20"/>
                <w:szCs w:val="20"/>
              </w:rPr>
            </w:pPr>
            <w:r>
              <w:rPr>
                <w:rFonts w:hint="eastAsia" w:ascii="宋体" w:hAnsi="宋体" w:cs="Arial"/>
                <w:kern w:val="0"/>
                <w:sz w:val="20"/>
                <w:szCs w:val="20"/>
              </w:rPr>
              <w:t>期末闭卷考</w:t>
            </w:r>
          </w:p>
        </w:tc>
        <w:tc>
          <w:tcPr>
            <w:tcW w:w="1920" w:type="dxa"/>
            <w:vAlign w:val="center"/>
          </w:tcPr>
          <w:p>
            <w:pPr>
              <w:widowControl/>
              <w:spacing w:line="360" w:lineRule="auto"/>
              <w:jc w:val="center"/>
              <w:rPr>
                <w:rFonts w:ascii="宋体"/>
                <w:bCs/>
                <w:color w:val="000000"/>
                <w:sz w:val="20"/>
                <w:szCs w:val="20"/>
              </w:rPr>
            </w:pPr>
            <w:r>
              <w:rPr>
                <w:rFonts w:ascii="宋体" w:hAnsi="宋体" w:cs="Arial"/>
                <w:kern w:val="0"/>
                <w:sz w:val="20"/>
                <w:szCs w:val="20"/>
              </w:rPr>
              <w:t>5</w:t>
            </w:r>
            <w:r>
              <w:rPr>
                <w:rFonts w:hint="eastAsia" w:ascii="宋体" w:hAnsi="宋体" w:cs="Arial"/>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600" w:type="dxa"/>
            <w:vAlign w:val="center"/>
          </w:tcPr>
          <w:p>
            <w:pPr>
              <w:widowControl/>
              <w:spacing w:line="360" w:lineRule="auto"/>
              <w:jc w:val="center"/>
              <w:rPr>
                <w:rFonts w:ascii="宋体" w:hAnsi="宋体"/>
                <w:bCs/>
                <w:color w:val="000000"/>
                <w:sz w:val="20"/>
                <w:szCs w:val="20"/>
              </w:rPr>
            </w:pPr>
            <w:r>
              <w:rPr>
                <w:rFonts w:hint="eastAsia" w:ascii="宋体" w:hAnsi="宋体" w:cs="Arial"/>
                <w:kern w:val="0"/>
                <w:sz w:val="20"/>
                <w:szCs w:val="20"/>
              </w:rPr>
              <w:t>X1</w:t>
            </w:r>
          </w:p>
        </w:tc>
        <w:tc>
          <w:tcPr>
            <w:tcW w:w="5120" w:type="dxa"/>
            <w:vAlign w:val="center"/>
          </w:tcPr>
          <w:p>
            <w:pPr>
              <w:widowControl/>
              <w:spacing w:line="360" w:lineRule="auto"/>
              <w:jc w:val="center"/>
              <w:rPr>
                <w:rFonts w:ascii="宋体"/>
                <w:bCs/>
                <w:color w:val="000000"/>
                <w:sz w:val="20"/>
                <w:szCs w:val="20"/>
              </w:rPr>
            </w:pPr>
            <w:r>
              <w:rPr>
                <w:rFonts w:hint="eastAsia" w:ascii="宋体" w:hAnsi="宋体"/>
                <w:bCs/>
                <w:sz w:val="20"/>
                <w:szCs w:val="20"/>
              </w:rPr>
              <w:t>小论文</w:t>
            </w:r>
          </w:p>
        </w:tc>
        <w:tc>
          <w:tcPr>
            <w:tcW w:w="1920" w:type="dxa"/>
            <w:vAlign w:val="center"/>
          </w:tcPr>
          <w:p>
            <w:pPr>
              <w:widowControl/>
              <w:spacing w:line="360" w:lineRule="auto"/>
              <w:jc w:val="center"/>
              <w:rPr>
                <w:rFonts w:ascii="宋体"/>
                <w:bCs/>
                <w:color w:val="000000"/>
                <w:sz w:val="20"/>
                <w:szCs w:val="20"/>
              </w:rPr>
            </w:pPr>
            <w:r>
              <w:rPr>
                <w:rFonts w:hint="eastAsia" w:ascii="宋体" w:hAnsi="宋体" w:cs="Arial"/>
                <w:kern w:val="0"/>
                <w:sz w:val="20"/>
                <w:szCs w:val="20"/>
                <w:lang w:val="en-US" w:eastAsia="zh-CN"/>
              </w:rPr>
              <w:t>20</w:t>
            </w:r>
            <w:r>
              <w:rPr>
                <w:rFonts w:hint="eastAsia" w:ascii="宋体" w:hAnsi="宋体" w:cs="Arial"/>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600" w:type="dxa"/>
            <w:vAlign w:val="center"/>
          </w:tcPr>
          <w:p>
            <w:pPr>
              <w:widowControl/>
              <w:spacing w:line="360" w:lineRule="auto"/>
              <w:jc w:val="center"/>
              <w:rPr>
                <w:rFonts w:ascii="宋体" w:hAnsi="宋体"/>
                <w:bCs/>
                <w:color w:val="000000"/>
                <w:sz w:val="20"/>
                <w:szCs w:val="20"/>
              </w:rPr>
            </w:pPr>
            <w:r>
              <w:rPr>
                <w:rFonts w:hint="eastAsia" w:ascii="宋体" w:hAnsi="宋体" w:cs="Arial"/>
                <w:kern w:val="0"/>
                <w:sz w:val="20"/>
                <w:szCs w:val="20"/>
              </w:rPr>
              <w:t>X2</w:t>
            </w:r>
          </w:p>
        </w:tc>
        <w:tc>
          <w:tcPr>
            <w:tcW w:w="5120" w:type="dxa"/>
            <w:vAlign w:val="center"/>
          </w:tcPr>
          <w:p>
            <w:pPr>
              <w:snapToGrid w:val="0"/>
              <w:spacing w:line="288" w:lineRule="auto"/>
              <w:jc w:val="center"/>
              <w:rPr>
                <w:rFonts w:ascii="宋体"/>
                <w:bCs/>
                <w:color w:val="000000"/>
                <w:sz w:val="20"/>
                <w:szCs w:val="20"/>
              </w:rPr>
            </w:pPr>
            <w:r>
              <w:rPr>
                <w:rFonts w:hint="eastAsia" w:ascii="宋体" w:hAnsi="宋体" w:cs="宋体"/>
                <w:color w:val="000000"/>
                <w:kern w:val="0"/>
                <w:sz w:val="20"/>
                <w:szCs w:val="20"/>
              </w:rPr>
              <w:t>章节测验</w:t>
            </w:r>
          </w:p>
        </w:tc>
        <w:tc>
          <w:tcPr>
            <w:tcW w:w="1920" w:type="dxa"/>
            <w:vAlign w:val="center"/>
          </w:tcPr>
          <w:p>
            <w:pPr>
              <w:widowControl/>
              <w:spacing w:line="360" w:lineRule="auto"/>
              <w:jc w:val="center"/>
              <w:rPr>
                <w:rFonts w:ascii="宋体"/>
                <w:bCs/>
                <w:color w:val="000000"/>
                <w:sz w:val="20"/>
                <w:szCs w:val="20"/>
              </w:rPr>
            </w:pPr>
            <w:r>
              <w:rPr>
                <w:rFonts w:hint="eastAsia" w:ascii="宋体" w:hAnsi="宋体" w:cs="Arial"/>
                <w:kern w:val="0"/>
                <w:sz w:val="20"/>
                <w:szCs w:val="20"/>
                <w:lang w:val="en-US" w:eastAsia="zh-CN"/>
              </w:rPr>
              <w:t>15</w:t>
            </w:r>
            <w:r>
              <w:rPr>
                <w:rFonts w:hint="eastAsia" w:ascii="宋体" w:hAnsi="宋体" w:cs="Arial"/>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600" w:type="dxa"/>
            <w:vAlign w:val="center"/>
          </w:tcPr>
          <w:p>
            <w:pPr>
              <w:widowControl/>
              <w:spacing w:line="360" w:lineRule="auto"/>
              <w:jc w:val="center"/>
              <w:rPr>
                <w:rFonts w:ascii="宋体" w:hAnsi="宋体" w:cs="Arial"/>
                <w:kern w:val="0"/>
                <w:sz w:val="20"/>
                <w:szCs w:val="20"/>
              </w:rPr>
            </w:pPr>
            <w:r>
              <w:rPr>
                <w:rFonts w:hint="eastAsia" w:ascii="宋体" w:hAnsi="宋体" w:cs="Arial"/>
                <w:kern w:val="0"/>
                <w:sz w:val="20"/>
                <w:szCs w:val="20"/>
              </w:rPr>
              <w:t>X3</w:t>
            </w:r>
          </w:p>
        </w:tc>
        <w:tc>
          <w:tcPr>
            <w:tcW w:w="5120" w:type="dxa"/>
            <w:vAlign w:val="center"/>
          </w:tcPr>
          <w:p>
            <w:pPr>
              <w:widowControl/>
              <w:spacing w:line="360" w:lineRule="auto"/>
              <w:jc w:val="center"/>
              <w:rPr>
                <w:rFonts w:hint="default" w:ascii="宋体" w:hAnsi="宋体" w:eastAsia="宋体"/>
                <w:color w:val="000000"/>
                <w:sz w:val="20"/>
                <w:szCs w:val="20"/>
                <w:lang w:val="en-US" w:eastAsia="zh-CN"/>
              </w:rPr>
            </w:pPr>
            <w:r>
              <w:rPr>
                <w:rFonts w:hint="eastAsia" w:ascii="宋体" w:hAnsi="宋体" w:cs="Arial"/>
                <w:kern w:val="0"/>
                <w:sz w:val="20"/>
                <w:szCs w:val="20"/>
                <w:lang w:val="en-US" w:eastAsia="zh-CN"/>
              </w:rPr>
              <w:t>超星学习通任务完成情况</w:t>
            </w:r>
          </w:p>
        </w:tc>
        <w:tc>
          <w:tcPr>
            <w:tcW w:w="1920" w:type="dxa"/>
            <w:vAlign w:val="center"/>
          </w:tcPr>
          <w:p>
            <w:pPr>
              <w:widowControl/>
              <w:spacing w:line="360" w:lineRule="auto"/>
              <w:jc w:val="center"/>
              <w:rPr>
                <w:rFonts w:ascii="宋体" w:hAnsi="宋体"/>
                <w:color w:val="000000"/>
                <w:sz w:val="20"/>
                <w:szCs w:val="20"/>
              </w:rPr>
            </w:pPr>
            <w:r>
              <w:rPr>
                <w:rFonts w:hint="eastAsia" w:ascii="宋体" w:hAnsi="宋体" w:cs="Arial"/>
                <w:kern w:val="0"/>
                <w:sz w:val="20"/>
                <w:szCs w:val="20"/>
              </w:rPr>
              <w:t>1</w:t>
            </w:r>
            <w:r>
              <w:rPr>
                <w:rFonts w:hint="eastAsia" w:ascii="宋体" w:hAnsi="宋体" w:cs="Arial"/>
                <w:kern w:val="0"/>
                <w:sz w:val="20"/>
                <w:szCs w:val="20"/>
                <w:lang w:val="en-US" w:eastAsia="zh-CN"/>
              </w:rPr>
              <w:t>5</w:t>
            </w:r>
            <w:r>
              <w:rPr>
                <w:rFonts w:hint="eastAsia" w:ascii="宋体" w:hAnsi="宋体" w:cs="Arial"/>
                <w:kern w:val="0"/>
                <w:sz w:val="20"/>
                <w:szCs w:val="20"/>
              </w:rPr>
              <w:t>%</w:t>
            </w:r>
          </w:p>
        </w:tc>
      </w:tr>
    </w:tbl>
    <w:p>
      <w:pPr>
        <w:snapToGrid w:val="0"/>
        <w:spacing w:line="288" w:lineRule="auto"/>
        <w:rPr>
          <w:rFonts w:hint="eastAsia"/>
          <w:sz w:val="28"/>
          <w:szCs w:val="28"/>
        </w:rPr>
      </w:pPr>
    </w:p>
    <w:p>
      <w:pPr>
        <w:snapToGrid w:val="0"/>
        <w:spacing w:line="288" w:lineRule="auto"/>
        <w:rPr>
          <w:rFonts w:hint="eastAsia"/>
          <w:sz w:val="28"/>
          <w:szCs w:val="28"/>
        </w:rPr>
      </w:pPr>
    </w:p>
    <w:p>
      <w:pPr>
        <w:snapToGrid w:val="0"/>
        <w:spacing w:line="288" w:lineRule="auto"/>
        <w:rPr>
          <w:rFonts w:hint="eastAsia"/>
          <w:sz w:val="28"/>
          <w:szCs w:val="28"/>
        </w:rPr>
      </w:pPr>
      <w:r>
        <w:rPr>
          <w:rFonts w:hint="eastAsia"/>
          <w:sz w:val="28"/>
          <w:szCs w:val="28"/>
        </w:rPr>
        <w:t xml:space="preserve">撰写人：  </w:t>
      </w:r>
      <w:r>
        <w:rPr>
          <w:rFonts w:hint="eastAsia" w:eastAsia="宋体"/>
          <w:sz w:val="28"/>
          <w:szCs w:val="28"/>
          <w:lang w:eastAsia="zh-CN"/>
        </w:rPr>
        <w:drawing>
          <wp:inline distT="0" distB="0" distL="114300" distR="114300">
            <wp:extent cx="865505" cy="342265"/>
            <wp:effectExtent l="0" t="0" r="10795" b="635"/>
            <wp:docPr id="3" name="图片 3" descr="006ecbe870e15b71da4793d3858ca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06ecbe870e15b71da4793d3858ca49"/>
                    <pic:cNvPicPr>
                      <a:picLocks noChangeAspect="1"/>
                    </pic:cNvPicPr>
                  </pic:nvPicPr>
                  <pic:blipFill>
                    <a:blip r:embed="rId4"/>
                    <a:stretch>
                      <a:fillRect/>
                    </a:stretch>
                  </pic:blipFill>
                  <pic:spPr>
                    <a:xfrm>
                      <a:off x="0" y="0"/>
                      <a:ext cx="865505" cy="342265"/>
                    </a:xfrm>
                    <a:prstGeom prst="rect">
                      <a:avLst/>
                    </a:prstGeom>
                  </pic:spPr>
                </pic:pic>
              </a:graphicData>
            </a:graphic>
          </wp:inline>
        </w:drawing>
      </w:r>
      <w:r>
        <w:rPr>
          <w:rFonts w:hint="eastAsia"/>
          <w:sz w:val="28"/>
          <w:szCs w:val="28"/>
        </w:rPr>
        <w:t xml:space="preserve">         </w:t>
      </w:r>
      <w:r>
        <w:rPr>
          <w:rFonts w:hint="eastAsia"/>
          <w:sz w:val="28"/>
          <w:szCs w:val="28"/>
          <w:lang w:val="en-US" w:eastAsia="zh-CN"/>
        </w:rPr>
        <w:t xml:space="preserve">  </w:t>
      </w:r>
      <w:r>
        <w:rPr>
          <w:rFonts w:hint="eastAsia"/>
          <w:sz w:val="28"/>
          <w:szCs w:val="28"/>
        </w:rPr>
        <w:t xml:space="preserve"> 系主任审核签名：</w:t>
      </w:r>
    </w:p>
    <w:p>
      <w:pPr>
        <w:snapToGrid w:val="0"/>
        <w:spacing w:line="288" w:lineRule="auto"/>
      </w:pPr>
      <w:r>
        <w:rPr>
          <w:rFonts w:hint="eastAsia"/>
          <w:sz w:val="28"/>
          <w:szCs w:val="28"/>
        </w:rPr>
        <w:t xml:space="preserve">审核时间：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60ABC6"/>
    <w:multiLevelType w:val="singleLevel"/>
    <w:tmpl w:val="5960ABC6"/>
    <w:lvl w:ilvl="0" w:tentative="0">
      <w:start w:val="4"/>
      <w:numFmt w:val="chineseCounting"/>
      <w:suff w:val="nothing"/>
      <w:lvlText w:val="%1、"/>
      <w:lvlJc w:val="left"/>
    </w:lvl>
  </w:abstractNum>
  <w:abstractNum w:abstractNumId="1">
    <w:nsid w:val="5960ACBB"/>
    <w:multiLevelType w:val="singleLevel"/>
    <w:tmpl w:val="5960ACBB"/>
    <w:lvl w:ilvl="0" w:tentative="0">
      <w:start w:val="6"/>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7651F"/>
    <w:rsid w:val="001072BC"/>
    <w:rsid w:val="00127136"/>
    <w:rsid w:val="00256B39"/>
    <w:rsid w:val="0026033C"/>
    <w:rsid w:val="002E3721"/>
    <w:rsid w:val="00302FE9"/>
    <w:rsid w:val="00313BBA"/>
    <w:rsid w:val="0032602E"/>
    <w:rsid w:val="003367AE"/>
    <w:rsid w:val="00390AA9"/>
    <w:rsid w:val="003A219F"/>
    <w:rsid w:val="003B1258"/>
    <w:rsid w:val="003F0C23"/>
    <w:rsid w:val="004100B0"/>
    <w:rsid w:val="0043380D"/>
    <w:rsid w:val="005467DC"/>
    <w:rsid w:val="00553D03"/>
    <w:rsid w:val="005B2B6D"/>
    <w:rsid w:val="005B4B4E"/>
    <w:rsid w:val="00624FE1"/>
    <w:rsid w:val="006B52FD"/>
    <w:rsid w:val="007208D6"/>
    <w:rsid w:val="007741E3"/>
    <w:rsid w:val="007F44BA"/>
    <w:rsid w:val="00875B8A"/>
    <w:rsid w:val="008B397C"/>
    <w:rsid w:val="008B47F4"/>
    <w:rsid w:val="00900019"/>
    <w:rsid w:val="009067F3"/>
    <w:rsid w:val="0099063E"/>
    <w:rsid w:val="00A067B1"/>
    <w:rsid w:val="00A769B1"/>
    <w:rsid w:val="00A837D5"/>
    <w:rsid w:val="00AC4C45"/>
    <w:rsid w:val="00B25B95"/>
    <w:rsid w:val="00B315D7"/>
    <w:rsid w:val="00B46F21"/>
    <w:rsid w:val="00B511A5"/>
    <w:rsid w:val="00B736A7"/>
    <w:rsid w:val="00B7651F"/>
    <w:rsid w:val="00BC1F77"/>
    <w:rsid w:val="00C56E09"/>
    <w:rsid w:val="00CF096B"/>
    <w:rsid w:val="00E16D30"/>
    <w:rsid w:val="00E33169"/>
    <w:rsid w:val="00E70904"/>
    <w:rsid w:val="00EF44B1"/>
    <w:rsid w:val="00EF6AE4"/>
    <w:rsid w:val="00F35AA0"/>
    <w:rsid w:val="016E63C2"/>
    <w:rsid w:val="024B0C39"/>
    <w:rsid w:val="060C6362"/>
    <w:rsid w:val="07473208"/>
    <w:rsid w:val="0A433948"/>
    <w:rsid w:val="0A8128A6"/>
    <w:rsid w:val="0A894CF7"/>
    <w:rsid w:val="0BF32A1B"/>
    <w:rsid w:val="0D505A6B"/>
    <w:rsid w:val="0F8F7094"/>
    <w:rsid w:val="10BD2C22"/>
    <w:rsid w:val="11C412E8"/>
    <w:rsid w:val="134D58A4"/>
    <w:rsid w:val="139B6C66"/>
    <w:rsid w:val="13A46165"/>
    <w:rsid w:val="18F37BA7"/>
    <w:rsid w:val="1CE9167D"/>
    <w:rsid w:val="207E46B4"/>
    <w:rsid w:val="22987C80"/>
    <w:rsid w:val="229F0656"/>
    <w:rsid w:val="24192CCC"/>
    <w:rsid w:val="24F04E7C"/>
    <w:rsid w:val="27AE15DA"/>
    <w:rsid w:val="29E168CF"/>
    <w:rsid w:val="2F7A0D26"/>
    <w:rsid w:val="30A91022"/>
    <w:rsid w:val="30FC459A"/>
    <w:rsid w:val="36A24B9E"/>
    <w:rsid w:val="37C67DB1"/>
    <w:rsid w:val="39A66CD4"/>
    <w:rsid w:val="3C4A3023"/>
    <w:rsid w:val="3CD52CE1"/>
    <w:rsid w:val="410F2E6A"/>
    <w:rsid w:val="4430136C"/>
    <w:rsid w:val="44F21B3D"/>
    <w:rsid w:val="47026FEF"/>
    <w:rsid w:val="4A7324C1"/>
    <w:rsid w:val="4AB0382B"/>
    <w:rsid w:val="4B8F2E42"/>
    <w:rsid w:val="4BF14012"/>
    <w:rsid w:val="4DE97A7C"/>
    <w:rsid w:val="50854534"/>
    <w:rsid w:val="569868B5"/>
    <w:rsid w:val="57297E82"/>
    <w:rsid w:val="5AE40E09"/>
    <w:rsid w:val="5E08137B"/>
    <w:rsid w:val="5F6D5FBD"/>
    <w:rsid w:val="611F6817"/>
    <w:rsid w:val="63200281"/>
    <w:rsid w:val="65EB032A"/>
    <w:rsid w:val="66594E25"/>
    <w:rsid w:val="66CA1754"/>
    <w:rsid w:val="68276FBD"/>
    <w:rsid w:val="6F1E65D4"/>
    <w:rsid w:val="6F266C86"/>
    <w:rsid w:val="6F5042C2"/>
    <w:rsid w:val="74316312"/>
    <w:rsid w:val="780F13C8"/>
    <w:rsid w:val="7C385448"/>
    <w:rsid w:val="7CB3663D"/>
    <w:rsid w:val="7D97635B"/>
    <w:rsid w:val="7E07724A"/>
    <w:rsid w:val="7EBC3E05"/>
    <w:rsid w:val="7FFB26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semiHidden/>
    <w:qFormat/>
    <w:uiPriority w:val="99"/>
    <w:rPr>
      <w:sz w:val="18"/>
      <w:szCs w:val="18"/>
    </w:rPr>
  </w:style>
  <w:style w:type="character" w:customStyle="1" w:styleId="8">
    <w:name w:val="页脚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753</Words>
  <Characters>4293</Characters>
  <Lines>35</Lines>
  <Paragraphs>10</Paragraphs>
  <TotalTime>8</TotalTime>
  <ScaleCrop>false</ScaleCrop>
  <LinksUpToDate>false</LinksUpToDate>
  <CharactersWithSpaces>5036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Administrator</cp:lastModifiedBy>
  <cp:lastPrinted>2022-02-21T10:57:16Z</cp:lastPrinted>
  <dcterms:modified xsi:type="dcterms:W3CDTF">2022-02-21T10:58:17Z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0F418906425D4E018497B11DB73302D7</vt:lpwstr>
  </property>
</Properties>
</file>