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护理伦理学</w:t>
      </w:r>
      <w:r>
        <w:rPr>
          <w:rFonts w:hint="eastAsia" w:ascii="黑体" w:hAnsi="黑体" w:eastAsia="黑体"/>
          <w:bCs/>
          <w:sz w:val="32"/>
          <w:szCs w:val="32"/>
          <w:lang w:eastAsia="zh-CN"/>
        </w:rPr>
        <w:t>》</w:t>
      </w:r>
      <w:r>
        <w:rPr>
          <w:rFonts w:hint="eastAsia" w:ascii="黑体" w:hAnsi="黑体" w:eastAsia="黑体"/>
          <w:bCs/>
          <w:sz w:val="32"/>
          <w:szCs w:val="32"/>
        </w:rPr>
        <w:t>本科课程教学大纲</w:t>
      </w:r>
    </w:p>
    <w:p>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both"/>
              <w:rPr>
                <w:rFonts w:hint="default"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护理伦理学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Nursing Ethics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both"/>
              <w:rPr>
                <w:rFonts w:ascii="黑体" w:hAnsi="黑体" w:eastAsia="黑体"/>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2170095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32</w:t>
            </w:r>
          </w:p>
        </w:tc>
        <w:tc>
          <w:tcPr>
            <w:tcW w:w="1413"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both"/>
              <w:rPr>
                <w:rFonts w:ascii="黑体" w:hAnsi="黑体" w:eastAsia="黑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护理学一年级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both"/>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ind w:left="210" w:hanging="210" w:hangingChars="1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护理伦理学</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刘俊荣、范宇莹ISBN978711732868人民卫生出版社 第3版</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5"/>
              <w:widowControl w:val="0"/>
              <w:jc w:val="both"/>
              <w:rPr>
                <w:rFonts w:hint="default" w:eastAsia="宋体"/>
                <w:lang w:val="en-US" w:eastAsia="zh-CN"/>
              </w:rPr>
            </w:pPr>
            <w:r>
              <w:rPr>
                <w:rFonts w:hint="eastAsia"/>
              </w:rPr>
              <w:t>护理学导论2170094</w:t>
            </w:r>
            <w:r>
              <w:rPr>
                <w:rFonts w:hint="eastAsia"/>
                <w:lang w:val="en-US" w:eastAsia="zh-CN"/>
              </w:rPr>
              <w:t>（2）人体解剖学2070001（6）组织胚胎学2070002（2）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04"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5"/>
              <w:widowControl w:val="0"/>
              <w:numPr>
                <w:ilvl w:val="0"/>
                <w:numId w:val="0"/>
              </w:numPr>
              <w:ind w:firstLine="420" w:firstLineChars="200"/>
              <w:jc w:val="both"/>
              <w:rPr>
                <w:rFonts w:hint="default"/>
                <w:lang w:val="en-US" w:eastAsia="zh-CN"/>
              </w:rPr>
            </w:pPr>
            <w:r>
              <w:rPr>
                <w:rFonts w:hint="eastAsia"/>
                <w:lang w:val="en-US" w:eastAsia="zh-CN"/>
              </w:rPr>
              <w:t>护理伦理学是一门护理学与伦理学相交叉的边缘学科，指引着护士在专业实践中沿着正确的方向前行，为护生提供正确的价值导向，树立“以人为本，关怀照顾”的基本理念，培养“医乃仁术”的人道情怀，提高护生的护理道德修养，增强护生的护理伦理决策能力。护理伦理学系统和全面地介绍了护理伦理学的基本理论、原则规范和伦理道德要求，体现了交叉学科知识点的有机结合和相互渗透，并在此基础上紧密结合护理工作中常见的伦理问题进行分析，将临床护理及研究工作中的新成果吸收到其中，理论和实践相结合，提高护生对护理伦理问题的分析解决能力，以进一步提升其自身的伦理修养。通过本课程的学习，使护生树立正确的护理伦理价值观，培养其良好的职业道德，建立正确的伦理思维模式，具备辨识护理实践中的伦理道德问题，应用护理伦理学的基本理论和原则指导护理实践，最终做出正确决策及评价的能力。</w:t>
            </w:r>
          </w:p>
          <w:p>
            <w:pPr>
              <w:pStyle w:val="15"/>
              <w:widowControl w:val="0"/>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5"/>
              <w:widowControl w:val="0"/>
              <w:ind w:firstLine="420" w:firstLineChars="200"/>
              <w:jc w:val="both"/>
            </w:pPr>
            <w:r>
              <w:rPr>
                <w:rFonts w:hint="eastAsia" w:ascii="宋体" w:hAnsi="宋体" w:eastAsia="宋体" w:cs="宋体"/>
                <w:b w:val="0"/>
                <w:bCs/>
                <w:color w:val="000000"/>
                <w:sz w:val="21"/>
                <w:szCs w:val="21"/>
                <w:lang w:val="en-US" w:eastAsia="zh-CN"/>
              </w:rPr>
              <w:t>本课程</w:t>
            </w:r>
            <w:r>
              <w:rPr>
                <w:rFonts w:hint="eastAsia" w:cs="宋体"/>
                <w:b w:val="0"/>
                <w:bCs/>
                <w:color w:val="000000"/>
                <w:sz w:val="21"/>
                <w:szCs w:val="21"/>
                <w:lang w:val="en-US" w:eastAsia="zh-CN"/>
              </w:rPr>
              <w:t>适合护理学专业一年级学生，要求学生具</w:t>
            </w:r>
            <w:r>
              <w:rPr>
                <w:rFonts w:hint="eastAsia"/>
                <w:color w:val="000000"/>
                <w:sz w:val="21"/>
                <w:szCs w:val="21"/>
              </w:rPr>
              <w:t>有一定医学和护理</w:t>
            </w:r>
            <w:r>
              <w:rPr>
                <w:rFonts w:hint="eastAsia"/>
                <w:color w:val="000000"/>
                <w:sz w:val="21"/>
                <w:szCs w:val="21"/>
                <w:lang w:val="en-US" w:eastAsia="zh-CN"/>
              </w:rPr>
              <w:t>人文科学的</w:t>
            </w:r>
            <w:r>
              <w:rPr>
                <w:rFonts w:hint="eastAsia"/>
                <w:color w:val="000000"/>
                <w:sz w:val="21"/>
                <w:szCs w:val="21"/>
              </w:rPr>
              <w:t>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left"/>
              <w:rPr>
                <w:rFonts w:ascii="黑体" w:hAnsi="黑体" w:eastAsia="黑体"/>
                <w:color w:val="000000" w:themeColor="text1"/>
                <w:sz w:val="21"/>
                <w:szCs w:val="21"/>
                <w14:textFill>
                  <w14:solidFill>
                    <w14:schemeClr w14:val="tx1"/>
                  </w14:solidFill>
                </w14:textFill>
              </w:rPr>
            </w:pPr>
            <w:r>
              <w:rPr>
                <w:position w:val="-12"/>
              </w:rPr>
              <w:drawing>
                <wp:inline distT="0" distB="0" distL="0" distR="0">
                  <wp:extent cx="606425" cy="273685"/>
                  <wp:effectExtent l="0" t="0" r="3175" b="1206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5"/>
                          <a:stretch>
                            <a:fillRect/>
                          </a:stretch>
                        </pic:blipFill>
                        <pic:spPr>
                          <a:xfrm>
                            <a:off x="0" y="0"/>
                            <a:ext cx="606425" cy="273685"/>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2024.0</w:t>
            </w:r>
            <w:r>
              <w:rPr>
                <w:rFonts w:hint="default" w:ascii="Times New Roman" w:hAnsi="Times New Roman"/>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both"/>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spacing w:line="100" w:lineRule="exact"/>
        <w:rPr>
          <w:rFonts w:ascii="Arial" w:hAnsi="Arial" w:eastAsia="黑体"/>
        </w:rPr>
      </w:pPr>
      <w:r>
        <w:br w:type="page"/>
      </w:r>
    </w:p>
    <w:p>
      <w:pPr>
        <w:pStyle w:val="17"/>
        <w:spacing w:before="326" w:beforeLines="100" w:line="360" w:lineRule="auto"/>
        <w:rPr>
          <w:rFonts w:ascii="黑体" w:hAnsi="宋体"/>
        </w:rPr>
      </w:pPr>
      <w:r>
        <w:rPr>
          <w:rFonts w:hint="eastAsia" w:ascii="黑体" w:hAnsi="宋体"/>
        </w:rPr>
        <w:t>二、课程目标与毕业要求</w:t>
      </w:r>
    </w:p>
    <w:p>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pPr>
              <w:rPr>
                <w:rFonts w:hint="eastAsia" w:ascii="宋体" w:hAnsi="宋体" w:eastAsia="宋体"/>
                <w:bCs/>
                <w:lang w:val="en-US" w:eastAsia="zh-CN"/>
              </w:rPr>
            </w:pPr>
            <w:r>
              <w:rPr>
                <w:rFonts w:hint="eastAsia"/>
                <w:sz w:val="21"/>
                <w:szCs w:val="21"/>
                <w:lang w:val="en-US" w:eastAsia="zh-CN"/>
              </w:rPr>
              <w:t>理解护理伦理学的基本知识、基本理论、基本规范。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5"/>
              <w:rPr>
                <w:bCs/>
              </w:rPr>
            </w:pPr>
          </w:p>
        </w:tc>
        <w:tc>
          <w:tcPr>
            <w:tcW w:w="78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pPr>
              <w:rPr>
                <w:rFonts w:ascii="宋体" w:hAnsi="宋体"/>
                <w:bCs/>
              </w:rPr>
            </w:pPr>
            <w:r>
              <w:rPr>
                <w:rFonts w:hint="eastAsia"/>
                <w:sz w:val="21"/>
                <w:szCs w:val="21"/>
                <w:lang w:val="en-US" w:eastAsia="zh-CN"/>
              </w:rPr>
              <w:t>理解</w:t>
            </w:r>
            <w:r>
              <w:rPr>
                <w:rFonts w:hint="eastAsia" w:asciiTheme="minorEastAsia" w:hAnsiTheme="minorEastAsia" w:eastAsiaTheme="minorEastAsia" w:cstheme="minorEastAsia"/>
                <w:b w:val="0"/>
                <w:bCs/>
                <w:snapToGrid/>
                <w:color w:val="000000"/>
                <w:kern w:val="0"/>
                <w:sz w:val="21"/>
                <w:szCs w:val="21"/>
                <w:lang w:eastAsia="zh-CN"/>
              </w:rPr>
              <w:t>临终关怀与死亡的伦理道德</w:t>
            </w:r>
            <w:r>
              <w:rPr>
                <w:rFonts w:hint="eastAsia" w:asciiTheme="minorEastAsia" w:hAnsiTheme="minorEastAsia" w:cstheme="minorEastAsia"/>
                <w:b w:val="0"/>
                <w:bCs/>
                <w:snapToGrid/>
                <w:color w:val="00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5"/>
              <w:rPr>
                <w:bCs/>
              </w:rPr>
            </w:pPr>
          </w:p>
        </w:tc>
        <w:tc>
          <w:tcPr>
            <w:tcW w:w="782" w:type="dxa"/>
            <w:shd w:val="clear" w:color="auto" w:fill="auto"/>
            <w:vAlign w:val="center"/>
          </w:tcPr>
          <w:p>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pPr>
              <w:rPr>
                <w:rFonts w:hint="eastAsia"/>
                <w:spacing w:val="5"/>
                <w:lang w:val="en-US" w:eastAsia="zh-CN"/>
              </w:rPr>
            </w:pPr>
            <w:r>
              <w:rPr>
                <w:rFonts w:hint="eastAsia" w:asciiTheme="minorEastAsia" w:hAnsiTheme="minorEastAsia" w:cstheme="minorEastAsia"/>
                <w:b w:val="0"/>
                <w:bCs/>
                <w:snapToGrid/>
                <w:color w:val="000000"/>
                <w:kern w:val="0"/>
                <w:sz w:val="21"/>
                <w:szCs w:val="21"/>
                <w:lang w:val="en-US" w:eastAsia="zh-CN"/>
              </w:rPr>
              <w:t>知道</w:t>
            </w:r>
            <w:r>
              <w:rPr>
                <w:rFonts w:hint="eastAsia" w:asciiTheme="minorEastAsia" w:hAnsiTheme="minorEastAsia" w:eastAsiaTheme="minorEastAsia" w:cstheme="minorEastAsia"/>
                <w:b w:val="0"/>
                <w:bCs/>
                <w:snapToGrid/>
                <w:color w:val="000000"/>
                <w:kern w:val="0"/>
                <w:sz w:val="21"/>
                <w:szCs w:val="21"/>
                <w:lang w:eastAsia="zh-CN"/>
              </w:rPr>
              <w:t>公共卫生服务</w:t>
            </w:r>
            <w:r>
              <w:rPr>
                <w:rFonts w:hint="eastAsia" w:asciiTheme="minorEastAsia" w:hAnsiTheme="minorEastAsia" w:cstheme="minorEastAsia"/>
                <w:b w:val="0"/>
                <w:bCs/>
                <w:snapToGrid/>
                <w:color w:val="000000"/>
                <w:kern w:val="0"/>
                <w:sz w:val="21"/>
                <w:szCs w:val="21"/>
                <w:lang w:val="en-US" w:eastAsia="zh-CN"/>
              </w:rPr>
              <w:t>和</w:t>
            </w:r>
            <w:r>
              <w:rPr>
                <w:rFonts w:hint="eastAsia" w:asciiTheme="minorEastAsia" w:hAnsiTheme="minorEastAsia" w:eastAsiaTheme="minorEastAsia" w:cstheme="minorEastAsia"/>
                <w:b w:val="0"/>
                <w:bCs/>
                <w:snapToGrid/>
                <w:color w:val="000000"/>
                <w:kern w:val="0"/>
                <w:sz w:val="21"/>
                <w:szCs w:val="21"/>
                <w:lang w:eastAsia="zh-CN"/>
              </w:rPr>
              <w:t>特殊医疗技术活动中的伦理道德</w:t>
            </w:r>
            <w:r>
              <w:rPr>
                <w:rFonts w:hint="eastAsia" w:asciiTheme="minorEastAsia" w:hAnsiTheme="minorEastAsia" w:cstheme="minorEastAsia"/>
                <w:b w:val="0"/>
                <w:bCs/>
                <w:snapToGrid/>
                <w:color w:val="00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pPr>
              <w:pStyle w:val="15"/>
              <w:jc w:val="left"/>
              <w:rPr>
                <w:rFonts w:ascii="宋体" w:hAnsi="宋体"/>
                <w:bCs/>
              </w:rPr>
            </w:pPr>
            <w:r>
              <w:rPr>
                <w:rFonts w:hint="eastAsia" w:asciiTheme="minorEastAsia" w:hAnsiTheme="minorEastAsia" w:eastAsiaTheme="minorEastAsia" w:cstheme="minorEastAsia"/>
                <w:b w:val="0"/>
                <w:bCs/>
                <w:snapToGrid/>
                <w:color w:val="000000"/>
                <w:kern w:val="0"/>
                <w:sz w:val="21"/>
                <w:szCs w:val="21"/>
                <w:lang w:eastAsia="zh-CN"/>
              </w:rPr>
              <w:t>应用护理伦理学原则</w:t>
            </w:r>
            <w:r>
              <w:rPr>
                <w:rFonts w:hint="eastAsia" w:asciiTheme="minorEastAsia" w:hAnsiTheme="minorEastAsia" w:cstheme="minorEastAsia"/>
                <w:b w:val="0"/>
                <w:bCs/>
                <w:snapToGrid/>
                <w:color w:val="000000"/>
                <w:kern w:val="0"/>
                <w:sz w:val="21"/>
                <w:szCs w:val="21"/>
                <w:lang w:eastAsia="zh-CN"/>
              </w:rPr>
              <w:t>、</w:t>
            </w:r>
            <w:r>
              <w:rPr>
                <w:rFonts w:hint="eastAsia" w:asciiTheme="minorEastAsia" w:hAnsiTheme="minorEastAsia" w:eastAsiaTheme="minorEastAsia" w:cstheme="minorEastAsia"/>
                <w:b w:val="0"/>
                <w:bCs/>
                <w:snapToGrid/>
                <w:color w:val="000000"/>
                <w:kern w:val="0"/>
                <w:sz w:val="21"/>
                <w:szCs w:val="21"/>
                <w:lang w:eastAsia="zh-CN"/>
              </w:rPr>
              <w:t>规范处理</w:t>
            </w:r>
            <w:r>
              <w:rPr>
                <w:rFonts w:hint="eastAsia" w:asciiTheme="minorEastAsia" w:hAnsiTheme="minorEastAsia" w:cstheme="minorEastAsia"/>
                <w:b w:val="0"/>
                <w:bCs/>
                <w:snapToGrid/>
                <w:color w:val="000000"/>
                <w:kern w:val="0"/>
                <w:sz w:val="21"/>
                <w:szCs w:val="21"/>
                <w:lang w:val="en-US" w:eastAsia="zh-CN"/>
              </w:rPr>
              <w:t>临床实践伦理问题和</w:t>
            </w:r>
            <w:r>
              <w:rPr>
                <w:rFonts w:hint="eastAsia" w:asciiTheme="minorEastAsia" w:hAnsiTheme="minorEastAsia" w:eastAsiaTheme="minorEastAsia" w:cstheme="minorEastAsia"/>
                <w:b w:val="0"/>
                <w:bCs/>
                <w:snapToGrid/>
                <w:color w:val="000000"/>
                <w:kern w:val="0"/>
                <w:sz w:val="21"/>
                <w:szCs w:val="21"/>
                <w:lang w:eastAsia="zh-CN"/>
              </w:rPr>
              <w:t>护</w:t>
            </w:r>
            <w:r>
              <w:rPr>
                <w:rFonts w:hint="eastAsia" w:asciiTheme="minorEastAsia" w:hAnsiTheme="minorEastAsia" w:cstheme="minorEastAsia"/>
                <w:b w:val="0"/>
                <w:bCs/>
                <w:snapToGrid/>
                <w:color w:val="000000"/>
                <w:kern w:val="0"/>
                <w:sz w:val="21"/>
                <w:szCs w:val="21"/>
                <w:lang w:val="en-US" w:eastAsia="zh-CN"/>
              </w:rPr>
              <w:t>理</w:t>
            </w:r>
            <w:r>
              <w:rPr>
                <w:rFonts w:hint="eastAsia" w:asciiTheme="minorEastAsia" w:hAnsiTheme="minorEastAsia" w:eastAsiaTheme="minorEastAsia" w:cstheme="minorEastAsia"/>
                <w:b w:val="0"/>
                <w:bCs/>
                <w:snapToGrid/>
                <w:color w:val="000000"/>
                <w:kern w:val="0"/>
                <w:sz w:val="21"/>
                <w:szCs w:val="21"/>
                <w:lang w:eastAsia="zh-CN"/>
              </w:rPr>
              <w:t>人际关系</w:t>
            </w:r>
            <w:r>
              <w:rPr>
                <w:rFonts w:hint="eastAsia" w:asciiTheme="minorEastAsia" w:hAnsiTheme="minorEastAsia" w:cstheme="minorEastAsia"/>
                <w:b w:val="0"/>
                <w:bCs/>
                <w:snapToGrid/>
                <w:color w:val="00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5"/>
              <w:rPr>
                <w:rFonts w:ascii="宋体" w:hAnsi="宋体"/>
              </w:rPr>
            </w:pPr>
          </w:p>
        </w:tc>
        <w:tc>
          <w:tcPr>
            <w:tcW w:w="782" w:type="dxa"/>
            <w:shd w:val="clear" w:color="auto" w:fill="auto"/>
            <w:vAlign w:val="center"/>
          </w:tcPr>
          <w:p>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pPr>
              <w:pStyle w:val="15"/>
              <w:jc w:val="left"/>
              <w:rPr>
                <w:rFonts w:ascii="宋体" w:hAnsi="宋体"/>
                <w:bCs/>
              </w:rPr>
            </w:pPr>
            <w:r>
              <w:rPr>
                <w:spacing w:val="6"/>
              </w:rPr>
              <w:t>在护理科研及护理</w:t>
            </w:r>
            <w:r>
              <w:rPr>
                <w:rFonts w:hint="eastAsia"/>
                <w:spacing w:val="6"/>
                <w:lang w:val="en-US" w:eastAsia="zh-CN"/>
              </w:rPr>
              <w:t>管理</w:t>
            </w:r>
            <w:r>
              <w:rPr>
                <w:spacing w:val="6"/>
              </w:rPr>
              <w:t>中进行伦理行为的正确选择和评价，做出正确</w:t>
            </w:r>
            <w:r>
              <w:rPr>
                <w:spacing w:val="4"/>
              </w:rPr>
              <w:t>的决策。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pPr>
              <w:snapToGrid w:val="0"/>
              <w:jc w:val="center"/>
              <w:rPr>
                <w:rFonts w:ascii="Arial" w:hAnsi="Arial" w:eastAsia="黑体" w:cs="Arial"/>
                <w:bCs/>
                <w:color w:val="000000"/>
                <w:sz w:val="21"/>
                <w:szCs w:val="18"/>
                <w:highlight w:val="none"/>
              </w:rPr>
            </w:pPr>
            <w:r>
              <w:rPr>
                <w:rFonts w:hint="eastAsia" w:ascii="Arial" w:hAnsi="Arial" w:eastAsia="黑体" w:cs="Arial"/>
                <w:bCs/>
                <w:color w:val="000000"/>
                <w:sz w:val="21"/>
                <w:szCs w:val="18"/>
                <w:highlight w:val="none"/>
              </w:rPr>
              <w:t>素养目标</w:t>
            </w:r>
          </w:p>
          <w:p>
            <w:pPr>
              <w:snapToGrid w:val="0"/>
              <w:jc w:val="center"/>
              <w:rPr>
                <w:highlight w:val="none"/>
              </w:rPr>
            </w:pPr>
            <w:r>
              <w:rPr>
                <w:rFonts w:hint="eastAsia" w:ascii="黑体" w:hAnsi="黑体" w:eastAsia="黑体"/>
                <w:bCs/>
                <w:color w:val="000000"/>
                <w:sz w:val="21"/>
                <w:szCs w:val="18"/>
                <w:highlight w:val="none"/>
              </w:rPr>
              <w:t>(含课程思政目标</w:t>
            </w:r>
            <w:r>
              <w:rPr>
                <w:rFonts w:ascii="黑体" w:hAnsi="黑体" w:eastAsia="黑体"/>
                <w:bCs/>
                <w:color w:val="000000"/>
                <w:sz w:val="21"/>
                <w:szCs w:val="18"/>
                <w:highlight w:val="none"/>
              </w:rPr>
              <w:t>)</w:t>
            </w:r>
          </w:p>
        </w:tc>
        <w:tc>
          <w:tcPr>
            <w:tcW w:w="782" w:type="dxa"/>
            <w:shd w:val="clear" w:color="auto" w:fill="auto"/>
            <w:vAlign w:val="center"/>
          </w:tcPr>
          <w:p>
            <w:pPr>
              <w:snapToGrid w:val="0"/>
              <w:jc w:val="center"/>
              <w:rPr>
                <w:rFonts w:hint="eastAsia" w:ascii="Arial" w:hAnsi="Arial" w:eastAsia="黑体" w:cs="Arial"/>
                <w:bCs/>
                <w:color w:val="000000"/>
                <w:sz w:val="21"/>
                <w:szCs w:val="18"/>
                <w:highlight w:val="none"/>
                <w:lang w:eastAsia="zh-CN"/>
              </w:rPr>
            </w:pPr>
            <w:r>
              <w:rPr>
                <w:rFonts w:hint="eastAsia" w:ascii="Arial" w:hAnsi="Arial" w:eastAsia="黑体" w:cs="Arial"/>
                <w:bCs/>
                <w:color w:val="000000"/>
                <w:sz w:val="21"/>
                <w:szCs w:val="18"/>
                <w:highlight w:val="none"/>
                <w:lang w:val="en-US" w:eastAsia="zh-CN"/>
              </w:rPr>
              <w:t>6</w:t>
            </w:r>
          </w:p>
        </w:tc>
        <w:tc>
          <w:tcPr>
            <w:tcW w:w="6459" w:type="dxa"/>
            <w:vAlign w:val="center"/>
          </w:tcPr>
          <w:p>
            <w:pPr>
              <w:pStyle w:val="15"/>
              <w:jc w:val="left"/>
              <w:rPr>
                <w:rFonts w:ascii="宋体" w:hAnsi="宋体"/>
                <w:bCs/>
                <w:highlight w:val="none"/>
              </w:rPr>
            </w:pPr>
            <w:r>
              <w:rPr>
                <w:spacing w:val="5"/>
                <w:highlight w:val="none"/>
              </w:rPr>
              <w:t>培养学生确立科学的价值观与道</w:t>
            </w:r>
            <w:r>
              <w:rPr>
                <w:spacing w:val="4"/>
                <w:highlight w:val="none"/>
              </w:rPr>
              <w:t>德素养，正确的价值导向，树立</w:t>
            </w:r>
            <w:r>
              <w:rPr>
                <w:rFonts w:hint="eastAsia"/>
                <w:spacing w:val="4"/>
                <w:highlight w:val="none"/>
                <w:lang w:eastAsia="zh-CN"/>
              </w:rPr>
              <w:t>“</w:t>
            </w:r>
            <w:r>
              <w:rPr>
                <w:spacing w:val="-65"/>
                <w:highlight w:val="none"/>
              </w:rPr>
              <w:t xml:space="preserve"> </w:t>
            </w:r>
            <w:r>
              <w:rPr>
                <w:spacing w:val="4"/>
                <w:highlight w:val="none"/>
              </w:rPr>
              <w:t>以</w:t>
            </w:r>
            <w:r>
              <w:rPr>
                <w:spacing w:val="6"/>
                <w:highlight w:val="none"/>
              </w:rPr>
              <w:t>人为本，关怀照顾</w:t>
            </w:r>
            <w:r>
              <w:rPr>
                <w:rFonts w:hint="eastAsia"/>
                <w:spacing w:val="-63"/>
                <w:highlight w:val="none"/>
                <w:lang w:eastAsia="zh-CN"/>
              </w:rPr>
              <w:t>”</w:t>
            </w:r>
            <w:r>
              <w:rPr>
                <w:spacing w:val="6"/>
                <w:highlight w:val="none"/>
              </w:rPr>
              <w:t>的人道</w:t>
            </w:r>
            <w:r>
              <w:rPr>
                <w:rFonts w:hint="eastAsia"/>
                <w:spacing w:val="6"/>
                <w:highlight w:val="none"/>
                <w:lang w:val="en-US" w:eastAsia="zh-CN"/>
              </w:rPr>
              <w:t>主义</w:t>
            </w:r>
            <w:r>
              <w:rPr>
                <w:spacing w:val="6"/>
                <w:highlight w:val="none"/>
              </w:rPr>
              <w:t>精神。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pPr>
              <w:pStyle w:val="15"/>
              <w:rPr>
                <w:rFonts w:ascii="宋体" w:hAnsi="宋体"/>
              </w:rPr>
            </w:pPr>
          </w:p>
        </w:tc>
        <w:tc>
          <w:tcPr>
            <w:tcW w:w="782" w:type="dxa"/>
            <w:shd w:val="clear" w:color="auto" w:fill="auto"/>
            <w:vAlign w:val="center"/>
          </w:tcPr>
          <w:p>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7</w:t>
            </w:r>
          </w:p>
        </w:tc>
        <w:tc>
          <w:tcPr>
            <w:tcW w:w="6459" w:type="dxa"/>
            <w:vAlign w:val="center"/>
          </w:tcPr>
          <w:p>
            <w:pPr>
              <w:pStyle w:val="15"/>
              <w:jc w:val="left"/>
              <w:rPr>
                <w:rFonts w:ascii="宋体" w:hAnsi="宋体"/>
                <w:bCs/>
              </w:rPr>
            </w:pPr>
            <w:r>
              <w:rPr>
                <w:rFonts w:hint="eastAsia" w:ascii="宋体" w:hAnsi="宋体"/>
                <w:bCs/>
                <w:lang w:val="en-US" w:eastAsia="zh-CN"/>
              </w:rPr>
              <w:t>具有乐观、开朗的性格，爱岗敬业、乐于奉献的精神。</w:t>
            </w:r>
          </w:p>
        </w:tc>
      </w:tr>
    </w:tbl>
    <w:p>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pPr>
              <w:pStyle w:val="15"/>
              <w:widowControl w:val="0"/>
              <w:jc w:val="left"/>
              <w:rPr>
                <w:rFonts w:hint="default" w:ascii="宋体" w:hAnsi="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LO1品德修养</w:t>
            </w:r>
            <w:r>
              <w:rPr>
                <w:rFonts w:hint="default" w:ascii="宋体" w:hAnsi="宋体" w:cs="宋体"/>
                <w:bCs/>
                <w:color w:val="auto"/>
                <w:sz w:val="21"/>
                <w:szCs w:val="21"/>
                <w:lang w:val="en-US" w:eastAsia="zh-CN"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pPr>
              <w:pStyle w:val="15"/>
              <w:widowControl w:val="0"/>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⑤爱岗敬业，热爱所学专业，勤学多练，锤炼技能。熟悉本专业相关的法律法规，在实习实践中自觉遵守职业规范，具备职业道德操守。</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pPr>
              <w:widowControl w:val="0"/>
              <w:tabs>
                <w:tab w:val="left" w:pos="4200"/>
              </w:tabs>
              <w:spacing w:line="240" w:lineRule="auto"/>
              <w:jc w:val="both"/>
              <w:rPr>
                <w:rFonts w:hint="default"/>
                <w:bCs/>
                <w:sz w:val="21"/>
                <w:szCs w:val="21"/>
                <w:lang w:val="en-US"/>
              </w:rPr>
            </w:pPr>
            <w:r>
              <w:rPr>
                <w:rFonts w:hint="eastAsia"/>
                <w:bCs/>
                <w:sz w:val="21"/>
                <w:szCs w:val="21"/>
              </w:rPr>
              <w:t>LO2专业能力</w:t>
            </w:r>
            <w:r>
              <w:rPr>
                <w:rFonts w:hint="default"/>
                <w:bCs/>
                <w:sz w:val="21"/>
                <w:szCs w:val="21"/>
                <w:lang w:val="en-US"/>
              </w:rPr>
              <w:t>:具有人文科学素养，具备从事护理工作或专业的理论知识、实践能力。</w:t>
            </w:r>
          </w:p>
          <w:p>
            <w:pPr>
              <w:widowControl w:val="0"/>
              <w:tabs>
                <w:tab w:val="left" w:pos="4200"/>
              </w:tabs>
              <w:spacing w:line="240" w:lineRule="auto"/>
              <w:jc w:val="both"/>
              <w:rPr>
                <w:rFonts w:hint="eastAsia" w:ascii="宋体" w:hAnsi="宋体"/>
                <w:bCs/>
              </w:rPr>
            </w:pPr>
            <w:r>
              <w:rPr>
                <w:rFonts w:hint="eastAsia"/>
                <w:bCs/>
                <w:sz w:val="21"/>
                <w:szCs w:val="21"/>
              </w:rPr>
              <w:t>①具有专业所需的人文科学素养。</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pPr>
              <w:widowControl w:val="0"/>
              <w:tabs>
                <w:tab w:val="left" w:pos="4200"/>
              </w:tabs>
              <w:spacing w:line="440" w:lineRule="exact"/>
              <w:jc w:val="both"/>
              <w:rPr>
                <w:rFonts w:hint="default"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bCs/>
                <w:sz w:val="21"/>
                <w:szCs w:val="21"/>
              </w:rPr>
              <w:t>LO3表达沟通</w:t>
            </w:r>
            <w:r>
              <w:rPr>
                <w:rFonts w:hint="default" w:asciiTheme="minorEastAsia" w:hAnsiTheme="minorEastAsia" w:eastAsiaTheme="minorEastAsia" w:cstheme="minorEastAsia"/>
                <w:bCs/>
                <w:sz w:val="21"/>
                <w:szCs w:val="21"/>
                <w:lang w:val="en-US"/>
              </w:rPr>
              <w:t>:理解他人的观点，尊重他人的价值观，能在不同场合用书面或口头形式进行有效沟通。</w:t>
            </w:r>
          </w:p>
          <w:p>
            <w:pPr>
              <w:widowControl w:val="0"/>
              <w:tabs>
                <w:tab w:val="left" w:pos="4200"/>
              </w:tabs>
              <w:spacing w:line="440" w:lineRule="exact"/>
              <w:jc w:val="both"/>
              <w:rPr>
                <w:rFonts w:hint="eastAsia" w:ascii="宋体" w:hAnsi="宋体"/>
                <w:bCs/>
              </w:rPr>
            </w:pPr>
            <w:r>
              <w:rPr>
                <w:rFonts w:hint="eastAsia" w:asciiTheme="minorEastAsia" w:hAnsiTheme="minorEastAsia" w:eastAsiaTheme="minorEastAsia" w:cstheme="minorEastAsia"/>
                <w:bCs/>
                <w:sz w:val="21"/>
                <w:szCs w:val="21"/>
              </w:rPr>
              <w:t>②应用书面或口头形式，阐释自己的观点，有效沟通。</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pPr>
              <w:widowControl w:val="0"/>
              <w:tabs>
                <w:tab w:val="left" w:pos="4200"/>
              </w:tabs>
              <w:spacing w:line="240" w:lineRule="auto"/>
              <w:jc w:val="both"/>
              <w:rPr>
                <w:rFonts w:hint="default"/>
                <w:bCs/>
                <w:sz w:val="21"/>
                <w:szCs w:val="21"/>
                <w:lang w:val="en-US"/>
              </w:rPr>
            </w:pPr>
            <w:r>
              <w:rPr>
                <w:bCs/>
                <w:sz w:val="21"/>
                <w:szCs w:val="21"/>
              </w:rPr>
              <w:t>LO4自主学习</w:t>
            </w:r>
            <w:r>
              <w:rPr>
                <w:rFonts w:hint="default"/>
                <w:bCs/>
                <w:sz w:val="21"/>
                <w:szCs w:val="21"/>
                <w:lang w:val="en-US"/>
              </w:rPr>
              <w:t>: 能根据环境需要确定自己的学习目标，并主动地通过搜集信息、分析信息、讨论、实践、质疑、创造等方法来实现学习目标。</w:t>
            </w:r>
          </w:p>
          <w:p>
            <w:pPr>
              <w:widowControl w:val="0"/>
              <w:tabs>
                <w:tab w:val="left" w:pos="4200"/>
              </w:tabs>
              <w:spacing w:line="240" w:lineRule="auto"/>
              <w:jc w:val="both"/>
              <w:rPr>
                <w:bCs/>
                <w:sz w:val="21"/>
                <w:szCs w:val="21"/>
              </w:rPr>
            </w:pPr>
            <w:r>
              <w:rPr>
                <w:rFonts w:hint="eastAsia"/>
                <w:bCs/>
                <w:sz w:val="21"/>
                <w:szCs w:val="21"/>
              </w:rPr>
              <w:t>①</w:t>
            </w:r>
            <w:r>
              <w:rPr>
                <w:bCs/>
                <w:sz w:val="21"/>
                <w:szCs w:val="21"/>
              </w:rPr>
              <w:t>能根据需要确定学习目标，并设计学习计划。</w:t>
            </w:r>
          </w:p>
          <w:p>
            <w:pPr>
              <w:widowControl w:val="0"/>
              <w:tabs>
                <w:tab w:val="left" w:pos="4200"/>
              </w:tabs>
              <w:spacing w:line="240" w:lineRule="auto"/>
              <w:jc w:val="both"/>
              <w:rPr>
                <w:rFonts w:hint="eastAsia" w:ascii="宋体" w:hAnsi="宋体"/>
                <w:bCs/>
              </w:rPr>
            </w:pPr>
            <w:r>
              <w:rPr>
                <w:rFonts w:hint="eastAsia"/>
                <w:bCs/>
                <w:sz w:val="21"/>
                <w:szCs w:val="21"/>
              </w:rPr>
              <w:t>②</w:t>
            </w:r>
            <w:r>
              <w:rPr>
                <w:bCs/>
                <w:sz w:val="21"/>
                <w:szCs w:val="21"/>
              </w:rPr>
              <w:t>能搜集、获取达到目标所需要的学习资源，实施学习计划、反思学习计划、持续改进，达到学习目标。</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pPr>
              <w:widowControl w:val="0"/>
              <w:tabs>
                <w:tab w:val="left" w:pos="4200"/>
              </w:tabs>
              <w:spacing w:line="240" w:lineRule="auto"/>
              <w:jc w:val="both"/>
              <w:rPr>
                <w:rFonts w:hint="eastAsia"/>
                <w:bCs/>
                <w:sz w:val="21"/>
                <w:szCs w:val="21"/>
              </w:rPr>
            </w:pPr>
            <w:r>
              <w:rPr>
                <w:bCs/>
                <w:sz w:val="21"/>
                <w:szCs w:val="21"/>
              </w:rPr>
              <w:t>LO5健康发展</w:t>
            </w:r>
            <w:r>
              <w:rPr>
                <w:rFonts w:hint="eastAsia"/>
                <w:bCs/>
                <w:sz w:val="21"/>
                <w:szCs w:val="21"/>
              </w:rPr>
              <w:t>懂得审美、热爱劳动、为人热忱、身心健康、耐挫折，具有可持续发展的能力。</w:t>
            </w:r>
          </w:p>
          <w:p>
            <w:pPr>
              <w:widowControl w:val="0"/>
              <w:tabs>
                <w:tab w:val="left" w:pos="4200"/>
              </w:tabs>
              <w:spacing w:line="240" w:lineRule="auto"/>
              <w:jc w:val="both"/>
              <w:rPr>
                <w:rFonts w:hint="eastAsia" w:ascii="宋体" w:hAnsi="宋体"/>
                <w:bCs/>
              </w:rPr>
            </w:pPr>
            <w:r>
              <w:rPr>
                <w:rFonts w:hint="eastAsia"/>
                <w:bCs/>
                <w:sz w:val="21"/>
                <w:szCs w:val="21"/>
              </w:rPr>
              <w:t>②</w:t>
            </w:r>
            <w:r>
              <w:rPr>
                <w:bCs/>
                <w:sz w:val="21"/>
                <w:szCs w:val="21"/>
              </w:rPr>
              <w:t>心理健康，学习和参与心理调适各项活动，耐挫折，能承受学习和生活中的压力。</w:t>
            </w:r>
          </w:p>
        </w:tc>
      </w:tr>
    </w:tbl>
    <w:p>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pPr>
              <w:pStyle w:val="14"/>
              <w:rPr>
                <w:szCs w:val="16"/>
              </w:rPr>
            </w:pPr>
            <w:r>
              <w:rPr>
                <w:rFonts w:hint="eastAsia"/>
                <w:szCs w:val="16"/>
              </w:rPr>
              <w:t>支撑度</w:t>
            </w:r>
          </w:p>
        </w:tc>
        <w:tc>
          <w:tcPr>
            <w:tcW w:w="4763" w:type="dxa"/>
            <w:tcBorders>
              <w:top w:val="single" w:color="auto" w:sz="12" w:space="0"/>
            </w:tcBorders>
            <w:vAlign w:val="center"/>
          </w:tcPr>
          <w:p>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pPr>
              <w:pStyle w:val="14"/>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pPr>
              <w:pStyle w:val="15"/>
              <w:jc w:val="both"/>
              <w:rPr>
                <w:rFonts w:ascii="Times New Roman" w:hAnsi="Times New Roman" w:eastAsia="宋体" w:cs="宋体"/>
                <w:color w:val="000000"/>
                <w:sz w:val="21"/>
                <w:szCs w:val="21"/>
                <w:lang w:val="en-US" w:eastAsia="zh-CN" w:bidi="ar-SA"/>
              </w:rPr>
            </w:pPr>
            <w:r>
              <w:rPr>
                <w:rFonts w:hint="eastAsia" w:cs="宋体" w:asciiTheme="minorEastAsia" w:hAnsiTheme="minorEastAsia" w:eastAsiaTheme="minorEastAsia"/>
                <w:color w:val="000000"/>
                <w:kern w:val="0"/>
                <w:sz w:val="20"/>
                <w:szCs w:val="20"/>
              </w:rPr>
              <w:t>LO1</w:t>
            </w:r>
          </w:p>
          <w:p>
            <w:pPr>
              <w:pStyle w:val="15"/>
            </w:pPr>
          </w:p>
        </w:tc>
        <w:tc>
          <w:tcPr>
            <w:tcW w:w="794" w:type="dxa"/>
            <w:tcBorders>
              <w:left w:val="single" w:color="auto" w:sz="4" w:space="0"/>
            </w:tcBorders>
            <w:vAlign w:val="center"/>
          </w:tcPr>
          <w:p>
            <w:pPr>
              <w:pStyle w:val="15"/>
              <w:rPr>
                <w:rFonts w:hint="eastAsia" w:ascii="Times New Roman" w:hAnsi="Times New Roman" w:eastAsia="宋体" w:cs="Times New Roman"/>
                <w:bCs/>
                <w:color w:val="000000"/>
                <w:sz w:val="21"/>
                <w:szCs w:val="21"/>
                <w:lang w:val="en-US" w:eastAsia="zh-CN" w:bidi="ar-SA"/>
              </w:rPr>
            </w:pPr>
            <w:r>
              <w:rPr>
                <w:rFonts w:hint="eastAsia" w:cs="Times New Roman"/>
                <w:bCs/>
                <w:lang w:val="en-US" w:eastAsia="zh-CN"/>
              </w:rPr>
              <w:t>⑤</w:t>
            </w:r>
          </w:p>
          <w:p>
            <w:pPr>
              <w:pStyle w:val="15"/>
              <w:rPr>
                <w:rFonts w:cs="Times New Roman"/>
                <w:bCs/>
              </w:rPr>
            </w:pPr>
          </w:p>
        </w:tc>
        <w:tc>
          <w:tcPr>
            <w:tcW w:w="794" w:type="dxa"/>
            <w:tcBorders>
              <w:right w:val="double" w:color="auto" w:sz="4" w:space="0"/>
            </w:tcBorders>
            <w:shd w:val="clear" w:color="auto" w:fill="auto"/>
            <w:vAlign w:val="center"/>
          </w:tcPr>
          <w:p>
            <w:pPr>
              <w:pStyle w:val="15"/>
              <w:rPr>
                <w:rFonts w:hint="eastAsia" w:ascii="宋体" w:hAnsi="宋体" w:eastAsia="宋体" w:cs="宋体"/>
                <w:color w:val="000000"/>
                <w:sz w:val="21"/>
                <w:szCs w:val="21"/>
                <w:lang w:val="en-US" w:eastAsia="zh-CN" w:bidi="ar-SA"/>
              </w:rPr>
            </w:pPr>
            <w:r>
              <w:rPr>
                <w:rFonts w:hint="eastAsia" w:ascii="宋体" w:hAnsi="宋体"/>
                <w:lang w:val="en-US" w:eastAsia="zh-CN"/>
              </w:rPr>
              <w:t>M</w:t>
            </w:r>
          </w:p>
          <w:p>
            <w:pPr>
              <w:pStyle w:val="15"/>
              <w:rPr>
                <w:rFonts w:ascii="宋体" w:hAnsi="宋体"/>
              </w:rPr>
            </w:pPr>
          </w:p>
        </w:tc>
        <w:tc>
          <w:tcPr>
            <w:tcW w:w="4763" w:type="dxa"/>
            <w:vAlign w:val="center"/>
          </w:tcPr>
          <w:p>
            <w:pPr>
              <w:pStyle w:val="15"/>
              <w:jc w:val="left"/>
              <w:rPr>
                <w:rFonts w:hint="eastAsia" w:asciiTheme="minorEastAsia" w:hAnsiTheme="minorEastAsia" w:eastAsiaTheme="minorEastAsia" w:cstheme="minorEastAsia"/>
                <w:bCs/>
                <w:color w:val="000000"/>
                <w:sz w:val="21"/>
                <w:szCs w:val="21"/>
                <w:lang w:val="en-US" w:eastAsia="zh-CN" w:bidi="ar-SA"/>
              </w:rPr>
            </w:pPr>
            <w:r>
              <w:rPr>
                <w:rFonts w:hint="eastAsia" w:asciiTheme="minorEastAsia" w:hAnsiTheme="minorEastAsia" w:eastAsiaTheme="minorEastAsia" w:cstheme="minorEastAsia"/>
                <w:spacing w:val="5"/>
                <w:lang w:val="en-US" w:eastAsia="zh-CN"/>
              </w:rPr>
              <w:t>6.</w:t>
            </w:r>
            <w:r>
              <w:rPr>
                <w:rFonts w:hint="eastAsia" w:asciiTheme="minorEastAsia" w:hAnsiTheme="minorEastAsia" w:eastAsiaTheme="minorEastAsia" w:cstheme="minorEastAsia"/>
                <w:spacing w:val="5"/>
              </w:rPr>
              <w:t>培养学生确立科学的价值观与道</w:t>
            </w:r>
            <w:r>
              <w:rPr>
                <w:rFonts w:hint="eastAsia" w:asciiTheme="minorEastAsia" w:hAnsiTheme="minorEastAsia" w:eastAsiaTheme="minorEastAsia" w:cstheme="minorEastAsia"/>
                <w:spacing w:val="4"/>
              </w:rPr>
              <w:t>德素养，正确的价值导向，树立“</w:t>
            </w:r>
            <w:r>
              <w:rPr>
                <w:rFonts w:hint="eastAsia" w:asciiTheme="minorEastAsia" w:hAnsiTheme="minorEastAsia" w:eastAsiaTheme="minorEastAsia" w:cstheme="minorEastAsia"/>
                <w:spacing w:val="-65"/>
              </w:rPr>
              <w:t xml:space="preserve"> </w:t>
            </w:r>
            <w:r>
              <w:rPr>
                <w:rFonts w:hint="eastAsia" w:asciiTheme="minorEastAsia" w:hAnsiTheme="minorEastAsia" w:eastAsiaTheme="minorEastAsia" w:cstheme="minorEastAsia"/>
                <w:spacing w:val="4"/>
              </w:rPr>
              <w:t>以</w:t>
            </w:r>
            <w:r>
              <w:rPr>
                <w:rFonts w:hint="eastAsia" w:asciiTheme="minorEastAsia" w:hAnsiTheme="minorEastAsia" w:eastAsiaTheme="minorEastAsia" w:cstheme="minorEastAsia"/>
                <w:spacing w:val="6"/>
              </w:rPr>
              <w:t>人为本，关怀照顾</w:t>
            </w: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spacing w:val="6"/>
              </w:rPr>
              <w:t>”的人道精神。</w:t>
            </w:r>
          </w:p>
        </w:tc>
        <w:tc>
          <w:tcPr>
            <w:tcW w:w="1348" w:type="dxa"/>
            <w:tcBorders>
              <w:right w:val="single" w:color="auto" w:sz="12" w:space="0"/>
            </w:tcBorders>
            <w:vAlign w:val="center"/>
          </w:tcPr>
          <w:p>
            <w:pPr>
              <w:pStyle w:val="15"/>
              <w:rPr>
                <w:rFonts w:hint="default" w:ascii="宋体" w:hAnsi="宋体" w:eastAsia="宋体" w:cs="宋体"/>
                <w:bCs/>
                <w:color w:val="000000"/>
                <w:sz w:val="21"/>
                <w:szCs w:val="21"/>
                <w:lang w:val="en-US" w:eastAsia="zh-CN" w:bidi="ar-SA"/>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pPr>
              <w:tabs>
                <w:tab w:val="left" w:pos="4200"/>
              </w:tabs>
              <w:spacing w:line="440" w:lineRule="exac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p>
          <w:p>
            <w:pPr>
              <w:pStyle w:val="15"/>
            </w:pPr>
          </w:p>
        </w:tc>
        <w:tc>
          <w:tcPr>
            <w:tcW w:w="794" w:type="dxa"/>
            <w:vMerge w:val="restart"/>
            <w:tcBorders>
              <w:left w:val="single" w:color="auto" w:sz="4" w:space="0"/>
            </w:tcBorders>
            <w:vAlign w:val="center"/>
          </w:tcPr>
          <w:p>
            <w:pPr>
              <w:pStyle w:val="15"/>
              <w:rPr>
                <w:rFonts w:cs="Times New Roman"/>
                <w:bCs/>
              </w:rPr>
            </w:pPr>
            <w:r>
              <w:rPr>
                <w:rFonts w:hint="eastAsia"/>
                <w:bCs/>
              </w:rPr>
              <w:t>①</w:t>
            </w:r>
          </w:p>
        </w:tc>
        <w:tc>
          <w:tcPr>
            <w:tcW w:w="794" w:type="dxa"/>
            <w:vMerge w:val="restart"/>
            <w:tcBorders>
              <w:right w:val="double" w:color="auto" w:sz="4" w:space="0"/>
            </w:tcBorders>
            <w:shd w:val="clear" w:color="auto" w:fill="auto"/>
            <w:vAlign w:val="center"/>
          </w:tcPr>
          <w:p>
            <w:pPr>
              <w:pStyle w:val="15"/>
              <w:rPr>
                <w:rFonts w:ascii="宋体" w:hAnsi="宋体"/>
              </w:rPr>
            </w:pPr>
            <w:r>
              <w:rPr>
                <w:rFonts w:hint="eastAsia" w:ascii="宋体" w:hAnsi="宋体"/>
              </w:rPr>
              <w:t>M</w:t>
            </w:r>
          </w:p>
        </w:tc>
        <w:tc>
          <w:tcPr>
            <w:tcW w:w="4763" w:type="dxa"/>
            <w:vAlign w:val="center"/>
          </w:tcPr>
          <w:p>
            <w:pPr>
              <w:pStyle w:val="15"/>
              <w:jc w:val="left"/>
              <w:rPr>
                <w:rFonts w:hint="eastAsia" w:asciiTheme="minorEastAsia" w:hAnsiTheme="minorEastAsia" w:eastAsiaTheme="minorEastAsia" w:cstheme="minorEastAsia"/>
                <w:bCs/>
                <w:lang w:val="en-US"/>
              </w:rPr>
            </w:pPr>
            <w:r>
              <w:rPr>
                <w:rFonts w:hint="eastAsia" w:asciiTheme="minorEastAsia" w:hAnsiTheme="minorEastAsia" w:eastAsiaTheme="minorEastAsia" w:cstheme="minorEastAsia"/>
                <w:bCs/>
                <w:lang w:val="en-US" w:eastAsia="zh-CN"/>
              </w:rPr>
              <w:t>1.</w:t>
            </w:r>
            <w:r>
              <w:rPr>
                <w:rFonts w:hint="eastAsia" w:asciiTheme="minorEastAsia" w:hAnsiTheme="minorEastAsia" w:eastAsiaTheme="minorEastAsia" w:cstheme="minorEastAsia"/>
                <w:spacing w:val="5"/>
                <w:lang w:val="en-US" w:eastAsia="zh-CN"/>
              </w:rPr>
              <w:t>理解</w:t>
            </w:r>
            <w:r>
              <w:rPr>
                <w:rFonts w:hint="eastAsia"/>
                <w:sz w:val="21"/>
                <w:szCs w:val="21"/>
                <w:lang w:val="en-US" w:eastAsia="zh-CN"/>
              </w:rPr>
              <w:t>护理伦理学的基本知识、基本理论、基本规范。</w:t>
            </w:r>
          </w:p>
        </w:tc>
        <w:tc>
          <w:tcPr>
            <w:tcW w:w="1348" w:type="dxa"/>
            <w:tcBorders>
              <w:right w:val="single" w:color="auto" w:sz="12" w:space="0"/>
            </w:tcBorders>
            <w:vAlign w:val="center"/>
          </w:tcPr>
          <w:p>
            <w:pPr>
              <w:pStyle w:val="15"/>
              <w:rPr>
                <w:rFonts w:hint="default" w:ascii="宋体" w:hAnsi="宋体" w:eastAsia="宋体"/>
                <w:bCs/>
                <w:lang w:val="en-US" w:eastAsia="zh-CN"/>
              </w:rPr>
            </w:pPr>
            <w:r>
              <w:rPr>
                <w:rFonts w:hint="eastAsia" w:ascii="宋体" w:hAnsi="宋体"/>
                <w:bCs/>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pPr>
              <w:pStyle w:val="15"/>
            </w:pPr>
          </w:p>
        </w:tc>
        <w:tc>
          <w:tcPr>
            <w:tcW w:w="794" w:type="dxa"/>
            <w:vMerge w:val="continue"/>
            <w:tcBorders>
              <w:left w:val="single" w:color="auto" w:sz="4" w:space="0"/>
            </w:tcBorders>
            <w:vAlign w:val="center"/>
          </w:tcPr>
          <w:p>
            <w:pPr>
              <w:pStyle w:val="15"/>
              <w:rPr>
                <w:rFonts w:cs="Times New Roman"/>
                <w:bCs/>
              </w:rPr>
            </w:pPr>
          </w:p>
        </w:tc>
        <w:tc>
          <w:tcPr>
            <w:tcW w:w="794" w:type="dxa"/>
            <w:vMerge w:val="continue"/>
            <w:tcBorders>
              <w:right w:val="double" w:color="auto" w:sz="4" w:space="0"/>
            </w:tcBorders>
            <w:shd w:val="clear" w:color="auto" w:fill="auto"/>
            <w:vAlign w:val="center"/>
          </w:tcPr>
          <w:p>
            <w:pPr>
              <w:pStyle w:val="15"/>
              <w:rPr>
                <w:rFonts w:ascii="宋体" w:hAnsi="宋体"/>
              </w:rPr>
            </w:pPr>
          </w:p>
        </w:tc>
        <w:tc>
          <w:tcPr>
            <w:tcW w:w="4763" w:type="dxa"/>
            <w:vAlign w:val="center"/>
          </w:tcPr>
          <w:p>
            <w:pPr>
              <w:pStyle w:val="15"/>
              <w:jc w:val="left"/>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spacing w:val="5"/>
                <w:lang w:val="en-US" w:eastAsia="zh-CN"/>
              </w:rPr>
              <w:t>2.理解</w:t>
            </w:r>
            <w:r>
              <w:rPr>
                <w:rFonts w:hint="eastAsia" w:asciiTheme="minorEastAsia" w:hAnsiTheme="minorEastAsia" w:eastAsiaTheme="minorEastAsia" w:cstheme="minorEastAsia"/>
                <w:b w:val="0"/>
                <w:bCs/>
                <w:snapToGrid/>
                <w:color w:val="000000"/>
                <w:kern w:val="0"/>
                <w:sz w:val="21"/>
                <w:szCs w:val="21"/>
                <w:lang w:eastAsia="zh-CN"/>
              </w:rPr>
              <w:t>临终关怀与死亡的伦理道德</w:t>
            </w:r>
            <w:r>
              <w:rPr>
                <w:rFonts w:hint="eastAsia" w:asciiTheme="minorEastAsia" w:hAnsiTheme="minorEastAsia" w:cstheme="minorEastAsia"/>
                <w:b w:val="0"/>
                <w:bCs/>
                <w:snapToGrid/>
                <w:color w:val="000000"/>
                <w:kern w:val="0"/>
                <w:sz w:val="21"/>
                <w:szCs w:val="21"/>
                <w:lang w:val="en-US" w:eastAsia="zh-CN"/>
              </w:rPr>
              <w:t>。</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pPr>
              <w:pStyle w:val="15"/>
              <w:jc w:val="both"/>
            </w:pPr>
            <w:r>
              <w:rPr>
                <w:rFonts w:hint="eastAsia" w:cs="宋体" w:asciiTheme="minorEastAsia" w:hAnsiTheme="minorEastAsia" w:eastAsiaTheme="minorEastAsia"/>
                <w:color w:val="000000"/>
                <w:kern w:val="0"/>
                <w:sz w:val="20"/>
                <w:szCs w:val="20"/>
                <w:lang w:val="en-US" w:eastAsia="zh-CN" w:bidi="ar-SA"/>
              </w:rPr>
              <w:t>LO3</w:t>
            </w:r>
          </w:p>
        </w:tc>
        <w:tc>
          <w:tcPr>
            <w:tcW w:w="794" w:type="dxa"/>
            <w:tcBorders>
              <w:left w:val="single" w:color="auto" w:sz="4" w:space="0"/>
            </w:tcBorders>
            <w:vAlign w:val="center"/>
          </w:tcPr>
          <w:p>
            <w:pPr>
              <w:pStyle w:val="15"/>
              <w:rPr>
                <w:rFonts w:cs="Times New Roman"/>
                <w:bCs/>
              </w:rPr>
            </w:pPr>
            <w:r>
              <w:rPr>
                <w:rFonts w:hint="eastAsia"/>
                <w:bCs/>
              </w:rPr>
              <w:t>②</w:t>
            </w:r>
          </w:p>
        </w:tc>
        <w:tc>
          <w:tcPr>
            <w:tcW w:w="794" w:type="dxa"/>
            <w:tcBorders>
              <w:right w:val="double" w:color="auto" w:sz="4" w:space="0"/>
            </w:tcBorders>
            <w:shd w:val="clear" w:color="auto" w:fill="auto"/>
            <w:vAlign w:val="center"/>
          </w:tcPr>
          <w:p>
            <w:pPr>
              <w:pStyle w:val="15"/>
              <w:rPr>
                <w:rFonts w:ascii="宋体" w:hAnsi="宋体"/>
              </w:rPr>
            </w:pPr>
            <w:r>
              <w:rPr>
                <w:rFonts w:hint="eastAsia" w:ascii="宋体" w:hAnsi="宋体"/>
              </w:rPr>
              <w:t>M</w:t>
            </w:r>
          </w:p>
        </w:tc>
        <w:tc>
          <w:tcPr>
            <w:tcW w:w="4763" w:type="dxa"/>
            <w:vAlign w:val="center"/>
          </w:tcPr>
          <w:p>
            <w:pPr>
              <w:pStyle w:val="15"/>
              <w:jc w:val="left"/>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bCs/>
                <w:lang w:val="en-US" w:eastAsia="zh-CN"/>
              </w:rPr>
              <w:t>3.</w:t>
            </w:r>
            <w:r>
              <w:rPr>
                <w:rFonts w:hint="eastAsia" w:asciiTheme="minorEastAsia" w:hAnsiTheme="minorEastAsia" w:cstheme="minorEastAsia"/>
                <w:b w:val="0"/>
                <w:bCs/>
                <w:snapToGrid/>
                <w:color w:val="000000"/>
                <w:kern w:val="0"/>
                <w:sz w:val="21"/>
                <w:szCs w:val="21"/>
                <w:lang w:val="en-US" w:eastAsia="zh-CN"/>
              </w:rPr>
              <w:t>知道</w:t>
            </w:r>
            <w:r>
              <w:rPr>
                <w:rFonts w:hint="eastAsia" w:asciiTheme="minorEastAsia" w:hAnsiTheme="minorEastAsia" w:eastAsiaTheme="minorEastAsia" w:cstheme="minorEastAsia"/>
                <w:b w:val="0"/>
                <w:bCs/>
                <w:snapToGrid/>
                <w:color w:val="000000"/>
                <w:kern w:val="0"/>
                <w:sz w:val="21"/>
                <w:szCs w:val="21"/>
                <w:lang w:eastAsia="zh-CN"/>
              </w:rPr>
              <w:t>公共卫生服务</w:t>
            </w:r>
            <w:r>
              <w:rPr>
                <w:rFonts w:hint="eastAsia" w:asciiTheme="minorEastAsia" w:hAnsiTheme="minorEastAsia" w:cstheme="minorEastAsia"/>
                <w:b w:val="0"/>
                <w:bCs/>
                <w:snapToGrid/>
                <w:color w:val="000000"/>
                <w:kern w:val="0"/>
                <w:sz w:val="21"/>
                <w:szCs w:val="21"/>
                <w:lang w:val="en-US" w:eastAsia="zh-CN"/>
              </w:rPr>
              <w:t>和</w:t>
            </w:r>
            <w:r>
              <w:rPr>
                <w:rFonts w:hint="eastAsia" w:asciiTheme="minorEastAsia" w:hAnsiTheme="minorEastAsia" w:eastAsiaTheme="minorEastAsia" w:cstheme="minorEastAsia"/>
                <w:b w:val="0"/>
                <w:bCs/>
                <w:snapToGrid/>
                <w:color w:val="000000"/>
                <w:kern w:val="0"/>
                <w:sz w:val="21"/>
                <w:szCs w:val="21"/>
                <w:lang w:eastAsia="zh-CN"/>
              </w:rPr>
              <w:t>特殊医疗技术活动中的伦理道德</w:t>
            </w:r>
            <w:r>
              <w:rPr>
                <w:rFonts w:hint="eastAsia" w:asciiTheme="minorEastAsia" w:hAnsiTheme="minorEastAsia" w:cstheme="minorEastAsia"/>
                <w:b w:val="0"/>
                <w:bCs/>
                <w:snapToGrid/>
                <w:color w:val="000000"/>
                <w:kern w:val="0"/>
                <w:sz w:val="21"/>
                <w:szCs w:val="21"/>
                <w:lang w:val="en-US" w:eastAsia="zh-CN"/>
              </w:rPr>
              <w:t>。</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pPr>
              <w:pStyle w:val="15"/>
              <w:jc w:val="both"/>
              <w:rPr>
                <w:b/>
              </w:rPr>
            </w:pPr>
          </w:p>
          <w:p>
            <w:pPr>
              <w:pStyle w:val="15"/>
              <w:jc w:val="both"/>
              <w:rPr>
                <w:b/>
              </w:rPr>
            </w:pPr>
          </w:p>
          <w:p>
            <w:pPr>
              <w:pStyle w:val="15"/>
              <w:jc w:val="both"/>
              <w:rPr>
                <w:b/>
              </w:rPr>
            </w:pPr>
            <w:r>
              <w:rPr>
                <w:rFonts w:hint="eastAsia" w:cs="宋体" w:asciiTheme="minorEastAsia" w:hAnsiTheme="minorEastAsia" w:eastAsiaTheme="minorEastAsia"/>
                <w:color w:val="000000"/>
                <w:kern w:val="0"/>
                <w:sz w:val="20"/>
                <w:szCs w:val="20"/>
                <w:lang w:val="en-US" w:eastAsia="zh-CN" w:bidi="ar-SA"/>
              </w:rPr>
              <w:t>LO4</w:t>
            </w:r>
          </w:p>
        </w:tc>
        <w:tc>
          <w:tcPr>
            <w:tcW w:w="794" w:type="dxa"/>
            <w:tcBorders>
              <w:left w:val="single" w:color="auto" w:sz="4" w:space="0"/>
            </w:tcBorders>
            <w:vAlign w:val="center"/>
          </w:tcPr>
          <w:p>
            <w:pPr>
              <w:pStyle w:val="15"/>
              <w:rPr>
                <w:rFonts w:hint="eastAsia" w:cs="Times New Roman"/>
                <w:bCs/>
              </w:rPr>
            </w:pPr>
          </w:p>
          <w:p>
            <w:pPr>
              <w:pStyle w:val="15"/>
              <w:rPr>
                <w:rFonts w:cs="Times New Roman"/>
                <w:bCs/>
              </w:rPr>
            </w:pPr>
            <w:r>
              <w:rPr>
                <w:rFonts w:hint="eastAsia" w:cs="Times New Roman"/>
                <w:bCs/>
              </w:rPr>
              <w:t>①</w:t>
            </w:r>
          </w:p>
          <w:p>
            <w:pPr>
              <w:pStyle w:val="15"/>
              <w:rPr>
                <w:rFonts w:hint="eastAsia"/>
                <w:bCs/>
              </w:rPr>
            </w:pPr>
          </w:p>
        </w:tc>
        <w:tc>
          <w:tcPr>
            <w:tcW w:w="794" w:type="dxa"/>
            <w:tcBorders>
              <w:right w:val="double" w:color="auto" w:sz="4" w:space="0"/>
            </w:tcBorders>
            <w:shd w:val="clear" w:color="auto" w:fill="auto"/>
            <w:vAlign w:val="center"/>
          </w:tcPr>
          <w:p>
            <w:pPr>
              <w:pStyle w:val="15"/>
              <w:rPr>
                <w:rFonts w:hint="eastAsia" w:ascii="宋体" w:hAnsi="宋体"/>
              </w:rPr>
            </w:pPr>
            <w:r>
              <w:rPr>
                <w:rFonts w:hint="eastAsia" w:ascii="宋体" w:hAnsi="宋体"/>
              </w:rPr>
              <w:t>H</w:t>
            </w:r>
          </w:p>
        </w:tc>
        <w:tc>
          <w:tcPr>
            <w:tcW w:w="4763" w:type="dxa"/>
            <w:vAlign w:val="center"/>
          </w:tcPr>
          <w:p>
            <w:pPr>
              <w:pStyle w:val="15"/>
              <w:jc w:val="left"/>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spacing w:val="6"/>
                <w:lang w:val="en-US" w:eastAsia="zh-CN"/>
              </w:rPr>
              <w:t>4.</w:t>
            </w:r>
            <w:r>
              <w:rPr>
                <w:rFonts w:hint="eastAsia" w:asciiTheme="minorEastAsia" w:hAnsiTheme="minorEastAsia" w:eastAsiaTheme="minorEastAsia" w:cstheme="minorEastAsia"/>
                <w:b w:val="0"/>
                <w:bCs/>
                <w:snapToGrid/>
                <w:color w:val="000000"/>
                <w:kern w:val="0"/>
                <w:sz w:val="21"/>
                <w:szCs w:val="21"/>
                <w:lang w:eastAsia="zh-CN"/>
              </w:rPr>
              <w:t>应用护理伦理学原则</w:t>
            </w:r>
            <w:r>
              <w:rPr>
                <w:rFonts w:hint="eastAsia" w:asciiTheme="minorEastAsia" w:hAnsiTheme="minorEastAsia" w:cstheme="minorEastAsia"/>
                <w:b w:val="0"/>
                <w:bCs/>
                <w:snapToGrid/>
                <w:color w:val="000000"/>
                <w:kern w:val="0"/>
                <w:sz w:val="21"/>
                <w:szCs w:val="21"/>
                <w:lang w:eastAsia="zh-CN"/>
              </w:rPr>
              <w:t>、</w:t>
            </w:r>
            <w:r>
              <w:rPr>
                <w:rFonts w:hint="eastAsia" w:asciiTheme="minorEastAsia" w:hAnsiTheme="minorEastAsia" w:eastAsiaTheme="minorEastAsia" w:cstheme="minorEastAsia"/>
                <w:b w:val="0"/>
                <w:bCs/>
                <w:snapToGrid/>
                <w:color w:val="000000"/>
                <w:kern w:val="0"/>
                <w:sz w:val="21"/>
                <w:szCs w:val="21"/>
                <w:lang w:eastAsia="zh-CN"/>
              </w:rPr>
              <w:t>规范处理</w:t>
            </w:r>
            <w:r>
              <w:rPr>
                <w:rFonts w:hint="eastAsia" w:asciiTheme="minorEastAsia" w:hAnsiTheme="minorEastAsia" w:cstheme="minorEastAsia"/>
                <w:b w:val="0"/>
                <w:bCs/>
                <w:snapToGrid/>
                <w:color w:val="000000"/>
                <w:kern w:val="0"/>
                <w:sz w:val="21"/>
                <w:szCs w:val="21"/>
                <w:lang w:val="en-US" w:eastAsia="zh-CN"/>
              </w:rPr>
              <w:t>临床实践伦理问题和</w:t>
            </w:r>
            <w:r>
              <w:rPr>
                <w:rFonts w:hint="eastAsia" w:asciiTheme="minorEastAsia" w:hAnsiTheme="minorEastAsia" w:eastAsiaTheme="minorEastAsia" w:cstheme="minorEastAsia"/>
                <w:b w:val="0"/>
                <w:bCs/>
                <w:snapToGrid/>
                <w:color w:val="000000"/>
                <w:kern w:val="0"/>
                <w:sz w:val="21"/>
                <w:szCs w:val="21"/>
                <w:lang w:eastAsia="zh-CN"/>
              </w:rPr>
              <w:t>护</w:t>
            </w:r>
            <w:r>
              <w:rPr>
                <w:rFonts w:hint="eastAsia" w:asciiTheme="minorEastAsia" w:hAnsiTheme="minorEastAsia" w:cstheme="minorEastAsia"/>
                <w:b w:val="0"/>
                <w:bCs/>
                <w:snapToGrid/>
                <w:color w:val="000000"/>
                <w:kern w:val="0"/>
                <w:sz w:val="21"/>
                <w:szCs w:val="21"/>
                <w:lang w:val="en-US" w:eastAsia="zh-CN"/>
              </w:rPr>
              <w:t>理</w:t>
            </w:r>
            <w:r>
              <w:rPr>
                <w:rFonts w:hint="eastAsia" w:asciiTheme="minorEastAsia" w:hAnsiTheme="minorEastAsia" w:eastAsiaTheme="minorEastAsia" w:cstheme="minorEastAsia"/>
                <w:b w:val="0"/>
                <w:bCs/>
                <w:snapToGrid/>
                <w:color w:val="000000"/>
                <w:kern w:val="0"/>
                <w:sz w:val="21"/>
                <w:szCs w:val="21"/>
                <w:lang w:eastAsia="zh-CN"/>
              </w:rPr>
              <w:t>人际关系</w:t>
            </w:r>
            <w:r>
              <w:rPr>
                <w:rFonts w:hint="eastAsia" w:asciiTheme="minorEastAsia" w:hAnsiTheme="minorEastAsia" w:cstheme="minorEastAsia"/>
                <w:b w:val="0"/>
                <w:bCs/>
                <w:snapToGrid/>
                <w:color w:val="000000"/>
                <w:kern w:val="0"/>
                <w:sz w:val="21"/>
                <w:szCs w:val="21"/>
                <w:lang w:val="en-US" w:eastAsia="zh-CN"/>
              </w:rPr>
              <w:t>。</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pPr>
              <w:pStyle w:val="15"/>
              <w:jc w:val="both"/>
              <w:rPr>
                <w:b/>
              </w:rPr>
            </w:pPr>
          </w:p>
        </w:tc>
        <w:tc>
          <w:tcPr>
            <w:tcW w:w="794" w:type="dxa"/>
            <w:tcBorders>
              <w:left w:val="single" w:color="auto" w:sz="4" w:space="0"/>
            </w:tcBorders>
            <w:vAlign w:val="center"/>
          </w:tcPr>
          <w:p>
            <w:pPr>
              <w:pStyle w:val="15"/>
              <w:rPr>
                <w:rFonts w:hint="eastAsia"/>
                <w:bCs/>
              </w:rPr>
            </w:pPr>
            <w:r>
              <w:rPr>
                <w:rFonts w:hint="eastAsia"/>
                <w:bCs/>
              </w:rPr>
              <w:t>②</w:t>
            </w:r>
          </w:p>
        </w:tc>
        <w:tc>
          <w:tcPr>
            <w:tcW w:w="794" w:type="dxa"/>
            <w:tcBorders>
              <w:right w:val="double" w:color="auto" w:sz="4" w:space="0"/>
            </w:tcBorders>
            <w:shd w:val="clear" w:color="auto" w:fill="auto"/>
            <w:vAlign w:val="center"/>
          </w:tcPr>
          <w:p>
            <w:pPr>
              <w:pStyle w:val="15"/>
              <w:rPr>
                <w:rFonts w:hint="eastAsia" w:ascii="宋体" w:hAnsi="宋体"/>
              </w:rPr>
            </w:pPr>
            <w:r>
              <w:rPr>
                <w:rFonts w:hint="eastAsia" w:ascii="宋体" w:hAnsi="宋体"/>
              </w:rPr>
              <w:t>M</w:t>
            </w:r>
          </w:p>
        </w:tc>
        <w:tc>
          <w:tcPr>
            <w:tcW w:w="4763" w:type="dxa"/>
            <w:vAlign w:val="center"/>
          </w:tcPr>
          <w:p>
            <w:pPr>
              <w:pStyle w:val="15"/>
              <w:jc w:val="left"/>
              <w:rPr>
                <w:rFonts w:hint="eastAsia" w:asciiTheme="minorEastAsia" w:hAnsiTheme="minorEastAsia" w:eastAsiaTheme="minorEastAsia" w:cstheme="minorEastAsia"/>
                <w:spacing w:val="6"/>
                <w:lang w:val="en-US" w:eastAsia="zh-CN"/>
              </w:rPr>
            </w:pPr>
            <w:r>
              <w:rPr>
                <w:rFonts w:hint="eastAsia" w:asciiTheme="minorEastAsia" w:hAnsiTheme="minorEastAsia" w:eastAsiaTheme="minorEastAsia" w:cstheme="minorEastAsia"/>
                <w:spacing w:val="6"/>
                <w:lang w:val="en-US" w:eastAsia="zh-CN"/>
              </w:rPr>
              <w:t>5.</w:t>
            </w:r>
            <w:r>
              <w:rPr>
                <w:spacing w:val="6"/>
              </w:rPr>
              <w:t>在护理科研及护理</w:t>
            </w:r>
            <w:r>
              <w:rPr>
                <w:rFonts w:hint="eastAsia"/>
                <w:spacing w:val="6"/>
                <w:lang w:val="en-US" w:eastAsia="zh-CN"/>
              </w:rPr>
              <w:t>管理</w:t>
            </w:r>
            <w:r>
              <w:rPr>
                <w:spacing w:val="6"/>
              </w:rPr>
              <w:t>中进行伦理行为的正确选择和评价，做出正确</w:t>
            </w:r>
            <w:r>
              <w:rPr>
                <w:spacing w:val="4"/>
              </w:rPr>
              <w:t>的决策。</w:t>
            </w:r>
          </w:p>
        </w:tc>
        <w:tc>
          <w:tcPr>
            <w:tcW w:w="1348" w:type="dxa"/>
            <w:tcBorders>
              <w:right w:val="single" w:color="auto" w:sz="12" w:space="0"/>
            </w:tcBorders>
            <w:vAlign w:val="center"/>
          </w:tcPr>
          <w:p>
            <w:pPr>
              <w:pStyle w:val="15"/>
              <w:rPr>
                <w:rFonts w:ascii="宋体" w:hAnsi="宋体"/>
                <w:bCs/>
              </w:rPr>
            </w:pPr>
            <w:r>
              <w:rPr>
                <w:rFonts w:hint="eastAsia" w:ascii="宋体" w:hAnsi="宋体"/>
                <w:bCs/>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pPr>
              <w:pStyle w:val="15"/>
              <w:spacing w:line="480" w:lineRule="auto"/>
              <w:jc w:val="both"/>
              <w:rPr>
                <w:rFonts w:hint="eastAsia"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eastAsiaTheme="minorEastAsia"/>
                <w:color w:val="000000"/>
                <w:kern w:val="0"/>
                <w:sz w:val="20"/>
                <w:szCs w:val="20"/>
                <w:lang w:val="en-US" w:eastAsia="zh-CN" w:bidi="ar-SA"/>
              </w:rPr>
              <w:t>LO5</w:t>
            </w:r>
          </w:p>
        </w:tc>
        <w:tc>
          <w:tcPr>
            <w:tcW w:w="794" w:type="dxa"/>
            <w:tcBorders>
              <w:left w:val="single" w:color="auto" w:sz="4" w:space="0"/>
              <w:bottom w:val="single" w:color="auto" w:sz="12" w:space="0"/>
            </w:tcBorders>
            <w:vAlign w:val="center"/>
          </w:tcPr>
          <w:p>
            <w:pPr>
              <w:pStyle w:val="15"/>
              <w:rPr>
                <w:rFonts w:hint="eastAsia" w:ascii="Times New Roman" w:hAnsi="Times New Roman" w:eastAsia="宋体" w:cs="Times New Roman"/>
                <w:bCs/>
                <w:color w:val="000000"/>
                <w:sz w:val="21"/>
                <w:szCs w:val="21"/>
                <w:lang w:val="en-US" w:eastAsia="zh-CN" w:bidi="ar-SA"/>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pPr>
              <w:pStyle w:val="15"/>
              <w:rPr>
                <w:rFonts w:hint="eastAsia" w:ascii="宋体" w:hAnsi="宋体" w:eastAsia="宋体" w:cs="宋体"/>
                <w:color w:val="000000"/>
                <w:sz w:val="21"/>
                <w:szCs w:val="21"/>
                <w:lang w:val="en-US" w:eastAsia="zh-CN" w:bidi="ar-SA"/>
              </w:rPr>
            </w:pPr>
            <w:r>
              <w:rPr>
                <w:rFonts w:hint="eastAsia" w:ascii="宋体" w:hAnsi="宋体"/>
                <w:lang w:val="en-US" w:eastAsia="zh-CN"/>
              </w:rPr>
              <w:t>M</w:t>
            </w:r>
          </w:p>
        </w:tc>
        <w:tc>
          <w:tcPr>
            <w:tcW w:w="4763" w:type="dxa"/>
            <w:tcBorders>
              <w:bottom w:val="single" w:color="auto" w:sz="12" w:space="0"/>
            </w:tcBorders>
            <w:vAlign w:val="center"/>
          </w:tcPr>
          <w:p>
            <w:pPr>
              <w:pStyle w:val="15"/>
              <w:jc w:val="left"/>
              <w:rPr>
                <w:rFonts w:hint="eastAsia" w:asciiTheme="minorEastAsia" w:hAnsiTheme="minorEastAsia" w:eastAsiaTheme="minorEastAsia" w:cstheme="minorEastAsia"/>
                <w:bCs/>
                <w:color w:val="000000"/>
                <w:sz w:val="21"/>
                <w:szCs w:val="21"/>
                <w:lang w:val="en-US" w:eastAsia="zh-CN" w:bidi="ar-SA"/>
              </w:rPr>
            </w:pPr>
            <w:r>
              <w:rPr>
                <w:rFonts w:hint="eastAsia" w:asciiTheme="minorEastAsia" w:hAnsiTheme="minorEastAsia" w:eastAsiaTheme="minorEastAsia" w:cstheme="minorEastAsia"/>
                <w:bCs/>
                <w:lang w:val="en-US" w:eastAsia="zh-CN"/>
              </w:rPr>
              <w:t>7.具有乐观、开朗的性格，爱岗敬业、乐于奉献的精神。</w:t>
            </w:r>
          </w:p>
        </w:tc>
        <w:tc>
          <w:tcPr>
            <w:tcW w:w="1348" w:type="dxa"/>
            <w:tcBorders>
              <w:bottom w:val="single" w:color="auto" w:sz="12" w:space="0"/>
              <w:right w:val="single" w:color="auto" w:sz="12" w:space="0"/>
            </w:tcBorders>
            <w:vAlign w:val="center"/>
          </w:tcPr>
          <w:p>
            <w:pPr>
              <w:pStyle w:val="15"/>
              <w:rPr>
                <w:rFonts w:ascii="宋体" w:hAnsi="宋体" w:eastAsia="宋体" w:cs="宋体"/>
                <w:bCs/>
                <w:color w:val="000000"/>
                <w:sz w:val="21"/>
                <w:szCs w:val="21"/>
                <w:lang w:val="en-US" w:eastAsia="zh-CN" w:bidi="ar-SA"/>
              </w:rPr>
            </w:pPr>
            <w:r>
              <w:rPr>
                <w:rFonts w:hint="eastAsia" w:ascii="宋体" w:hAnsi="宋体"/>
                <w:bCs/>
                <w:lang w:val="en-US" w:eastAsia="zh-CN"/>
              </w:rPr>
              <w:t>100%</w:t>
            </w:r>
          </w:p>
        </w:tc>
      </w:tr>
    </w:tbl>
    <w:p>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tbl>
            <w:tblPr>
              <w:tblStyle w:val="8"/>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863"/>
              <w:gridCol w:w="2148"/>
              <w:gridCol w:w="1481"/>
              <w:gridCol w:w="1525"/>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683" w:type="dxa"/>
                  <w:vAlign w:val="center"/>
                </w:tcPr>
                <w:p>
                  <w:pPr>
                    <w:snapToGrid w:val="0"/>
                    <w:spacing w:line="288" w:lineRule="auto"/>
                    <w:jc w:val="center"/>
                    <w:rPr>
                      <w:rFonts w:ascii="宋体" w:hAnsi="Times New Roman"/>
                      <w:b/>
                      <w:color w:val="000000"/>
                      <w:sz w:val="20"/>
                      <w:szCs w:val="20"/>
                    </w:rPr>
                  </w:pPr>
                  <w:bookmarkStart w:id="0" w:name="OLE_LINK5"/>
                  <w:bookmarkStart w:id="1" w:name="OLE_LINK6"/>
                  <w:r>
                    <w:rPr>
                      <w:rFonts w:hint="eastAsia" w:ascii="宋体" w:hAnsi="宋体"/>
                      <w:b/>
                      <w:color w:val="000000"/>
                      <w:sz w:val="20"/>
                      <w:szCs w:val="20"/>
                    </w:rPr>
                    <w:t>序号</w:t>
                  </w:r>
                </w:p>
              </w:tc>
              <w:tc>
                <w:tcPr>
                  <w:tcW w:w="863" w:type="dxa"/>
                  <w:vAlign w:val="center"/>
                </w:tcPr>
                <w:p>
                  <w:pPr>
                    <w:snapToGrid w:val="0"/>
                    <w:spacing w:line="288" w:lineRule="auto"/>
                    <w:jc w:val="center"/>
                    <w:rPr>
                      <w:rFonts w:hint="eastAsia" w:ascii="宋体" w:hAnsi="宋体"/>
                      <w:b/>
                      <w:color w:val="000000"/>
                      <w:sz w:val="20"/>
                      <w:szCs w:val="20"/>
                    </w:rPr>
                  </w:pPr>
                  <w:r>
                    <w:rPr>
                      <w:rFonts w:hint="eastAsia" w:ascii="宋体" w:hAnsi="宋体"/>
                      <w:b/>
                      <w:color w:val="000000"/>
                      <w:sz w:val="20"/>
                      <w:szCs w:val="20"/>
                    </w:rPr>
                    <w:t>单元</w:t>
                  </w:r>
                </w:p>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名称</w:t>
                  </w:r>
                </w:p>
              </w:tc>
              <w:tc>
                <w:tcPr>
                  <w:tcW w:w="21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481" w:type="dxa"/>
                  <w:vAlign w:val="center"/>
                </w:tcPr>
                <w:p>
                  <w:pPr>
                    <w:snapToGrid w:val="0"/>
                    <w:spacing w:line="288" w:lineRule="auto"/>
                    <w:jc w:val="center"/>
                    <w:rPr>
                      <w:rFonts w:ascii="宋体" w:hAnsi="Times New Roman"/>
                      <w:b/>
                      <w:color w:val="000000"/>
                      <w:sz w:val="20"/>
                      <w:szCs w:val="20"/>
                    </w:rPr>
                  </w:pPr>
                  <w:r>
                    <w:rPr>
                      <w:rFonts w:hint="eastAsia"/>
                      <w:b/>
                      <w:color w:val="000000"/>
                      <w:sz w:val="20"/>
                      <w:szCs w:val="20"/>
                      <w:lang w:val="en-US" w:eastAsia="zh-CN"/>
                    </w:rPr>
                    <w:t>技能</w:t>
                  </w:r>
                  <w:r>
                    <w:rPr>
                      <w:rFonts w:hint="eastAsia" w:ascii="宋体" w:hAnsi="宋体"/>
                      <w:b/>
                      <w:color w:val="000000"/>
                      <w:sz w:val="20"/>
                      <w:szCs w:val="20"/>
                    </w:rPr>
                    <w:t>目标</w:t>
                  </w:r>
                </w:p>
              </w:tc>
              <w:tc>
                <w:tcPr>
                  <w:tcW w:w="1525" w:type="dxa"/>
                  <w:vAlign w:val="center"/>
                </w:tcPr>
                <w:p>
                  <w:pPr>
                    <w:snapToGrid w:val="0"/>
                    <w:spacing w:line="288" w:lineRule="auto"/>
                    <w:jc w:val="center"/>
                    <w:rPr>
                      <w:rFonts w:ascii="宋体" w:hAnsi="宋体"/>
                      <w:b/>
                      <w:color w:val="000000"/>
                      <w:sz w:val="20"/>
                      <w:szCs w:val="20"/>
                    </w:rPr>
                  </w:pPr>
                  <w:r>
                    <w:rPr>
                      <w:rFonts w:hint="eastAsia"/>
                      <w:b/>
                      <w:color w:val="000000"/>
                      <w:sz w:val="20"/>
                      <w:szCs w:val="20"/>
                      <w:lang w:val="en-US" w:eastAsia="zh-CN"/>
                    </w:rPr>
                    <w:t>素养</w:t>
                  </w:r>
                  <w:r>
                    <w:rPr>
                      <w:rFonts w:hint="eastAsia" w:ascii="宋体" w:hAnsi="宋体"/>
                      <w:b/>
                      <w:color w:val="000000"/>
                      <w:sz w:val="20"/>
                      <w:szCs w:val="20"/>
                    </w:rPr>
                    <w:t>目标</w:t>
                  </w:r>
                </w:p>
              </w:tc>
              <w:tc>
                <w:tcPr>
                  <w:tcW w:w="167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83" w:type="dxa"/>
                  <w:vAlign w:val="center"/>
                </w:tcPr>
                <w:p>
                  <w:pPr>
                    <w:snapToGrid w:val="0"/>
                    <w:spacing w:line="288" w:lineRule="auto"/>
                    <w:jc w:val="both"/>
                    <w:rPr>
                      <w:rFonts w:ascii="宋体" w:hAnsi="宋体"/>
                      <w:color w:val="000000"/>
                      <w:sz w:val="21"/>
                      <w:szCs w:val="21"/>
                    </w:rPr>
                  </w:pPr>
                  <w:r>
                    <w:rPr>
                      <w:rFonts w:hint="eastAsia" w:ascii="宋体" w:hAnsi="宋体"/>
                      <w:color w:val="000000"/>
                      <w:sz w:val="21"/>
                      <w:szCs w:val="21"/>
                    </w:rPr>
                    <w:t>1</w:t>
                  </w:r>
                </w:p>
              </w:tc>
              <w:tc>
                <w:tcPr>
                  <w:tcW w:w="863" w:type="dxa"/>
                  <w:vAlign w:val="center"/>
                </w:tcPr>
                <w:p>
                  <w:pPr>
                    <w:snapToGrid w:val="0"/>
                    <w:spacing w:line="288" w:lineRule="auto"/>
                    <w:jc w:val="both"/>
                    <w:rPr>
                      <w:rFonts w:hint="default" w:ascii="宋体" w:eastAsia="宋体"/>
                      <w:color w:val="000000"/>
                      <w:sz w:val="21"/>
                      <w:szCs w:val="21"/>
                      <w:lang w:val="en-US" w:eastAsia="zh-CN"/>
                    </w:rPr>
                  </w:pPr>
                  <w:r>
                    <w:rPr>
                      <w:rFonts w:hint="eastAsia"/>
                      <w:color w:val="000000"/>
                      <w:sz w:val="21"/>
                      <w:szCs w:val="21"/>
                      <w:lang w:val="en-US" w:eastAsia="zh-CN"/>
                    </w:rPr>
                    <w:t>绪论</w:t>
                  </w:r>
                </w:p>
              </w:tc>
              <w:tc>
                <w:tcPr>
                  <w:tcW w:w="2148" w:type="dxa"/>
                </w:tcPr>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color w:val="00000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理解道德、伦理学、护理伦理学、护理伦理修养、护理伦理评价的概念。</w:t>
                  </w:r>
                </w:p>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2.知道护理伦理学的研究对象。</w:t>
                  </w:r>
                </w:p>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3.理解职业道德的基本内容。</w:t>
                  </w:r>
                </w:p>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4.理解道德的特征和功能。</w:t>
                  </w:r>
                </w:p>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5.分析市场经济、科技发展等对护理道德建设的影响。</w:t>
                  </w:r>
                </w:p>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6.分析护理伦理教育、修养与评价的方法和途径。</w:t>
                  </w:r>
                </w:p>
                <w:p>
                  <w:pPr>
                    <w:spacing w:line="276" w:lineRule="auto"/>
                    <w:jc w:val="both"/>
                    <w:rPr>
                      <w:rFonts w:hint="default" w:ascii="宋体" w:eastAsia="宋体"/>
                      <w:color w:val="000000"/>
                      <w:sz w:val="21"/>
                      <w:szCs w:val="21"/>
                      <w:lang w:val="en-US" w:eastAsia="zh-CN"/>
                    </w:rPr>
                  </w:pPr>
                </w:p>
              </w:tc>
              <w:tc>
                <w:tcPr>
                  <w:tcW w:w="1481" w:type="dxa"/>
                </w:tcPr>
                <w:p>
                  <w:pPr>
                    <w:snapToGrid w:val="0"/>
                    <w:spacing w:line="288" w:lineRule="auto"/>
                    <w:jc w:val="both"/>
                    <w:rPr>
                      <w:rFonts w:hint="default" w:ascii="宋体" w:hAnsi="Times New Roman" w:eastAsia="宋体"/>
                      <w:b/>
                      <w:color w:val="00000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eastAsia="zh-CN"/>
                    </w:rPr>
                    <w:t>1.能够根据个人实际情况拟定自我伦理教育、修养与评价的方法。</w:t>
                  </w:r>
                </w:p>
              </w:tc>
              <w:tc>
                <w:tcPr>
                  <w:tcW w:w="1525" w:type="dxa"/>
                </w:tcPr>
                <w:p>
                  <w:pPr>
                    <w:kinsoku/>
                    <w:autoSpaceDE/>
                    <w:autoSpaceDN/>
                    <w:adjustRightInd/>
                    <w:snapToGrid w:val="0"/>
                    <w:spacing w:line="288" w:lineRule="auto"/>
                    <w:jc w:val="left"/>
                    <w:textAlignment w:val="auto"/>
                    <w:rPr>
                      <w:rFonts w:hint="default" w:ascii="宋体" w:hAnsi="宋体" w:eastAsia="宋体"/>
                      <w:color w:val="00000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eastAsia="zh-CN"/>
                    </w:rPr>
                    <w:t>1.能够体验护理伦理在社会经济发展中的不断演变，保持以护理道德规范作为行动的指南。</w:t>
                  </w:r>
                </w:p>
              </w:tc>
              <w:tc>
                <w:tcPr>
                  <w:tcW w:w="1670" w:type="dxa"/>
                </w:tcPr>
                <w:p>
                  <w:pPr>
                    <w:spacing w:line="240" w:lineRule="auto"/>
                    <w:jc w:val="both"/>
                    <w:rPr>
                      <w:rFonts w:hint="eastAsia" w:eastAsia="宋体"/>
                      <w:bCs/>
                      <w:sz w:val="21"/>
                      <w:szCs w:val="21"/>
                      <w:lang w:eastAsia="zh-CN"/>
                    </w:rPr>
                  </w:pPr>
                  <w:r>
                    <w:rPr>
                      <w:rFonts w:hint="eastAsia"/>
                      <w:bCs/>
                      <w:sz w:val="21"/>
                      <w:szCs w:val="21"/>
                    </w:rPr>
                    <w:t>1.</w:t>
                  </w:r>
                  <w:r>
                    <w:rPr>
                      <w:rFonts w:hint="eastAsia" w:asciiTheme="minorEastAsia" w:hAnsiTheme="minorEastAsia" w:eastAsiaTheme="minorEastAsia" w:cstheme="minorEastAsia"/>
                      <w:b w:val="0"/>
                      <w:bCs/>
                      <w:snapToGrid/>
                      <w:color w:val="000000"/>
                      <w:kern w:val="0"/>
                      <w:sz w:val="21"/>
                      <w:szCs w:val="21"/>
                      <w:lang w:eastAsia="zh-CN"/>
                    </w:rPr>
                    <w:t>护理伦理与卫生法律法规的基本概念及相关关系。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83" w:type="dxa"/>
                  <w:vAlign w:val="center"/>
                </w:tcPr>
                <w:p>
                  <w:pPr>
                    <w:snapToGrid w:val="0"/>
                    <w:spacing w:line="288" w:lineRule="auto"/>
                    <w:jc w:val="both"/>
                    <w:rPr>
                      <w:rFonts w:ascii="宋体" w:hAnsi="宋体"/>
                      <w:color w:val="000000"/>
                      <w:sz w:val="21"/>
                      <w:szCs w:val="21"/>
                    </w:rPr>
                  </w:pPr>
                  <w:r>
                    <w:rPr>
                      <w:rFonts w:hint="eastAsia" w:ascii="宋体" w:hAnsi="宋体"/>
                      <w:color w:val="000000"/>
                      <w:sz w:val="21"/>
                      <w:szCs w:val="21"/>
                    </w:rPr>
                    <w:t>2</w:t>
                  </w:r>
                </w:p>
              </w:tc>
              <w:tc>
                <w:tcPr>
                  <w:tcW w:w="863" w:type="dxa"/>
                  <w:vAlign w:val="center"/>
                </w:tcPr>
                <w:p>
                  <w:pPr>
                    <w:kinsoku/>
                    <w:autoSpaceDE/>
                    <w:autoSpaceDN/>
                    <w:adjustRightInd/>
                    <w:snapToGrid w:val="0"/>
                    <w:spacing w:line="288" w:lineRule="auto"/>
                    <w:jc w:val="left"/>
                    <w:textAlignment w:val="auto"/>
                    <w:rPr>
                      <w:rFonts w:hint="default" w:asciiTheme="minorEastAsia" w:hAnsiTheme="minorEastAsia" w:eastAsiaTheme="minorEastAsia" w:cstheme="minorEastAsia"/>
                      <w:b w:val="0"/>
                      <w:bCs/>
                      <w:snapToGrid/>
                      <w:color w:val="000000"/>
                      <w:kern w:val="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eastAsia="zh-CN"/>
                    </w:rPr>
                    <w:t>护理伦理学的基</w:t>
                  </w:r>
                  <w:r>
                    <w:rPr>
                      <w:rFonts w:hint="eastAsia" w:asciiTheme="minorEastAsia" w:hAnsiTheme="minorEastAsia" w:eastAsiaTheme="minorEastAsia" w:cstheme="minorEastAsia"/>
                      <w:b w:val="0"/>
                      <w:bCs/>
                      <w:snapToGrid/>
                      <w:color w:val="000000"/>
                      <w:kern w:val="0"/>
                      <w:sz w:val="21"/>
                      <w:szCs w:val="21"/>
                      <w:lang w:val="en-US" w:eastAsia="zh-CN"/>
                    </w:rPr>
                    <w:t>本</w:t>
                  </w:r>
                  <w:r>
                    <w:rPr>
                      <w:rFonts w:hint="eastAsia" w:asciiTheme="minorEastAsia" w:hAnsiTheme="minorEastAsia" w:eastAsiaTheme="minorEastAsia" w:cstheme="minorEastAsia"/>
                      <w:b w:val="0"/>
                      <w:bCs/>
                      <w:snapToGrid/>
                      <w:color w:val="000000"/>
                      <w:kern w:val="0"/>
                      <w:sz w:val="21"/>
                      <w:szCs w:val="21"/>
                      <w:lang w:eastAsia="zh-CN"/>
                    </w:rPr>
                    <w:t>理</w:t>
                  </w:r>
                  <w:r>
                    <w:rPr>
                      <w:rFonts w:hint="eastAsia" w:asciiTheme="minorEastAsia" w:hAnsiTheme="minorEastAsia" w:eastAsiaTheme="minorEastAsia" w:cstheme="minorEastAsia"/>
                      <w:b w:val="0"/>
                      <w:bCs/>
                      <w:snapToGrid/>
                      <w:color w:val="000000"/>
                      <w:kern w:val="0"/>
                      <w:sz w:val="21"/>
                      <w:szCs w:val="21"/>
                      <w:lang w:val="en-US" w:eastAsia="zh-CN"/>
                    </w:rPr>
                    <w:t>论与观点</w:t>
                  </w:r>
                </w:p>
                <w:p>
                  <w:pPr>
                    <w:spacing w:line="276" w:lineRule="auto"/>
                    <w:jc w:val="both"/>
                    <w:rPr>
                      <w:bCs/>
                      <w:sz w:val="21"/>
                      <w:szCs w:val="21"/>
                    </w:rPr>
                  </w:pPr>
                </w:p>
              </w:tc>
              <w:tc>
                <w:tcPr>
                  <w:tcW w:w="2148" w:type="dxa"/>
                </w:tcPr>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1.理解美德论、义务论、效果论、生命神圣论、生命质量论、生命价值论的基本概念。</w:t>
                  </w:r>
                </w:p>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2.理解护理伦理学的基本观点和基本理论。</w:t>
                  </w:r>
                </w:p>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3.应用护理伦理学的基</w:t>
                  </w:r>
                  <w:r>
                    <w:rPr>
                      <w:rFonts w:hint="eastAsia" w:asciiTheme="minorEastAsia" w:hAnsiTheme="minorEastAsia" w:eastAsiaTheme="minorEastAsia" w:cstheme="minorEastAsia"/>
                      <w:b w:val="0"/>
                      <w:bCs/>
                      <w:snapToGrid/>
                      <w:color w:val="000000"/>
                      <w:kern w:val="0"/>
                      <w:sz w:val="21"/>
                      <w:szCs w:val="21"/>
                      <w:lang w:val="en-US" w:eastAsia="zh-CN"/>
                    </w:rPr>
                    <w:t>本</w:t>
                  </w:r>
                  <w:r>
                    <w:rPr>
                      <w:rFonts w:hint="eastAsia" w:asciiTheme="minorEastAsia" w:hAnsiTheme="minorEastAsia" w:eastAsiaTheme="minorEastAsia" w:cstheme="minorEastAsia"/>
                      <w:b w:val="0"/>
                      <w:bCs/>
                      <w:snapToGrid/>
                      <w:color w:val="000000"/>
                      <w:kern w:val="0"/>
                      <w:sz w:val="21"/>
                      <w:szCs w:val="21"/>
                      <w:lang w:eastAsia="zh-CN"/>
                    </w:rPr>
                    <w:t>理论指导护理实践活动。</w:t>
                  </w:r>
                </w:p>
                <w:p>
                  <w:pPr>
                    <w:spacing w:line="276" w:lineRule="auto"/>
                    <w:jc w:val="both"/>
                    <w:rPr>
                      <w:rFonts w:hint="eastAsia" w:eastAsia="宋体"/>
                      <w:bCs/>
                      <w:sz w:val="21"/>
                      <w:szCs w:val="21"/>
                      <w:lang w:eastAsia="zh-CN"/>
                    </w:rPr>
                  </w:pPr>
                </w:p>
              </w:tc>
              <w:tc>
                <w:tcPr>
                  <w:tcW w:w="1481" w:type="dxa"/>
                </w:tcPr>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1.能够理论联系实际， 应用美德论、义务论、效果论，分析临床伦理问题。</w:t>
                  </w:r>
                </w:p>
                <w:p>
                  <w:pPr>
                    <w:snapToGrid w:val="0"/>
                    <w:spacing w:line="288" w:lineRule="auto"/>
                    <w:jc w:val="left"/>
                    <w:rPr>
                      <w:rFonts w:ascii="宋体" w:hAnsi="Times New Roman"/>
                      <w:b/>
                      <w:color w:val="000000"/>
                      <w:sz w:val="21"/>
                      <w:szCs w:val="21"/>
                    </w:rPr>
                  </w:pPr>
                  <w:r>
                    <w:rPr>
                      <w:rFonts w:hint="eastAsia" w:asciiTheme="minorEastAsia" w:hAnsiTheme="minorEastAsia" w:eastAsiaTheme="minorEastAsia" w:cstheme="minorEastAsia"/>
                      <w:b w:val="0"/>
                      <w:bCs/>
                      <w:snapToGrid/>
                      <w:color w:val="000000"/>
                      <w:kern w:val="0"/>
                      <w:sz w:val="21"/>
                      <w:szCs w:val="21"/>
                      <w:lang w:eastAsia="zh-CN"/>
                    </w:rPr>
                    <w:t>2.能够理论联系实际，应用生命神圣论、生命质量论、生命价值论分析临床伦理问题。</w:t>
                  </w:r>
                </w:p>
              </w:tc>
              <w:tc>
                <w:tcPr>
                  <w:tcW w:w="1525" w:type="dxa"/>
                </w:tcPr>
                <w:p>
                  <w:pPr>
                    <w:kinsoku/>
                    <w:autoSpaceDE/>
                    <w:autoSpaceDN/>
                    <w:adjustRightInd/>
                    <w:snapToGrid w:val="0"/>
                    <w:spacing w:line="288" w:lineRule="auto"/>
                    <w:jc w:val="left"/>
                    <w:textAlignment w:val="auto"/>
                    <w:rPr>
                      <w:rFonts w:hint="eastAsia" w:ascii="宋体" w:hAnsi="宋体" w:eastAsia="宋体"/>
                      <w:color w:val="00000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1.能够分享美德论、义务论、效果论、生命神圣论、生命质量论、生命价值论在临床护理伦理问题中的具体应用。</w:t>
                  </w:r>
                </w:p>
              </w:tc>
              <w:tc>
                <w:tcPr>
                  <w:tcW w:w="1670" w:type="dxa"/>
                </w:tcPr>
                <w:p>
                  <w:pPr>
                    <w:spacing w:line="240" w:lineRule="auto"/>
                    <w:jc w:val="both"/>
                    <w:rPr>
                      <w:rFonts w:hint="eastAsia" w:eastAsia="宋体"/>
                      <w:bCs/>
                      <w:sz w:val="21"/>
                      <w:szCs w:val="21"/>
                      <w:lang w:eastAsia="zh-CN"/>
                    </w:rPr>
                  </w:pPr>
                  <w:r>
                    <w:rPr>
                      <w:rFonts w:hint="eastAsia"/>
                      <w:bCs/>
                      <w:sz w:val="21"/>
                      <w:szCs w:val="21"/>
                    </w:rPr>
                    <w:t>1.</w:t>
                  </w:r>
                  <w:r>
                    <w:rPr>
                      <w:rFonts w:hint="eastAsia" w:asciiTheme="minorEastAsia" w:hAnsiTheme="minorEastAsia" w:eastAsiaTheme="minorEastAsia" w:cstheme="minorEastAsia"/>
                      <w:b w:val="0"/>
                      <w:bCs/>
                      <w:snapToGrid/>
                      <w:color w:val="000000"/>
                      <w:kern w:val="0"/>
                      <w:sz w:val="21"/>
                      <w:szCs w:val="21"/>
                      <w:lang w:eastAsia="zh-CN"/>
                    </w:rPr>
                    <w:t>护理伦理学基本概念；护理伦理学研究对象及护理道德关系。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83" w:type="dxa"/>
                  <w:vAlign w:val="center"/>
                </w:tcPr>
                <w:p>
                  <w:pPr>
                    <w:snapToGrid w:val="0"/>
                    <w:spacing w:line="288" w:lineRule="auto"/>
                    <w:jc w:val="both"/>
                    <w:rPr>
                      <w:rFonts w:ascii="宋体" w:hAnsi="宋体"/>
                      <w:color w:val="000000"/>
                      <w:sz w:val="21"/>
                      <w:szCs w:val="21"/>
                    </w:rPr>
                  </w:pPr>
                  <w:r>
                    <w:rPr>
                      <w:rFonts w:hint="eastAsia" w:ascii="宋体" w:hAnsi="宋体"/>
                      <w:color w:val="000000"/>
                      <w:sz w:val="21"/>
                      <w:szCs w:val="21"/>
                    </w:rPr>
                    <w:t>3</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护理伦理学的规范体系</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1.理解权力与义务、尊严与价值、情感与理智、良心与荣誉、审慎与胆识的含义。</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2.理解尊重原则、有利原则、伤害原则、公正原则的内涵。</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3.分析护理伦理学基本规范的内容和要求。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4.应用护理伦理学基本原则、规范及范畴指导选择合乎伦理的护理行为。</w:t>
                  </w:r>
                </w:p>
                <w:p>
                  <w:pPr>
                    <w:spacing w:line="276" w:lineRule="auto"/>
                    <w:jc w:val="both"/>
                    <w:rPr>
                      <w:rFonts w:hint="eastAsia" w:eastAsia="宋体"/>
                      <w:bCs/>
                      <w:sz w:val="21"/>
                      <w:szCs w:val="21"/>
                      <w:lang w:eastAsia="zh-CN"/>
                    </w:rPr>
                  </w:pPr>
                </w:p>
              </w:tc>
              <w:tc>
                <w:tcPr>
                  <w:tcW w:w="1481"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1.能够灵活应用护理伦理学的基本原则指导解决临床护理伦理问题。</w:t>
                  </w:r>
                </w:p>
                <w:p>
                  <w:pPr>
                    <w:snapToGrid w:val="0"/>
                    <w:spacing w:line="288" w:lineRule="auto"/>
                    <w:jc w:val="left"/>
                    <w:rPr>
                      <w:rFonts w:ascii="宋体" w:hAnsi="Times New Roman"/>
                      <w:b/>
                      <w:color w:val="000000"/>
                      <w:sz w:val="21"/>
                      <w:szCs w:val="21"/>
                    </w:rPr>
                  </w:pPr>
                  <w:r>
                    <w:rPr>
                      <w:rFonts w:hint="eastAsia" w:asciiTheme="minorEastAsia" w:hAnsiTheme="minorEastAsia" w:eastAsiaTheme="minorEastAsia" w:cstheme="minorEastAsia"/>
                      <w:b w:val="0"/>
                      <w:bCs/>
                      <w:snapToGrid/>
                      <w:color w:val="000000"/>
                      <w:kern w:val="0"/>
                      <w:sz w:val="21"/>
                      <w:szCs w:val="21"/>
                      <w:lang w:eastAsia="zh-CN"/>
                    </w:rPr>
                    <w:t>2.能够灵活应用护理伦理规范和范畴指导解决临床护理伦理问题。</w:t>
                  </w:r>
                </w:p>
              </w:tc>
              <w:tc>
                <w:tcPr>
                  <w:tcW w:w="1525"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1.能够树立救死扶伤、无私奉献、服务社会、服务患者的护理伦理观念。</w:t>
                  </w:r>
                </w:p>
                <w:p>
                  <w:pPr>
                    <w:snapToGrid w:val="0"/>
                    <w:spacing w:line="288" w:lineRule="auto"/>
                    <w:jc w:val="both"/>
                    <w:rPr>
                      <w:rFonts w:hint="eastAsia" w:ascii="宋体" w:hAnsi="宋体" w:eastAsia="宋体"/>
                      <w:color w:val="000000"/>
                      <w:sz w:val="21"/>
                      <w:szCs w:val="21"/>
                      <w:lang w:eastAsia="zh-CN"/>
                    </w:rPr>
                  </w:pPr>
                </w:p>
              </w:tc>
              <w:tc>
                <w:tcPr>
                  <w:tcW w:w="1670"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护理伦理学基本原则、基本规范、基本范畴内容。</w:t>
                  </w:r>
                </w:p>
                <w:p>
                  <w:pPr>
                    <w:spacing w:line="276" w:lineRule="auto"/>
                    <w:jc w:val="both"/>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683" w:type="dxa"/>
                  <w:vAlign w:val="center"/>
                </w:tcPr>
                <w:p>
                  <w:pPr>
                    <w:snapToGrid w:val="0"/>
                    <w:spacing w:line="288" w:lineRule="auto"/>
                    <w:jc w:val="both"/>
                    <w:rPr>
                      <w:rFonts w:ascii="宋体" w:hAnsi="宋体"/>
                      <w:color w:val="000000"/>
                      <w:sz w:val="21"/>
                      <w:szCs w:val="21"/>
                    </w:rPr>
                  </w:pPr>
                  <w:r>
                    <w:rPr>
                      <w:rFonts w:hint="eastAsia" w:ascii="宋体" w:hAnsi="宋体"/>
                      <w:color w:val="000000"/>
                      <w:sz w:val="21"/>
                      <w:szCs w:val="21"/>
                    </w:rPr>
                    <w:t>4</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护理人际关系的伦理</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1.分析护士的权利和义务， 患者的权利和义务。</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2.分析护患关系的基本内容、模式和特征。</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3.综合护患冲突及改善途径。</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4.理解护患关系的道德规范。</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5.理解护医关系的道德规范。</w:t>
                  </w:r>
                </w:p>
                <w:p>
                  <w:pPr>
                    <w:snapToGrid w:val="0"/>
                    <w:spacing w:line="288" w:lineRule="auto"/>
                    <w:jc w:val="left"/>
                    <w:rPr>
                      <w:rFonts w:hint="eastAsia" w:eastAsia="宋体"/>
                      <w:bCs/>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6.理解护士与其他人员关系的道德规范。</w:t>
                  </w:r>
                </w:p>
              </w:tc>
              <w:tc>
                <w:tcPr>
                  <w:tcW w:w="1481"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1.能够应用护患权力和义务的知识处理护患人际关系。</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2.能够应用护理道德规范处理护士与他人的人际关系。</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p>
              </w:tc>
              <w:tc>
                <w:tcPr>
                  <w:tcW w:w="1525"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1.能够树立护理伦理道德观念，用伦理规范约束行为，建立良好护患关系。</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2.能够坚持遵守伦理道德规范，调整护士与各类人员之间的关系。</w:t>
                  </w:r>
                </w:p>
              </w:tc>
              <w:tc>
                <w:tcPr>
                  <w:tcW w:w="1670" w:type="dxa"/>
                </w:tcPr>
                <w:p>
                  <w:pPr>
                    <w:kinsoku/>
                    <w:autoSpaceDE/>
                    <w:autoSpaceDN/>
                    <w:adjustRightInd/>
                    <w:snapToGrid w:val="0"/>
                    <w:spacing w:line="240"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护患关系伦理规范。</w:t>
                  </w:r>
                </w:p>
                <w:p>
                  <w:pPr>
                    <w:spacing w:line="276" w:lineRule="auto"/>
                    <w:jc w:val="both"/>
                    <w:rPr>
                      <w:rFonts w:hint="default" w:eastAsia="宋体"/>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pPr>
                    <w:snapToGrid w:val="0"/>
                    <w:spacing w:line="288" w:lineRule="auto"/>
                    <w:jc w:val="both"/>
                    <w:rPr>
                      <w:rFonts w:ascii="宋体" w:hAnsi="宋体"/>
                      <w:color w:val="000000"/>
                      <w:sz w:val="21"/>
                      <w:szCs w:val="21"/>
                    </w:rPr>
                  </w:pPr>
                  <w:r>
                    <w:rPr>
                      <w:rFonts w:hint="eastAsia" w:ascii="宋体" w:hAnsi="宋体"/>
                      <w:color w:val="000000"/>
                      <w:sz w:val="21"/>
                      <w:szCs w:val="21"/>
                    </w:rPr>
                    <w:t>5</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临床护理实践中的伦理道德（一）</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1.理解基础护理伦理规范。</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2.分析急危重症护理伦理要求。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3.理解围手术期护理伦理要求。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4.理解急危重症护理的伦理难题。</w:t>
                  </w:r>
                </w:p>
                <w:p>
                  <w:pPr>
                    <w:snapToGrid w:val="0"/>
                    <w:spacing w:line="288" w:lineRule="auto"/>
                    <w:jc w:val="left"/>
                    <w:rPr>
                      <w:rFonts w:hint="eastAsia" w:eastAsia="宋体"/>
                      <w:bCs/>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5.理解手术护理的伦理难题。</w:t>
                  </w:r>
                </w:p>
              </w:tc>
              <w:tc>
                <w:tcPr>
                  <w:tcW w:w="1481"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1.能够应用生活护理的伦理要求对病人进行生活护理。</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2.能够应用围手术期护理伦理的要求进行手术护理。</w:t>
                  </w:r>
                </w:p>
                <w:p>
                  <w:pPr>
                    <w:snapToGrid w:val="0"/>
                    <w:spacing w:line="288" w:lineRule="auto"/>
                    <w:jc w:val="both"/>
                    <w:rPr>
                      <w:rFonts w:ascii="宋体" w:hAnsi="Times New Roman"/>
                      <w:b/>
                      <w:color w:val="000000"/>
                      <w:sz w:val="21"/>
                      <w:szCs w:val="21"/>
                    </w:rPr>
                  </w:pPr>
                </w:p>
              </w:tc>
              <w:tc>
                <w:tcPr>
                  <w:tcW w:w="1525"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1.通过案例讨论，建立临床护理伦理思维，按照护理伦理要求约束行为，保证患者安全。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教学，感受临床护理伦理情境及伦理难题，按照护理伦理原则和规范约束行为，认真履行职责。</w:t>
                  </w:r>
                </w:p>
                <w:p>
                  <w:pPr>
                    <w:snapToGrid w:val="0"/>
                    <w:spacing w:line="288" w:lineRule="auto"/>
                    <w:jc w:val="both"/>
                    <w:rPr>
                      <w:rFonts w:hint="eastAsia" w:ascii="宋体" w:hAnsi="宋体" w:eastAsia="宋体"/>
                      <w:color w:val="000000"/>
                      <w:sz w:val="21"/>
                      <w:szCs w:val="21"/>
                      <w:lang w:eastAsia="zh-CN"/>
                    </w:rPr>
                  </w:pPr>
                </w:p>
              </w:tc>
              <w:tc>
                <w:tcPr>
                  <w:tcW w:w="1670" w:type="dxa"/>
                </w:tcPr>
                <w:p>
                  <w:pPr>
                    <w:pStyle w:val="24"/>
                    <w:spacing w:before="65" w:line="240" w:lineRule="auto"/>
                    <w:ind w:right="153"/>
                    <w:rPr>
                      <w:rFonts w:hint="eastAsia" w:eastAsia="宋体"/>
                      <w:bCs/>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bidi="ar-SA"/>
                    </w:rPr>
                    <w:t>1.应用生活护理的伦理要求对病人进行生活护理；依据围术期护理伦理的要求进行手术护理。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pPr>
                    <w:snapToGrid w:val="0"/>
                    <w:spacing w:line="288" w:lineRule="auto"/>
                    <w:jc w:val="both"/>
                    <w:rPr>
                      <w:rFonts w:ascii="宋体" w:hAnsi="宋体"/>
                      <w:color w:val="000000"/>
                      <w:sz w:val="21"/>
                      <w:szCs w:val="21"/>
                    </w:rPr>
                  </w:pPr>
                  <w:r>
                    <w:rPr>
                      <w:rFonts w:hint="eastAsia" w:ascii="宋体" w:hAnsi="宋体"/>
                      <w:color w:val="000000"/>
                      <w:sz w:val="21"/>
                      <w:szCs w:val="21"/>
                    </w:rPr>
                    <w:t>6</w:t>
                  </w:r>
                </w:p>
              </w:tc>
              <w:tc>
                <w:tcPr>
                  <w:tcW w:w="863" w:type="dxa"/>
                  <w:vAlign w:val="center"/>
                </w:tcPr>
                <w:p>
                  <w:pPr>
                    <w:kinsoku/>
                    <w:autoSpaceDE/>
                    <w:autoSpaceDN/>
                    <w:adjustRightInd/>
                    <w:snapToGrid w:val="0"/>
                    <w:spacing w:line="288" w:lineRule="auto"/>
                    <w:jc w:val="center"/>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临床护理实践中的伦理道德（二）</w:t>
                  </w:r>
                </w:p>
                <w:p>
                  <w:pPr>
                    <w:spacing w:line="276" w:lineRule="auto"/>
                    <w:jc w:val="both"/>
                    <w:rPr>
                      <w:bCs/>
                      <w:sz w:val="21"/>
                      <w:szCs w:val="21"/>
                    </w:rPr>
                  </w:pP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1.分析妇科病人的护理特点。</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2.分析孕产妇的护理特点。</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3.分析儿科病人的护理特点。</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4.分析老年人的护理特点。</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5.理解妇产科护理伦理要求。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6.理解儿科护理伦理要求。</w:t>
                  </w:r>
                </w:p>
                <w:p>
                  <w:pPr>
                    <w:snapToGrid w:val="0"/>
                    <w:spacing w:line="288" w:lineRule="auto"/>
                    <w:jc w:val="left"/>
                    <w:rPr>
                      <w:rFonts w:hint="eastAsia" w:eastAsia="宋体"/>
                      <w:bCs/>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7.理解老年护理伦理要求。</w:t>
                  </w:r>
                </w:p>
              </w:tc>
              <w:tc>
                <w:tcPr>
                  <w:tcW w:w="1481"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1.能够应用护理伦理学原则和护理伦理规范处理妇产科护理工作中的伦理问题。</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2.能够应用护理伦理学原则和护理伦理规范处理儿科护理工作中的伦理问题。</w:t>
                  </w:r>
                </w:p>
                <w:p>
                  <w:pPr>
                    <w:snapToGrid w:val="0"/>
                    <w:spacing w:line="288" w:lineRule="auto"/>
                    <w:jc w:val="left"/>
                    <w:rPr>
                      <w:rFonts w:ascii="宋体" w:hAnsi="Times New Roman"/>
                      <w:b/>
                      <w:color w:val="000000"/>
                      <w:sz w:val="21"/>
                      <w:szCs w:val="21"/>
                    </w:rPr>
                  </w:pPr>
                  <w:r>
                    <w:rPr>
                      <w:rFonts w:hint="eastAsia" w:asciiTheme="minorEastAsia" w:hAnsiTheme="minorEastAsia" w:eastAsiaTheme="minorEastAsia" w:cstheme="minorEastAsia"/>
                      <w:b w:val="0"/>
                      <w:bCs/>
                      <w:snapToGrid/>
                      <w:color w:val="000000"/>
                      <w:kern w:val="0"/>
                      <w:sz w:val="21"/>
                      <w:szCs w:val="21"/>
                      <w:lang w:eastAsia="zh-CN"/>
                    </w:rPr>
                    <w:t>3.能够应用护理伦理学原则和护理伦理规范处理老年科护理工作中的伦理问题。</w:t>
                  </w:r>
                </w:p>
              </w:tc>
              <w:tc>
                <w:tcPr>
                  <w:tcW w:w="1525"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1.通过案例讨论，建立临床护理伦理思维，按照护理伦理要求约束行为，保证患者安全。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教学，体验妇产科、儿科、老年科护理伦理情境，按照护理伦理原则及规范分析并解决护理伦理问题。</w:t>
                  </w:r>
                </w:p>
                <w:p>
                  <w:pPr>
                    <w:snapToGrid w:val="0"/>
                    <w:spacing w:line="288" w:lineRule="auto"/>
                    <w:jc w:val="both"/>
                    <w:rPr>
                      <w:rFonts w:hint="eastAsia" w:ascii="宋体" w:hAnsi="宋体" w:eastAsia="宋体"/>
                      <w:color w:val="000000"/>
                      <w:sz w:val="21"/>
                      <w:szCs w:val="21"/>
                      <w:lang w:eastAsia="zh-CN"/>
                    </w:rPr>
                  </w:pPr>
                </w:p>
              </w:tc>
              <w:tc>
                <w:tcPr>
                  <w:tcW w:w="1670" w:type="dxa"/>
                </w:tcPr>
                <w:p>
                  <w:pPr>
                    <w:numPr>
                      <w:ilvl w:val="0"/>
                      <w:numId w:val="0"/>
                    </w:num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护理伦理学原则和护理伦理规范用于解决处理妇产科、儿科及老年科护理工作中的伦理问题。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pPr>
                    <w:snapToGrid w:val="0"/>
                    <w:spacing w:line="288" w:lineRule="auto"/>
                    <w:jc w:val="both"/>
                    <w:rPr>
                      <w:rFonts w:ascii="宋体" w:hAnsi="宋体"/>
                      <w:color w:val="000000"/>
                      <w:sz w:val="21"/>
                      <w:szCs w:val="21"/>
                    </w:rPr>
                  </w:pPr>
                  <w:r>
                    <w:rPr>
                      <w:rFonts w:hint="eastAsia" w:ascii="宋体" w:hAnsi="宋体"/>
                      <w:color w:val="000000"/>
                      <w:sz w:val="21"/>
                      <w:szCs w:val="21"/>
                    </w:rPr>
                    <w:t>7</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临床护理实践中的伦理道德（三）</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1.理解精神科护理的伦理要求。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2.理解传染科护理的伦理要求。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3.理解肿瘤科护理的伦理要求。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4.分析精神科护理的伦理难题。</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5.分析传染科护理的伦理难题。</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6.分析肿瘤科护理的伦理难题。</w:t>
                  </w:r>
                </w:p>
              </w:tc>
              <w:tc>
                <w:tcPr>
                  <w:tcW w:w="1481"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1.能够应用精神科的伦理要求开展护理活动。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2.能够应用传染科的伦理要求开展相关护理活动。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3.能够应用肿瘤科的伦理要求开展相关护理活动。</w:t>
                  </w:r>
                </w:p>
                <w:p>
                  <w:pPr>
                    <w:snapToGrid w:val="0"/>
                    <w:spacing w:line="288" w:lineRule="auto"/>
                    <w:jc w:val="both"/>
                    <w:rPr>
                      <w:rFonts w:ascii="宋体" w:hAnsi="Times New Roman"/>
                      <w:b/>
                      <w:color w:val="000000"/>
                      <w:sz w:val="21"/>
                      <w:szCs w:val="21"/>
                    </w:rPr>
                  </w:pPr>
                </w:p>
              </w:tc>
              <w:tc>
                <w:tcPr>
                  <w:tcW w:w="1525"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1.通过案例讨论，建立临床护理伦理思维，按照护理伦理原则和规范指导护理行为，保证患者安全。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教学，体验精神科、传染科、肿瘤科伦理情境，按照护理伦理原则及规范分析并解决护理伦理问题。</w:t>
                  </w:r>
                </w:p>
              </w:tc>
              <w:tc>
                <w:tcPr>
                  <w:tcW w:w="1670" w:type="dxa"/>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应用精神科、传染科和肿瘤科的伦理要求开展 相关护理活动。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pPr>
                    <w:snapToGrid w:val="0"/>
                    <w:spacing w:line="288" w:lineRule="auto"/>
                    <w:jc w:val="both"/>
                    <w:rPr>
                      <w:rFonts w:ascii="宋体" w:hAnsi="宋体"/>
                      <w:color w:val="000000"/>
                      <w:sz w:val="21"/>
                      <w:szCs w:val="21"/>
                    </w:rPr>
                  </w:pPr>
                  <w:r>
                    <w:rPr>
                      <w:rFonts w:hint="eastAsia" w:ascii="宋体" w:hAnsi="宋体"/>
                      <w:color w:val="000000"/>
                      <w:sz w:val="21"/>
                      <w:szCs w:val="21"/>
                    </w:rPr>
                    <w:t>8</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公共卫生服务的伦理道德</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1.分析社区卫生保健的护理伦理规范。</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2.分析预防保健工作的伦理道德要求。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3.分析突发公共卫生事件应急处理的伦理责任。</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4.分析突发公共卫生事件应急处理的道德要求。</w:t>
                  </w:r>
                </w:p>
                <w:p>
                  <w:pPr>
                    <w:spacing w:line="276" w:lineRule="auto"/>
                    <w:jc w:val="both"/>
                    <w:rPr>
                      <w:rFonts w:hint="eastAsia" w:eastAsia="宋体"/>
                      <w:bCs/>
                      <w:sz w:val="21"/>
                      <w:szCs w:val="21"/>
                      <w:lang w:eastAsia="zh-CN"/>
                    </w:rPr>
                  </w:pPr>
                </w:p>
              </w:tc>
              <w:tc>
                <w:tcPr>
                  <w:tcW w:w="1481"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1.能够应用公共卫生服务的伦理要求提供护理活动。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2.能够应用突发公共卫生事件应急处理的道德要求处置突发卫生公共事件。</w:t>
                  </w:r>
                </w:p>
                <w:p>
                  <w:pPr>
                    <w:snapToGrid w:val="0"/>
                    <w:spacing w:line="288" w:lineRule="auto"/>
                    <w:jc w:val="both"/>
                    <w:rPr>
                      <w:rFonts w:ascii="宋体" w:hAnsi="Times New Roman"/>
                      <w:b/>
                      <w:color w:val="000000"/>
                      <w:sz w:val="21"/>
                      <w:szCs w:val="21"/>
                    </w:rPr>
                  </w:pPr>
                </w:p>
              </w:tc>
              <w:tc>
                <w:tcPr>
                  <w:tcW w:w="1525"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1.通过公共卫生案例讨论，理论联系实际， 按照公共卫生保健的护理行为要求和道德要求开展护理活动。</w:t>
                  </w:r>
                </w:p>
                <w:p>
                  <w:pPr>
                    <w:snapToGrid w:val="0"/>
                    <w:spacing w:line="288" w:lineRule="auto"/>
                    <w:jc w:val="left"/>
                    <w:rPr>
                      <w:rFonts w:hint="eastAsia" w:ascii="宋体" w:hAnsi="宋体" w:eastAsia="宋体"/>
                      <w:color w:val="00000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教学，体验社区卫生保健及突发公共卫生事件的伦理情境，按照护理伦理要求及道德要求分析并解决护理伦理问题。</w:t>
                  </w:r>
                </w:p>
              </w:tc>
              <w:tc>
                <w:tcPr>
                  <w:tcW w:w="1670"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1.能结合公共卫生服务的伦理原则和道德要求处置突发公共卫生事件。</w:t>
                  </w:r>
                </w:p>
                <w:p>
                  <w:pPr>
                    <w:spacing w:line="276" w:lineRule="auto"/>
                    <w:jc w:val="both"/>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pPr>
                    <w:snapToGrid w:val="0"/>
                    <w:spacing w:line="288" w:lineRule="auto"/>
                    <w:jc w:val="both"/>
                    <w:rPr>
                      <w:rFonts w:hint="eastAsia" w:ascii="宋体" w:hAnsi="宋体" w:eastAsia="宋体"/>
                      <w:color w:val="000000"/>
                      <w:sz w:val="21"/>
                      <w:szCs w:val="21"/>
                      <w:lang w:val="en-US" w:eastAsia="zh-CN"/>
                    </w:rPr>
                  </w:pPr>
                  <w:r>
                    <w:rPr>
                      <w:rFonts w:hint="eastAsia"/>
                      <w:color w:val="000000"/>
                      <w:sz w:val="21"/>
                      <w:szCs w:val="21"/>
                      <w:lang w:val="en-US" w:eastAsia="zh-CN"/>
                    </w:rPr>
                    <w:t>9</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特殊医疗技术活动中的伦理道德</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1.知道器官移植的伦理原则。</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2.知道辅助生殖技术的伦理原则。</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3.知道性健康、性教育伦理原则。</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4.分析器官移植中的伦理责任与难题。</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5.分析器官移植供体与受体选择的伦理问题。</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6.分析辅助生殖技术的伦理价值、生育控制的伦理原则。</w:t>
                  </w:r>
                </w:p>
                <w:p>
                  <w:pPr>
                    <w:spacing w:line="276" w:lineRule="auto"/>
                    <w:jc w:val="both"/>
                    <w:rPr>
                      <w:rFonts w:hint="eastAsia"/>
                      <w:bCs/>
                      <w:sz w:val="21"/>
                      <w:szCs w:val="21"/>
                    </w:rPr>
                  </w:pPr>
                </w:p>
              </w:tc>
              <w:tc>
                <w:tcPr>
                  <w:tcW w:w="1481"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1.能够应用基本伦理准则分析器官移植护理实践中的具体问题。</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2.能够应用基本伦理准则分析辅助生殖技术实践中的具体问题。</w:t>
                  </w:r>
                </w:p>
                <w:p>
                  <w:pPr>
                    <w:snapToGrid w:val="0"/>
                    <w:spacing w:line="288" w:lineRule="auto"/>
                    <w:jc w:val="left"/>
                    <w:rPr>
                      <w:rFonts w:ascii="宋体" w:hAnsi="Times New Roman"/>
                      <w:b/>
                      <w:color w:val="000000"/>
                      <w:sz w:val="21"/>
                      <w:szCs w:val="21"/>
                    </w:rPr>
                  </w:pPr>
                  <w:r>
                    <w:rPr>
                      <w:rFonts w:hint="eastAsia" w:asciiTheme="minorEastAsia" w:hAnsiTheme="minorEastAsia" w:eastAsiaTheme="minorEastAsia" w:cstheme="minorEastAsia"/>
                      <w:b w:val="0"/>
                      <w:bCs/>
                      <w:snapToGrid/>
                      <w:color w:val="000000"/>
                      <w:kern w:val="0"/>
                      <w:sz w:val="21"/>
                      <w:szCs w:val="21"/>
                      <w:lang w:eastAsia="zh-CN"/>
                    </w:rPr>
                    <w:t>3.能够应用基本伦理准则分析教育实践中的具体问题。</w:t>
                  </w:r>
                </w:p>
              </w:tc>
              <w:tc>
                <w:tcPr>
                  <w:tcW w:w="1525"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1.通过特殊医疗技术案例讨论，理论联系实际，按照基本伦理准则开展护理活动。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教学，体验特殊医疗活动的伦理情境，按照护理伦理要求分析并解决护理伦理问题。</w:t>
                  </w:r>
                </w:p>
                <w:p>
                  <w:pPr>
                    <w:snapToGrid w:val="0"/>
                    <w:spacing w:line="288" w:lineRule="auto"/>
                    <w:jc w:val="both"/>
                    <w:rPr>
                      <w:rFonts w:hint="eastAsia"/>
                      <w:bCs/>
                      <w:sz w:val="21"/>
                      <w:szCs w:val="21"/>
                    </w:rPr>
                  </w:pPr>
                </w:p>
              </w:tc>
              <w:tc>
                <w:tcPr>
                  <w:tcW w:w="1670" w:type="dxa"/>
                </w:tcPr>
                <w:p>
                  <w:pPr>
                    <w:spacing w:line="276" w:lineRule="auto"/>
                    <w:jc w:val="both"/>
                    <w:rPr>
                      <w:rFonts w:hint="default" w:eastAsia="宋体"/>
                      <w:bCs/>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应用基本伦理准则分析护理实践中器官移植、辅助生殖技术、性教育涉及的伦理原则。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pPr>
                    <w:snapToGrid w:val="0"/>
                    <w:spacing w:line="288" w:lineRule="auto"/>
                    <w:jc w:val="both"/>
                    <w:rPr>
                      <w:rFonts w:hint="default" w:ascii="宋体" w:hAnsi="宋体" w:eastAsia="宋体"/>
                      <w:color w:val="000000"/>
                      <w:sz w:val="21"/>
                      <w:szCs w:val="21"/>
                      <w:lang w:val="en-US" w:eastAsia="zh-CN"/>
                    </w:rPr>
                  </w:pPr>
                  <w:r>
                    <w:rPr>
                      <w:rFonts w:hint="eastAsia"/>
                      <w:color w:val="000000"/>
                      <w:sz w:val="21"/>
                      <w:szCs w:val="21"/>
                      <w:lang w:val="en-US" w:eastAsia="zh-CN"/>
                    </w:rPr>
                    <w:t>10</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临终关怀与死亡的伦理道德</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1.理解临终关怀的概念及特点。</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2.理解安乐死的定义及分类。</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3.分析临终关怀的伦理意义。</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4.分析脑死亡标准的伦理意义。</w:t>
                  </w:r>
                </w:p>
                <w:p>
                  <w:pPr>
                    <w:snapToGrid w:val="0"/>
                    <w:spacing w:line="288" w:lineRule="auto"/>
                    <w:jc w:val="left"/>
                    <w:rPr>
                      <w:rFonts w:hint="eastAsia"/>
                      <w:bCs/>
                      <w:sz w:val="21"/>
                      <w:szCs w:val="21"/>
                    </w:rPr>
                  </w:pPr>
                  <w:r>
                    <w:rPr>
                      <w:rFonts w:hint="eastAsia" w:asciiTheme="minorEastAsia" w:hAnsiTheme="minorEastAsia" w:eastAsiaTheme="minorEastAsia" w:cstheme="minorEastAsia"/>
                      <w:b w:val="0"/>
                      <w:bCs/>
                      <w:snapToGrid/>
                      <w:color w:val="000000"/>
                      <w:kern w:val="0"/>
                      <w:sz w:val="21"/>
                      <w:szCs w:val="21"/>
                      <w:lang w:eastAsia="zh-CN"/>
                    </w:rPr>
                    <w:t>5.分析安乐死的伦理意义。</w:t>
                  </w:r>
                </w:p>
              </w:tc>
              <w:tc>
                <w:tcPr>
                  <w:tcW w:w="1481"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1.能够应用伦理道德要求拟定临终关怀计划。</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2.能够应用伦理道德要求执行尸体护理。</w:t>
                  </w:r>
                </w:p>
                <w:p>
                  <w:pPr>
                    <w:snapToGrid w:val="0"/>
                    <w:spacing w:line="288" w:lineRule="auto"/>
                    <w:jc w:val="both"/>
                    <w:rPr>
                      <w:rFonts w:ascii="宋体" w:hAnsi="Times New Roman"/>
                      <w:b/>
                      <w:color w:val="000000"/>
                      <w:sz w:val="21"/>
                      <w:szCs w:val="21"/>
                    </w:rPr>
                  </w:pPr>
                </w:p>
              </w:tc>
              <w:tc>
                <w:tcPr>
                  <w:tcW w:w="1525"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1.通过临终关怀及安乐死的案例讨论，理论联系实际，按照基本伦理要求开展护理活动。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教学，体验临终关怀、安乐死的伦理情境， 按照护理伦理要求分析并解决护理伦理问题。</w:t>
                  </w:r>
                </w:p>
                <w:p>
                  <w:pPr>
                    <w:snapToGrid w:val="0"/>
                    <w:spacing w:line="288" w:lineRule="auto"/>
                    <w:jc w:val="both"/>
                    <w:rPr>
                      <w:rFonts w:hint="eastAsia"/>
                      <w:bCs/>
                      <w:sz w:val="21"/>
                      <w:szCs w:val="21"/>
                    </w:rPr>
                  </w:pPr>
                </w:p>
              </w:tc>
              <w:tc>
                <w:tcPr>
                  <w:tcW w:w="1670"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临终关怀与尸体护理伦理道德在护理实践中的应用。</w:t>
                  </w:r>
                </w:p>
                <w:p>
                  <w:pPr>
                    <w:spacing w:line="276" w:lineRule="auto"/>
                    <w:jc w:val="both"/>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pPr>
                    <w:snapToGrid w:val="0"/>
                    <w:spacing w:line="288" w:lineRule="auto"/>
                    <w:jc w:val="both"/>
                    <w:rPr>
                      <w:rFonts w:hint="default" w:ascii="宋体" w:hAnsi="宋体" w:eastAsia="宋体"/>
                      <w:color w:val="000000"/>
                      <w:sz w:val="21"/>
                      <w:szCs w:val="21"/>
                      <w:lang w:val="en-US" w:eastAsia="zh-CN"/>
                    </w:rPr>
                  </w:pPr>
                  <w:r>
                    <w:rPr>
                      <w:rFonts w:hint="eastAsia"/>
                      <w:color w:val="000000"/>
                      <w:sz w:val="21"/>
                      <w:szCs w:val="21"/>
                      <w:lang w:val="en-US" w:eastAsia="zh-CN"/>
                    </w:rPr>
                    <w:t>11</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护理科研工作中的伦理道德</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1.理解科研行为不端的定义。</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2.知道人体试验的基本原则。</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3.知道护理科研原则。</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4.分析护理科研中应遵循的基本规范。</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5.分析人体试验中的伦理矛盾。</w:t>
                  </w:r>
                </w:p>
                <w:p>
                  <w:pPr>
                    <w:snapToGrid w:val="0"/>
                    <w:spacing w:line="288" w:lineRule="auto"/>
                    <w:jc w:val="left"/>
                    <w:rPr>
                      <w:rFonts w:hint="eastAsia"/>
                      <w:bCs/>
                      <w:sz w:val="21"/>
                      <w:szCs w:val="21"/>
                    </w:rPr>
                  </w:pPr>
                  <w:r>
                    <w:rPr>
                      <w:rFonts w:hint="eastAsia" w:asciiTheme="minorEastAsia" w:hAnsiTheme="minorEastAsia" w:eastAsiaTheme="minorEastAsia" w:cstheme="minorEastAsia"/>
                      <w:b w:val="0"/>
                      <w:bCs/>
                      <w:snapToGrid/>
                      <w:color w:val="000000"/>
                      <w:kern w:val="0"/>
                      <w:sz w:val="21"/>
                      <w:szCs w:val="21"/>
                      <w:lang w:eastAsia="zh-CN"/>
                    </w:rPr>
                    <w:t>6.评价科研中的不端行为。</w:t>
                  </w:r>
                </w:p>
              </w:tc>
              <w:tc>
                <w:tcPr>
                  <w:tcW w:w="1481" w:type="dxa"/>
                </w:tcPr>
                <w:p>
                  <w:pPr>
                    <w:kinsoku/>
                    <w:autoSpaceDE/>
                    <w:autoSpaceDN/>
                    <w:adjustRightInd/>
                    <w:snapToGrid w:val="0"/>
                    <w:spacing w:line="288" w:lineRule="auto"/>
                    <w:jc w:val="center"/>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1.能够应用科研的基本原则和规范开展护理科研活动。</w:t>
                  </w:r>
                </w:p>
                <w:p>
                  <w:pPr>
                    <w:snapToGrid w:val="0"/>
                    <w:spacing w:line="288" w:lineRule="auto"/>
                    <w:jc w:val="both"/>
                    <w:rPr>
                      <w:rFonts w:ascii="宋体" w:hAnsi="Times New Roman"/>
                      <w:b/>
                      <w:color w:val="000000"/>
                      <w:sz w:val="21"/>
                      <w:szCs w:val="21"/>
                    </w:rPr>
                  </w:pPr>
                </w:p>
              </w:tc>
              <w:tc>
                <w:tcPr>
                  <w:tcW w:w="1525" w:type="dxa"/>
                </w:tcPr>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1.遵守护理科研基本规范，形成良好的科研道德，进行护理科研活动。</w:t>
                  </w:r>
                </w:p>
                <w:p>
                  <w:pPr>
                    <w:snapToGrid w:val="0"/>
                    <w:spacing w:line="288" w:lineRule="auto"/>
                    <w:jc w:val="both"/>
                    <w:rPr>
                      <w:rFonts w:hint="eastAsia"/>
                      <w:bCs/>
                      <w:sz w:val="21"/>
                      <w:szCs w:val="21"/>
                    </w:rPr>
                  </w:pPr>
                </w:p>
              </w:tc>
              <w:tc>
                <w:tcPr>
                  <w:tcW w:w="1670" w:type="dxa"/>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正确辨别科研中的不端行为。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pPr>
                    <w:snapToGrid w:val="0"/>
                    <w:spacing w:line="288" w:lineRule="auto"/>
                    <w:jc w:val="both"/>
                    <w:rPr>
                      <w:rFonts w:hint="default"/>
                      <w:color w:val="000000"/>
                      <w:sz w:val="21"/>
                      <w:szCs w:val="21"/>
                      <w:lang w:val="en-US" w:eastAsia="zh-CN"/>
                    </w:rPr>
                  </w:pPr>
                  <w:r>
                    <w:rPr>
                      <w:rFonts w:hint="eastAsia"/>
                      <w:color w:val="000000"/>
                      <w:sz w:val="21"/>
                      <w:szCs w:val="21"/>
                      <w:lang w:val="en-US" w:eastAsia="zh-CN"/>
                    </w:rPr>
                    <w:t>12</w:t>
                  </w:r>
                </w:p>
              </w:tc>
              <w:tc>
                <w:tcPr>
                  <w:tcW w:w="863" w:type="dxa"/>
                  <w:vAlign w:val="center"/>
                </w:tcPr>
                <w:p>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护理管理中的伦理道德</w:t>
                  </w:r>
                </w:p>
              </w:tc>
              <w:tc>
                <w:tcPr>
                  <w:tcW w:w="2148"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1.分析护理管理的伦理要求。</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2.分析护理管理的伦理意义。</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3.分析护理管理者的伦理素质。</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4.知道护理决策的伦理意义及困境。</w:t>
                  </w:r>
                </w:p>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5.知道护理管理中的伦理与法律问题。</w:t>
                  </w:r>
                </w:p>
                <w:p>
                  <w:pPr>
                    <w:spacing w:line="276" w:lineRule="auto"/>
                    <w:jc w:val="both"/>
                    <w:rPr>
                      <w:rFonts w:hint="eastAsia"/>
                      <w:bCs/>
                      <w:sz w:val="21"/>
                      <w:szCs w:val="21"/>
                    </w:rPr>
                  </w:pPr>
                </w:p>
              </w:tc>
              <w:tc>
                <w:tcPr>
                  <w:tcW w:w="1481" w:type="dxa"/>
                </w:tcPr>
                <w:p>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1.能够应用护理管理的伦理要求开展护理管理活动。</w:t>
                  </w:r>
                </w:p>
                <w:p>
                  <w:pPr>
                    <w:snapToGrid w:val="0"/>
                    <w:spacing w:line="288" w:lineRule="auto"/>
                    <w:jc w:val="both"/>
                    <w:rPr>
                      <w:rFonts w:ascii="宋体" w:hAnsi="Times New Roman"/>
                      <w:b/>
                      <w:color w:val="000000"/>
                      <w:sz w:val="21"/>
                      <w:szCs w:val="21"/>
                    </w:rPr>
                  </w:pPr>
                </w:p>
              </w:tc>
              <w:tc>
                <w:tcPr>
                  <w:tcW w:w="1525" w:type="dxa"/>
                </w:tcPr>
                <w:p>
                  <w:pPr>
                    <w:snapToGrid w:val="0"/>
                    <w:spacing w:line="288" w:lineRule="auto"/>
                    <w:jc w:val="left"/>
                    <w:rPr>
                      <w:rFonts w:hint="eastAsia"/>
                      <w:bCs/>
                      <w:sz w:val="21"/>
                      <w:szCs w:val="21"/>
                    </w:rPr>
                  </w:pPr>
                  <w:r>
                    <w:rPr>
                      <w:rFonts w:hint="eastAsia" w:asciiTheme="minorEastAsia" w:hAnsiTheme="minorEastAsia" w:eastAsiaTheme="minorEastAsia" w:cstheme="minorEastAsia"/>
                      <w:b w:val="0"/>
                      <w:bCs/>
                      <w:snapToGrid/>
                      <w:color w:val="000000"/>
                      <w:kern w:val="0"/>
                      <w:sz w:val="21"/>
                      <w:szCs w:val="21"/>
                      <w:lang w:eastAsia="zh-CN"/>
                    </w:rPr>
                    <w:t>1.讨论护理管理中的伦理问题，并用护理管理伦理要求进行护理决策。</w:t>
                  </w:r>
                </w:p>
              </w:tc>
              <w:tc>
                <w:tcPr>
                  <w:tcW w:w="1670" w:type="dxa"/>
                </w:tcPr>
                <w:p>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护理管理中的伦理与法律问题，护理决策的伦理选择。</w:t>
                  </w:r>
                </w:p>
                <w:p>
                  <w:pPr>
                    <w:spacing w:line="276" w:lineRule="auto"/>
                    <w:jc w:val="both"/>
                    <w:rPr>
                      <w:bCs/>
                      <w:sz w:val="21"/>
                      <w:szCs w:val="21"/>
                    </w:rPr>
                  </w:pPr>
                </w:p>
              </w:tc>
            </w:tr>
          </w:tbl>
          <w:p>
            <w:pPr>
              <w:pStyle w:val="15"/>
              <w:widowControl w:val="0"/>
              <w:jc w:val="left"/>
              <w:rPr>
                <w:rFonts w:ascii="宋体" w:hAnsi="宋体"/>
                <w:bCs/>
              </w:rPr>
            </w:pPr>
          </w:p>
          <w:p>
            <w:pPr>
              <w:pStyle w:val="15"/>
              <w:widowControl w:val="0"/>
              <w:jc w:val="left"/>
              <w:rPr>
                <w:rFonts w:ascii="宋体" w:hAnsi="宋体"/>
                <w:bCs/>
              </w:rPr>
            </w:pPr>
          </w:p>
          <w:p>
            <w:pPr>
              <w:pStyle w:val="15"/>
              <w:widowControl w:val="0"/>
              <w:jc w:val="left"/>
              <w:rPr>
                <w:rFonts w:ascii="仿宋" w:hAnsi="仿宋" w:eastAsia="仿宋" w:cs="仿宋"/>
              </w:rPr>
            </w:pPr>
          </w:p>
        </w:tc>
      </w:tr>
      <w:bookmarkEnd w:id="0"/>
      <w:bookmarkEnd w:id="1"/>
    </w:tbl>
    <w:p>
      <w:pPr>
        <w:pStyle w:val="18"/>
        <w:spacing w:before="81" w:after="163"/>
      </w:pPr>
      <w:r>
        <w:rPr>
          <w:rFonts w:hint="eastAsia"/>
        </w:rPr>
        <w:t>（二）教学单元对课程目标的支撑关系</w:t>
      </w:r>
    </w:p>
    <w:tbl>
      <w:tblPr>
        <w:tblStyle w:val="8"/>
        <w:tblW w:w="52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009"/>
        <w:gridCol w:w="1009"/>
        <w:gridCol w:w="1009"/>
        <w:gridCol w:w="1009"/>
        <w:gridCol w:w="1009"/>
        <w:gridCol w:w="1009"/>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pPr>
              <w:pStyle w:val="14"/>
              <w:ind w:firstLine="489"/>
              <w:jc w:val="right"/>
              <w:rPr>
                <w:szCs w:val="16"/>
              </w:rPr>
            </w:pPr>
            <w:r>
              <w:rPr>
                <w:rFonts w:hint="eastAsia"/>
                <w:szCs w:val="16"/>
              </w:rPr>
              <w:t>课程目标</w:t>
            </w:r>
          </w:p>
          <w:p>
            <w:pPr>
              <w:pStyle w:val="14"/>
              <w:ind w:right="210"/>
              <w:jc w:val="left"/>
              <w:rPr>
                <w:rFonts w:hint="eastAsia"/>
                <w:szCs w:val="16"/>
              </w:rPr>
            </w:pPr>
          </w:p>
          <w:p>
            <w:pPr>
              <w:pStyle w:val="14"/>
              <w:ind w:right="210"/>
              <w:jc w:val="left"/>
              <w:rPr>
                <w:szCs w:val="16"/>
              </w:rPr>
            </w:pPr>
            <w:r>
              <w:rPr>
                <w:rFonts w:hint="eastAsia"/>
                <w:szCs w:val="16"/>
              </w:rPr>
              <w:t>教学单元</w:t>
            </w:r>
          </w:p>
        </w:tc>
        <w:tc>
          <w:tcPr>
            <w:tcW w:w="1009"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1</w:t>
            </w:r>
          </w:p>
        </w:tc>
        <w:tc>
          <w:tcPr>
            <w:tcW w:w="1009"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2</w:t>
            </w:r>
          </w:p>
        </w:tc>
        <w:tc>
          <w:tcPr>
            <w:tcW w:w="1009"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3</w:t>
            </w:r>
          </w:p>
        </w:tc>
        <w:tc>
          <w:tcPr>
            <w:tcW w:w="1009"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4</w:t>
            </w:r>
          </w:p>
        </w:tc>
        <w:tc>
          <w:tcPr>
            <w:tcW w:w="1009" w:type="dxa"/>
            <w:tcBorders>
              <w:top w:val="single" w:color="auto" w:sz="12" w:space="0"/>
            </w:tcBorders>
            <w:vAlign w:val="center"/>
          </w:tcPr>
          <w:p>
            <w:pPr>
              <w:pStyle w:val="14"/>
              <w:rPr>
                <w:rFonts w:hint="eastAsia" w:eastAsia="黑体"/>
                <w:szCs w:val="16"/>
                <w:lang w:val="en-US" w:eastAsia="zh-CN"/>
              </w:rPr>
            </w:pPr>
            <w:r>
              <w:rPr>
                <w:rFonts w:hint="eastAsia"/>
                <w:szCs w:val="16"/>
                <w:lang w:val="en-US" w:eastAsia="zh-CN"/>
              </w:rPr>
              <w:t>5</w:t>
            </w:r>
          </w:p>
        </w:tc>
        <w:tc>
          <w:tcPr>
            <w:tcW w:w="1009" w:type="dxa"/>
            <w:tcBorders>
              <w:top w:val="single" w:color="auto" w:sz="12" w:space="0"/>
              <w:right w:val="single" w:color="auto" w:sz="12" w:space="0"/>
            </w:tcBorders>
            <w:vAlign w:val="center"/>
          </w:tcPr>
          <w:p>
            <w:pPr>
              <w:pStyle w:val="14"/>
              <w:rPr>
                <w:rFonts w:hint="eastAsia" w:eastAsia="黑体"/>
                <w:szCs w:val="16"/>
                <w:lang w:val="en-US" w:eastAsia="zh-CN"/>
              </w:rPr>
            </w:pPr>
            <w:r>
              <w:rPr>
                <w:rFonts w:hint="eastAsia"/>
                <w:szCs w:val="16"/>
                <w:lang w:val="en-US" w:eastAsia="zh-CN"/>
              </w:rPr>
              <w:t>6</w:t>
            </w:r>
          </w:p>
        </w:tc>
        <w:tc>
          <w:tcPr>
            <w:tcW w:w="1010" w:type="dxa"/>
            <w:tcBorders>
              <w:top w:val="single" w:color="auto" w:sz="12" w:space="0"/>
              <w:right w:val="single" w:color="auto" w:sz="12" w:space="0"/>
            </w:tcBorders>
            <w:vAlign w:val="center"/>
          </w:tcPr>
          <w:p>
            <w:pPr>
              <w:pStyle w:val="14"/>
              <w:rPr>
                <w:rFonts w:hint="eastAsia" w:eastAsia="黑体"/>
                <w:szCs w:val="16"/>
                <w:lang w:val="en-US" w:eastAsia="zh-CN"/>
              </w:rPr>
            </w:pPr>
            <w:r>
              <w:rPr>
                <w:rFonts w:hint="eastAsia"/>
                <w:szCs w:val="16"/>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eastAsia="宋体"/>
                <w:lang w:val="en-US" w:eastAsia="zh-CN"/>
              </w:rPr>
            </w:pPr>
            <w:r>
              <w:rPr>
                <w:rFonts w:hint="eastAsia"/>
                <w:lang w:val="en-US" w:eastAsia="zh-CN"/>
              </w:rPr>
              <w:t>1</w:t>
            </w:r>
            <w:r>
              <w:rPr>
                <w:rFonts w:hint="eastAsia"/>
                <w:color w:val="000000"/>
                <w:sz w:val="21"/>
                <w:szCs w:val="21"/>
                <w:lang w:val="en-US" w:eastAsia="zh-CN"/>
              </w:rPr>
              <w:t>绪论</w:t>
            </w:r>
          </w:p>
        </w:tc>
        <w:tc>
          <w:tcPr>
            <w:tcW w:w="1009" w:type="dxa"/>
            <w:vAlign w:val="center"/>
          </w:tcPr>
          <w:p>
            <w:pPr>
              <w:pStyle w:val="15"/>
            </w:pPr>
            <w:r>
              <w:rPr>
                <w:rFonts w:hint="eastAsia"/>
                <w:lang w:val="en-US" w:eastAsia="zh-CN"/>
              </w:rPr>
              <w:t>√</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kinsoku/>
              <w:autoSpaceDE/>
              <w:autoSpaceDN/>
              <w:adjustRightInd/>
              <w:snapToGrid w:val="0"/>
              <w:spacing w:line="288" w:lineRule="auto"/>
              <w:jc w:val="center"/>
              <w:textAlignment w:val="auto"/>
              <w:rPr>
                <w:rFonts w:hint="eastAsia" w:eastAsia="宋体"/>
                <w:lang w:val="en-US" w:eastAsia="zh-CN"/>
              </w:rPr>
            </w:pPr>
            <w:r>
              <w:rPr>
                <w:rFonts w:hint="eastAsia"/>
                <w:lang w:val="en-US" w:eastAsia="zh-CN"/>
              </w:rPr>
              <w:t>2</w:t>
            </w:r>
            <w:r>
              <w:rPr>
                <w:rFonts w:hint="eastAsia" w:asciiTheme="minorEastAsia" w:hAnsiTheme="minorEastAsia" w:eastAsiaTheme="minorEastAsia" w:cstheme="minorEastAsia"/>
                <w:b w:val="0"/>
                <w:bCs/>
                <w:snapToGrid/>
                <w:color w:val="000000"/>
                <w:kern w:val="0"/>
                <w:sz w:val="21"/>
                <w:szCs w:val="21"/>
                <w:lang w:eastAsia="zh-CN"/>
              </w:rPr>
              <w:t>护理伦理学的基</w:t>
            </w:r>
            <w:r>
              <w:rPr>
                <w:rFonts w:hint="eastAsia" w:asciiTheme="minorEastAsia" w:hAnsiTheme="minorEastAsia" w:eastAsiaTheme="minorEastAsia" w:cstheme="minorEastAsia"/>
                <w:b w:val="0"/>
                <w:bCs/>
                <w:snapToGrid/>
                <w:color w:val="000000"/>
                <w:kern w:val="0"/>
                <w:sz w:val="21"/>
                <w:szCs w:val="21"/>
                <w:lang w:val="en-US" w:eastAsia="zh-CN"/>
              </w:rPr>
              <w:t>本</w:t>
            </w:r>
            <w:r>
              <w:rPr>
                <w:rFonts w:hint="eastAsia" w:asciiTheme="minorEastAsia" w:hAnsiTheme="minorEastAsia" w:eastAsiaTheme="minorEastAsia" w:cstheme="minorEastAsia"/>
                <w:b w:val="0"/>
                <w:bCs/>
                <w:snapToGrid/>
                <w:color w:val="000000"/>
                <w:kern w:val="0"/>
                <w:sz w:val="21"/>
                <w:szCs w:val="21"/>
                <w:lang w:eastAsia="zh-CN"/>
              </w:rPr>
              <w:t>理</w:t>
            </w:r>
            <w:r>
              <w:rPr>
                <w:rFonts w:hint="eastAsia" w:asciiTheme="minorEastAsia" w:hAnsiTheme="minorEastAsia" w:eastAsiaTheme="minorEastAsia" w:cstheme="minorEastAsia"/>
                <w:b w:val="0"/>
                <w:bCs/>
                <w:snapToGrid/>
                <w:color w:val="000000"/>
                <w:kern w:val="0"/>
                <w:sz w:val="21"/>
                <w:szCs w:val="21"/>
                <w:lang w:val="en-US" w:eastAsia="zh-CN"/>
              </w:rPr>
              <w:t>论与观点</w:t>
            </w:r>
          </w:p>
        </w:tc>
        <w:tc>
          <w:tcPr>
            <w:tcW w:w="1009" w:type="dxa"/>
            <w:vAlign w:val="center"/>
          </w:tcPr>
          <w:p>
            <w:pPr>
              <w:pStyle w:val="15"/>
              <w:rPr>
                <w:rFonts w:ascii="Times New Roman" w:hAnsi="Times New Roman" w:eastAsia="宋体" w:cs="宋体"/>
                <w:color w:val="000000"/>
                <w:sz w:val="21"/>
                <w:szCs w:val="21"/>
                <w:lang w:val="en-US" w:eastAsia="zh-CN" w:bidi="ar-SA"/>
              </w:rPr>
            </w:pPr>
            <w:r>
              <w:rPr>
                <w:rFonts w:hint="eastAsia"/>
                <w:lang w:val="en-US" w:eastAsia="zh-CN"/>
              </w:rPr>
              <w:t>√</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eastAsia="宋体"/>
                <w:lang w:val="en-US" w:eastAsia="zh-CN"/>
              </w:rPr>
            </w:pPr>
            <w:r>
              <w:rPr>
                <w:rFonts w:hint="eastAsia"/>
                <w:lang w:val="en-US" w:eastAsia="zh-CN"/>
              </w:rPr>
              <w:t>3</w:t>
            </w:r>
            <w:r>
              <w:rPr>
                <w:rFonts w:hint="eastAsia" w:asciiTheme="minorEastAsia" w:hAnsiTheme="minorEastAsia" w:eastAsiaTheme="minorEastAsia" w:cstheme="minorEastAsia"/>
                <w:b w:val="0"/>
                <w:bCs/>
                <w:snapToGrid/>
                <w:color w:val="000000"/>
                <w:kern w:val="0"/>
                <w:sz w:val="21"/>
                <w:szCs w:val="21"/>
                <w:lang w:eastAsia="zh-CN"/>
              </w:rPr>
              <w:t>护理伦理学的规范体系</w:t>
            </w:r>
          </w:p>
        </w:tc>
        <w:tc>
          <w:tcPr>
            <w:tcW w:w="1009" w:type="dxa"/>
            <w:vAlign w:val="center"/>
          </w:tcPr>
          <w:p>
            <w:pPr>
              <w:pStyle w:val="15"/>
              <w:rPr>
                <w:rFonts w:ascii="Times New Roman" w:hAnsi="Times New Roman" w:eastAsia="宋体" w:cs="宋体"/>
                <w:color w:val="000000"/>
                <w:sz w:val="21"/>
                <w:szCs w:val="21"/>
                <w:lang w:val="en-US" w:eastAsia="zh-CN" w:bidi="ar-SA"/>
              </w:rPr>
            </w:pPr>
            <w:r>
              <w:rPr>
                <w:rFonts w:hint="eastAsia"/>
                <w:lang w:val="en-US" w:eastAsia="zh-CN"/>
              </w:rPr>
              <w:t>√</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4</w:t>
            </w:r>
            <w:r>
              <w:rPr>
                <w:rFonts w:hint="eastAsia" w:asciiTheme="minorEastAsia" w:hAnsiTheme="minorEastAsia" w:eastAsiaTheme="minorEastAsia" w:cstheme="minorEastAsia"/>
                <w:b w:val="0"/>
                <w:bCs/>
                <w:snapToGrid/>
                <w:color w:val="000000"/>
                <w:kern w:val="0"/>
                <w:sz w:val="21"/>
                <w:szCs w:val="21"/>
                <w:lang w:eastAsia="zh-CN"/>
              </w:rPr>
              <w:t>护理人际关系的伦理</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r>
              <w:rPr>
                <w:rFonts w:hint="eastAsia"/>
                <w:lang w:val="en-US" w:eastAsia="zh-CN"/>
              </w:rPr>
              <w:t>√</w:t>
            </w: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default"/>
                <w:lang w:val="en-US" w:eastAsia="zh-CN"/>
              </w:rPr>
            </w:pPr>
            <w:r>
              <w:rPr>
                <w:rFonts w:hint="eastAsia"/>
                <w:lang w:val="en-US" w:eastAsia="zh-CN"/>
              </w:rPr>
              <w:t>5</w:t>
            </w:r>
            <w:r>
              <w:rPr>
                <w:rFonts w:hint="eastAsia" w:asciiTheme="minorEastAsia" w:hAnsiTheme="minorEastAsia" w:eastAsiaTheme="minorEastAsia" w:cstheme="minorEastAsia"/>
                <w:b w:val="0"/>
                <w:bCs/>
                <w:snapToGrid/>
                <w:color w:val="000000"/>
                <w:kern w:val="0"/>
                <w:sz w:val="21"/>
                <w:szCs w:val="21"/>
                <w:lang w:eastAsia="zh-CN"/>
              </w:rPr>
              <w:t>临床护理实践中的伦理道德（一）</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r>
              <w:rPr>
                <w:rFonts w:hint="eastAsia"/>
                <w:lang w:val="en-US" w:eastAsia="zh-CN"/>
              </w:rPr>
              <w:t>√</w:t>
            </w: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default"/>
                <w:lang w:val="en-US" w:eastAsia="zh-CN"/>
              </w:rPr>
            </w:pPr>
            <w:r>
              <w:rPr>
                <w:rFonts w:hint="eastAsia"/>
                <w:lang w:val="en-US" w:eastAsia="zh-CN"/>
              </w:rPr>
              <w:t>6</w:t>
            </w:r>
            <w:r>
              <w:rPr>
                <w:rFonts w:hint="eastAsia" w:asciiTheme="minorEastAsia" w:hAnsiTheme="minorEastAsia" w:eastAsiaTheme="minorEastAsia" w:cstheme="minorEastAsia"/>
                <w:b w:val="0"/>
                <w:bCs/>
                <w:snapToGrid/>
                <w:color w:val="000000"/>
                <w:kern w:val="0"/>
                <w:sz w:val="21"/>
                <w:szCs w:val="21"/>
                <w:lang w:eastAsia="zh-CN"/>
              </w:rPr>
              <w:t>临床护理实践中的伦理道德（</w:t>
            </w:r>
            <w:r>
              <w:rPr>
                <w:rFonts w:hint="eastAsia" w:asciiTheme="minorEastAsia" w:hAnsiTheme="minorEastAsia" w:eastAsiaTheme="minorEastAsia" w:cstheme="minorEastAsia"/>
                <w:b w:val="0"/>
                <w:bCs/>
                <w:snapToGrid/>
                <w:color w:val="000000"/>
                <w:kern w:val="0"/>
                <w:sz w:val="21"/>
                <w:szCs w:val="21"/>
                <w:lang w:val="en-US" w:eastAsia="zh-CN"/>
              </w:rPr>
              <w:t>二</w:t>
            </w:r>
            <w:r>
              <w:rPr>
                <w:rFonts w:hint="eastAsia" w:asciiTheme="minorEastAsia" w:hAnsiTheme="minorEastAsia" w:eastAsiaTheme="minorEastAsia" w:cstheme="minorEastAsia"/>
                <w:b w:val="0"/>
                <w:bCs/>
                <w:snapToGrid/>
                <w:color w:val="000000"/>
                <w:kern w:val="0"/>
                <w:sz w:val="21"/>
                <w:szCs w:val="21"/>
                <w:lang w:eastAsia="zh-CN"/>
              </w:rPr>
              <w:t>）</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r>
              <w:rPr>
                <w:rFonts w:hint="eastAsia"/>
                <w:lang w:val="en-US" w:eastAsia="zh-CN"/>
              </w:rPr>
              <w:t>√</w:t>
            </w: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lang w:val="en-US" w:eastAsia="zh-CN"/>
              </w:rPr>
            </w:pPr>
            <w:r>
              <w:rPr>
                <w:rFonts w:hint="eastAsia"/>
                <w:lang w:val="en-US" w:eastAsia="zh-CN"/>
              </w:rPr>
              <w:t>7</w:t>
            </w:r>
            <w:r>
              <w:rPr>
                <w:rFonts w:hint="eastAsia" w:asciiTheme="minorEastAsia" w:hAnsiTheme="minorEastAsia" w:eastAsiaTheme="minorEastAsia" w:cstheme="minorEastAsia"/>
                <w:b w:val="0"/>
                <w:bCs/>
                <w:snapToGrid/>
                <w:color w:val="000000"/>
                <w:kern w:val="0"/>
                <w:sz w:val="21"/>
                <w:szCs w:val="21"/>
                <w:lang w:eastAsia="zh-CN"/>
              </w:rPr>
              <w:t>临床护理实践中的伦理道德（</w:t>
            </w:r>
            <w:r>
              <w:rPr>
                <w:rFonts w:hint="eastAsia" w:asciiTheme="minorEastAsia" w:hAnsiTheme="minorEastAsia" w:eastAsiaTheme="minorEastAsia" w:cstheme="minorEastAsia"/>
                <w:b w:val="0"/>
                <w:bCs/>
                <w:snapToGrid/>
                <w:color w:val="000000"/>
                <w:kern w:val="0"/>
                <w:sz w:val="21"/>
                <w:szCs w:val="21"/>
                <w:lang w:val="en-US" w:eastAsia="zh-CN"/>
              </w:rPr>
              <w:t>三</w:t>
            </w:r>
            <w:r>
              <w:rPr>
                <w:rFonts w:hint="eastAsia" w:asciiTheme="minorEastAsia" w:hAnsiTheme="minorEastAsia" w:eastAsiaTheme="minorEastAsia" w:cstheme="minorEastAsia"/>
                <w:b w:val="0"/>
                <w:bCs/>
                <w:snapToGrid/>
                <w:color w:val="000000"/>
                <w:kern w:val="0"/>
                <w:sz w:val="21"/>
                <w:szCs w:val="21"/>
                <w:lang w:eastAsia="zh-CN"/>
              </w:rPr>
              <w:t>）</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r>
              <w:rPr>
                <w:rFonts w:hint="eastAsia"/>
                <w:lang w:val="en-US" w:eastAsia="zh-CN"/>
              </w:rPr>
              <w:t>√</w:t>
            </w: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8</w:t>
            </w:r>
            <w:r>
              <w:rPr>
                <w:rFonts w:hint="eastAsia" w:asciiTheme="minorEastAsia" w:hAnsiTheme="minorEastAsia" w:eastAsiaTheme="minorEastAsia" w:cstheme="minorEastAsia"/>
                <w:b w:val="0"/>
                <w:bCs/>
                <w:snapToGrid/>
                <w:color w:val="000000"/>
                <w:kern w:val="0"/>
                <w:sz w:val="21"/>
                <w:szCs w:val="21"/>
                <w:lang w:eastAsia="zh-CN"/>
              </w:rPr>
              <w:t>公共卫生服务的伦理道德</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r>
              <w:rPr>
                <w:rFonts w:hint="eastAsia"/>
                <w:lang w:val="en-US" w:eastAsia="zh-CN"/>
              </w:rPr>
              <w:t>√</w:t>
            </w:r>
          </w:p>
        </w:tc>
        <w:tc>
          <w:tcPr>
            <w:tcW w:w="1009" w:type="dxa"/>
            <w:vAlign w:val="center"/>
          </w:tcPr>
          <w:p>
            <w:pPr>
              <w:pStyle w:val="15"/>
            </w:pP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default"/>
                <w:lang w:val="en-US" w:eastAsia="zh-CN"/>
              </w:rPr>
            </w:pPr>
            <w:r>
              <w:rPr>
                <w:rFonts w:hint="eastAsia"/>
                <w:lang w:val="en-US" w:eastAsia="zh-CN"/>
              </w:rPr>
              <w:t>9</w:t>
            </w:r>
            <w:r>
              <w:rPr>
                <w:rFonts w:hint="eastAsia" w:asciiTheme="minorEastAsia" w:hAnsiTheme="minorEastAsia" w:eastAsiaTheme="minorEastAsia" w:cstheme="minorEastAsia"/>
                <w:b w:val="0"/>
                <w:bCs/>
                <w:snapToGrid/>
                <w:color w:val="000000"/>
                <w:kern w:val="0"/>
                <w:sz w:val="21"/>
                <w:szCs w:val="21"/>
                <w:lang w:eastAsia="zh-CN"/>
              </w:rPr>
              <w:t>特殊医疗技术活动中的伦理道德</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r>
              <w:rPr>
                <w:rFonts w:hint="eastAsia"/>
                <w:lang w:val="en-US" w:eastAsia="zh-CN"/>
              </w:rPr>
              <w:t>√</w:t>
            </w:r>
          </w:p>
        </w:tc>
        <w:tc>
          <w:tcPr>
            <w:tcW w:w="1009" w:type="dxa"/>
            <w:vAlign w:val="center"/>
          </w:tcPr>
          <w:p>
            <w:pPr>
              <w:pStyle w:val="15"/>
            </w:pP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default"/>
                <w:lang w:val="en-US" w:eastAsia="zh-CN"/>
              </w:rPr>
            </w:pPr>
            <w:r>
              <w:rPr>
                <w:rFonts w:hint="eastAsia"/>
                <w:lang w:val="en-US" w:eastAsia="zh-CN"/>
              </w:rPr>
              <w:t>10</w:t>
            </w:r>
            <w:r>
              <w:rPr>
                <w:rFonts w:hint="eastAsia" w:asciiTheme="minorEastAsia" w:hAnsiTheme="minorEastAsia" w:eastAsiaTheme="minorEastAsia" w:cstheme="minorEastAsia"/>
                <w:b w:val="0"/>
                <w:bCs/>
                <w:snapToGrid/>
                <w:color w:val="000000"/>
                <w:kern w:val="0"/>
                <w:sz w:val="21"/>
                <w:szCs w:val="21"/>
                <w:lang w:eastAsia="zh-CN"/>
              </w:rPr>
              <w:t>临终关怀与死亡的伦理道德</w:t>
            </w:r>
          </w:p>
        </w:tc>
        <w:tc>
          <w:tcPr>
            <w:tcW w:w="1009" w:type="dxa"/>
            <w:vAlign w:val="center"/>
          </w:tcPr>
          <w:p>
            <w:pPr>
              <w:pStyle w:val="15"/>
            </w:pPr>
          </w:p>
        </w:tc>
        <w:tc>
          <w:tcPr>
            <w:tcW w:w="1009" w:type="dxa"/>
            <w:vAlign w:val="center"/>
          </w:tcPr>
          <w:p>
            <w:pPr>
              <w:pStyle w:val="15"/>
            </w:pPr>
            <w:r>
              <w:rPr>
                <w:rFonts w:hint="eastAsia"/>
                <w:lang w:val="en-US" w:eastAsia="zh-CN"/>
              </w:rPr>
              <w:t>√</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pPr>
              <w:pStyle w:val="15"/>
              <w:rPr>
                <w:rFonts w:hint="eastAsia"/>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11</w:t>
            </w:r>
            <w:r>
              <w:rPr>
                <w:rFonts w:hint="eastAsia" w:asciiTheme="minorEastAsia" w:hAnsiTheme="minorEastAsia" w:eastAsiaTheme="minorEastAsia" w:cstheme="minorEastAsia"/>
                <w:b w:val="0"/>
                <w:bCs/>
                <w:snapToGrid/>
                <w:color w:val="000000"/>
                <w:kern w:val="0"/>
                <w:sz w:val="21"/>
                <w:szCs w:val="21"/>
                <w:lang w:eastAsia="zh-CN"/>
              </w:rPr>
              <w:t>护理科研工作中的伦理道德</w:t>
            </w: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p>
        </w:tc>
        <w:tc>
          <w:tcPr>
            <w:tcW w:w="1009" w:type="dxa"/>
            <w:vAlign w:val="center"/>
          </w:tcPr>
          <w:p>
            <w:pPr>
              <w:pStyle w:val="15"/>
            </w:pPr>
            <w:r>
              <w:rPr>
                <w:rFonts w:hint="eastAsia"/>
                <w:lang w:val="en-US" w:eastAsia="zh-CN"/>
              </w:rPr>
              <w:t>√</w:t>
            </w:r>
          </w:p>
        </w:tc>
        <w:tc>
          <w:tcPr>
            <w:tcW w:w="1009" w:type="dxa"/>
            <w:tcBorders>
              <w:right w:val="single" w:color="auto" w:sz="12" w:space="0"/>
            </w:tcBorders>
            <w:vAlign w:val="center"/>
          </w:tcPr>
          <w:p>
            <w:pPr>
              <w:pStyle w:val="15"/>
            </w:pPr>
            <w:r>
              <w:rPr>
                <w:rFonts w:hint="eastAsia"/>
                <w:lang w:val="en-US" w:eastAsia="zh-CN"/>
              </w:rPr>
              <w:t>√</w:t>
            </w:r>
          </w:p>
        </w:tc>
        <w:tc>
          <w:tcPr>
            <w:tcW w:w="1010" w:type="dxa"/>
            <w:tcBorders>
              <w:right w:val="single" w:color="auto" w:sz="12" w:space="0"/>
            </w:tcBorders>
            <w:vAlign w:val="center"/>
          </w:tcPr>
          <w:p>
            <w:pPr>
              <w:pStyle w:val="15"/>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pPr>
              <w:pStyle w:val="15"/>
              <w:rPr>
                <w:rFonts w:hint="default"/>
                <w:lang w:val="en-US" w:eastAsia="zh-CN"/>
              </w:rPr>
            </w:pPr>
            <w:r>
              <w:rPr>
                <w:rFonts w:hint="eastAsia"/>
                <w:lang w:val="en-US" w:eastAsia="zh-CN"/>
              </w:rPr>
              <w:t>12</w:t>
            </w:r>
            <w:r>
              <w:rPr>
                <w:rFonts w:hint="eastAsia" w:asciiTheme="minorEastAsia" w:hAnsiTheme="minorEastAsia" w:eastAsiaTheme="minorEastAsia" w:cstheme="minorEastAsia"/>
                <w:b w:val="0"/>
                <w:bCs/>
                <w:snapToGrid/>
                <w:color w:val="000000"/>
                <w:kern w:val="0"/>
                <w:sz w:val="21"/>
                <w:szCs w:val="21"/>
                <w:lang w:eastAsia="zh-CN"/>
              </w:rPr>
              <w:t>护理管理中的伦理道德</w:t>
            </w:r>
          </w:p>
        </w:tc>
        <w:tc>
          <w:tcPr>
            <w:tcW w:w="1009" w:type="dxa"/>
            <w:tcBorders>
              <w:bottom w:val="single" w:color="auto" w:sz="12" w:space="0"/>
            </w:tcBorders>
            <w:vAlign w:val="center"/>
          </w:tcPr>
          <w:p>
            <w:pPr>
              <w:pStyle w:val="15"/>
            </w:pPr>
          </w:p>
        </w:tc>
        <w:tc>
          <w:tcPr>
            <w:tcW w:w="1009" w:type="dxa"/>
            <w:tcBorders>
              <w:bottom w:val="single" w:color="auto" w:sz="12" w:space="0"/>
            </w:tcBorders>
            <w:vAlign w:val="center"/>
          </w:tcPr>
          <w:p>
            <w:pPr>
              <w:pStyle w:val="15"/>
            </w:pPr>
          </w:p>
        </w:tc>
        <w:tc>
          <w:tcPr>
            <w:tcW w:w="1009" w:type="dxa"/>
            <w:tcBorders>
              <w:bottom w:val="single" w:color="auto" w:sz="12" w:space="0"/>
            </w:tcBorders>
            <w:vAlign w:val="center"/>
          </w:tcPr>
          <w:p>
            <w:pPr>
              <w:pStyle w:val="15"/>
            </w:pPr>
          </w:p>
        </w:tc>
        <w:tc>
          <w:tcPr>
            <w:tcW w:w="1009" w:type="dxa"/>
            <w:tcBorders>
              <w:bottom w:val="single" w:color="auto" w:sz="12" w:space="0"/>
            </w:tcBorders>
            <w:vAlign w:val="center"/>
          </w:tcPr>
          <w:p>
            <w:pPr>
              <w:pStyle w:val="15"/>
            </w:pPr>
          </w:p>
        </w:tc>
        <w:tc>
          <w:tcPr>
            <w:tcW w:w="1009" w:type="dxa"/>
            <w:tcBorders>
              <w:bottom w:val="single" w:color="auto" w:sz="12" w:space="0"/>
            </w:tcBorders>
            <w:vAlign w:val="center"/>
          </w:tcPr>
          <w:p>
            <w:pPr>
              <w:pStyle w:val="15"/>
            </w:pPr>
            <w:r>
              <w:rPr>
                <w:rFonts w:hint="eastAsia"/>
                <w:lang w:val="en-US" w:eastAsia="zh-CN"/>
              </w:rPr>
              <w:t>√</w:t>
            </w:r>
          </w:p>
        </w:tc>
        <w:tc>
          <w:tcPr>
            <w:tcW w:w="1009" w:type="dxa"/>
            <w:tcBorders>
              <w:bottom w:val="single" w:color="auto" w:sz="12" w:space="0"/>
              <w:right w:val="single" w:color="auto" w:sz="12" w:space="0"/>
            </w:tcBorders>
            <w:vAlign w:val="center"/>
          </w:tcPr>
          <w:p>
            <w:pPr>
              <w:pStyle w:val="15"/>
            </w:pPr>
            <w:r>
              <w:rPr>
                <w:rFonts w:hint="eastAsia"/>
                <w:lang w:val="en-US" w:eastAsia="zh-CN"/>
              </w:rPr>
              <w:t>√</w:t>
            </w:r>
          </w:p>
        </w:tc>
        <w:tc>
          <w:tcPr>
            <w:tcW w:w="1010" w:type="dxa"/>
            <w:tcBorders>
              <w:bottom w:val="single" w:color="auto" w:sz="12" w:space="0"/>
              <w:right w:val="single" w:color="auto" w:sz="12" w:space="0"/>
            </w:tcBorders>
            <w:vAlign w:val="center"/>
          </w:tcPr>
          <w:p>
            <w:pPr>
              <w:pStyle w:val="15"/>
            </w:pPr>
            <w:r>
              <w:rPr>
                <w:rFonts w:hint="eastAsia"/>
                <w:lang w:val="en-US" w:eastAsia="zh-CN"/>
              </w:rPr>
              <w:t>√</w:t>
            </w:r>
          </w:p>
        </w:tc>
      </w:tr>
    </w:tbl>
    <w:p>
      <w:pPr>
        <w:pStyle w:val="18"/>
        <w:spacing w:before="326" w:beforeLines="100" w:after="163"/>
        <w:rPr>
          <w:rFonts w:hint="eastAsia"/>
        </w:rPr>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755" w:type="dxa"/>
            <w:vMerge w:val="continue"/>
          </w:tcPr>
          <w:p>
            <w:pPr>
              <w:widowControl w:val="0"/>
              <w:snapToGrid w:val="0"/>
              <w:jc w:val="center"/>
              <w:rPr>
                <w:rFonts w:ascii="黑体" w:hAnsi="黑体" w:eastAsia="黑体"/>
                <w:bCs/>
                <w:sz w:val="21"/>
                <w:szCs w:val="21"/>
              </w:rPr>
            </w:pPr>
          </w:p>
        </w:tc>
        <w:tc>
          <w:tcPr>
            <w:tcW w:w="1738" w:type="dxa"/>
            <w:vMerge w:val="continue"/>
          </w:tcPr>
          <w:p>
            <w:pPr>
              <w:widowControl w:val="0"/>
              <w:snapToGrid w:val="0"/>
              <w:jc w:val="center"/>
              <w:rPr>
                <w:rFonts w:ascii="黑体" w:hAnsi="黑体" w:eastAsia="黑体"/>
                <w:bCs/>
                <w:sz w:val="21"/>
                <w:szCs w:val="21"/>
              </w:rPr>
            </w:pPr>
          </w:p>
        </w:tc>
        <w:tc>
          <w:tcPr>
            <w:tcW w:w="725"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lang w:val="en-US" w:eastAsia="zh-CN"/>
              </w:rPr>
              <w:t>1</w:t>
            </w:r>
            <w:r>
              <w:rPr>
                <w:rFonts w:hint="eastAsia"/>
                <w:color w:val="000000"/>
                <w:sz w:val="21"/>
                <w:szCs w:val="21"/>
                <w:lang w:val="en-US" w:eastAsia="zh-CN"/>
              </w:rPr>
              <w:t>绪论</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lang w:val="en-US" w:eastAsia="zh-CN"/>
              </w:rPr>
              <w:t>2</w:t>
            </w:r>
            <w:r>
              <w:rPr>
                <w:rFonts w:hint="eastAsia" w:asciiTheme="minorEastAsia" w:hAnsiTheme="minorEastAsia" w:eastAsiaTheme="minorEastAsia" w:cstheme="minorEastAsia"/>
                <w:b w:val="0"/>
                <w:bCs/>
                <w:snapToGrid/>
                <w:color w:val="000000"/>
                <w:kern w:val="0"/>
                <w:sz w:val="21"/>
                <w:szCs w:val="21"/>
                <w:lang w:eastAsia="zh-CN"/>
              </w:rPr>
              <w:t>护理伦理学的基</w:t>
            </w:r>
            <w:r>
              <w:rPr>
                <w:rFonts w:hint="eastAsia" w:asciiTheme="minorEastAsia" w:hAnsiTheme="minorEastAsia" w:eastAsiaTheme="minorEastAsia" w:cstheme="minorEastAsia"/>
                <w:b w:val="0"/>
                <w:bCs/>
                <w:snapToGrid/>
                <w:color w:val="000000"/>
                <w:kern w:val="0"/>
                <w:sz w:val="21"/>
                <w:szCs w:val="21"/>
                <w:lang w:val="en-US" w:eastAsia="zh-CN"/>
              </w:rPr>
              <w:t>本</w:t>
            </w:r>
            <w:r>
              <w:rPr>
                <w:rFonts w:hint="eastAsia" w:asciiTheme="minorEastAsia" w:hAnsiTheme="minorEastAsia" w:eastAsiaTheme="minorEastAsia" w:cstheme="minorEastAsia"/>
                <w:b w:val="0"/>
                <w:bCs/>
                <w:snapToGrid/>
                <w:color w:val="000000"/>
                <w:kern w:val="0"/>
                <w:sz w:val="21"/>
                <w:szCs w:val="21"/>
                <w:lang w:eastAsia="zh-CN"/>
              </w:rPr>
              <w:t>理</w:t>
            </w:r>
            <w:r>
              <w:rPr>
                <w:rFonts w:hint="eastAsia" w:asciiTheme="minorEastAsia" w:hAnsiTheme="minorEastAsia" w:eastAsiaTheme="minorEastAsia" w:cstheme="minorEastAsia"/>
                <w:b w:val="0"/>
                <w:bCs/>
                <w:snapToGrid/>
                <w:color w:val="000000"/>
                <w:kern w:val="0"/>
                <w:sz w:val="21"/>
                <w:szCs w:val="21"/>
                <w:lang w:val="en-US" w:eastAsia="zh-CN"/>
              </w:rPr>
              <w:t>论与观点</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lang w:val="en-US" w:eastAsia="zh-CN"/>
              </w:rPr>
              <w:t>3</w:t>
            </w:r>
            <w:r>
              <w:rPr>
                <w:rFonts w:hint="eastAsia" w:asciiTheme="minorEastAsia" w:hAnsiTheme="minorEastAsia" w:eastAsiaTheme="minorEastAsia" w:cstheme="minorEastAsia"/>
                <w:b w:val="0"/>
                <w:bCs/>
                <w:snapToGrid/>
                <w:color w:val="000000"/>
                <w:kern w:val="0"/>
                <w:sz w:val="21"/>
                <w:szCs w:val="21"/>
                <w:lang w:eastAsia="zh-CN"/>
              </w:rPr>
              <w:t>护理伦理学的规范体系</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4</w:t>
            </w:r>
            <w:r>
              <w:rPr>
                <w:rFonts w:hint="eastAsia" w:asciiTheme="minorEastAsia" w:hAnsiTheme="minorEastAsia" w:eastAsiaTheme="minorEastAsia" w:cstheme="minorEastAsia"/>
                <w:b w:val="0"/>
                <w:bCs/>
                <w:snapToGrid/>
                <w:color w:val="000000"/>
                <w:kern w:val="0"/>
                <w:sz w:val="21"/>
                <w:szCs w:val="21"/>
                <w:lang w:eastAsia="zh-CN"/>
              </w:rPr>
              <w:t>护理人际关系的伦理</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96" w:hRule="atLeast"/>
          <w:jc w:val="center"/>
        </w:trPr>
        <w:tc>
          <w:tcPr>
            <w:tcW w:w="1872" w:type="dxa"/>
            <w:tcBorders>
              <w:left w:val="single" w:color="auto" w:sz="12" w:space="0"/>
            </w:tcBorders>
            <w:vAlign w:val="top"/>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5</w:t>
            </w:r>
            <w:r>
              <w:rPr>
                <w:rFonts w:hint="eastAsia" w:asciiTheme="minorEastAsia" w:hAnsiTheme="minorEastAsia" w:eastAsiaTheme="minorEastAsia" w:cstheme="minorEastAsia"/>
                <w:b w:val="0"/>
                <w:bCs/>
                <w:snapToGrid/>
                <w:color w:val="000000"/>
                <w:kern w:val="0"/>
                <w:sz w:val="21"/>
                <w:szCs w:val="21"/>
                <w:lang w:eastAsia="zh-CN"/>
              </w:rPr>
              <w:t>临床护理实践中的伦理道德（一）</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bCs/>
                <w:sz w:val="21"/>
                <w:szCs w:val="21"/>
                <w:lang w:val="en-US" w:eastAsia="zh-CN"/>
              </w:rPr>
            </w:pPr>
          </w:p>
          <w:p>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6</w:t>
            </w:r>
            <w:r>
              <w:rPr>
                <w:rFonts w:hint="eastAsia" w:asciiTheme="minorEastAsia" w:hAnsiTheme="minorEastAsia" w:eastAsiaTheme="minorEastAsia" w:cstheme="minorEastAsia"/>
                <w:b w:val="0"/>
                <w:bCs/>
                <w:snapToGrid/>
                <w:color w:val="000000"/>
                <w:kern w:val="0"/>
                <w:sz w:val="21"/>
                <w:szCs w:val="21"/>
                <w:lang w:eastAsia="zh-CN"/>
              </w:rPr>
              <w:t>临床护理实践中的伦理道德（</w:t>
            </w:r>
            <w:r>
              <w:rPr>
                <w:rFonts w:hint="eastAsia" w:asciiTheme="minorEastAsia" w:hAnsiTheme="minorEastAsia" w:eastAsiaTheme="minorEastAsia" w:cstheme="minorEastAsia"/>
                <w:b w:val="0"/>
                <w:bCs/>
                <w:snapToGrid/>
                <w:color w:val="000000"/>
                <w:kern w:val="0"/>
                <w:sz w:val="21"/>
                <w:szCs w:val="21"/>
                <w:lang w:val="en-US" w:eastAsia="zh-CN"/>
              </w:rPr>
              <w:t>二</w:t>
            </w:r>
            <w:r>
              <w:rPr>
                <w:rFonts w:hint="eastAsia" w:asciiTheme="minorEastAsia" w:hAnsiTheme="minorEastAsia" w:eastAsiaTheme="minorEastAsia" w:cstheme="minorEastAsia"/>
                <w:b w:val="0"/>
                <w:bCs/>
                <w:snapToGrid/>
                <w:color w:val="000000"/>
                <w:kern w:val="0"/>
                <w:sz w:val="21"/>
                <w:szCs w:val="21"/>
                <w:lang w:eastAsia="zh-CN"/>
              </w:rPr>
              <w:t>）</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bCs/>
                <w:sz w:val="21"/>
                <w:szCs w:val="21"/>
                <w:lang w:val="en-US" w:eastAsia="zh-CN"/>
              </w:rPr>
            </w:pPr>
          </w:p>
          <w:p>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eastAsia" w:ascii="Times New Roman" w:hAnsi="Times New Roman" w:eastAsia="宋体" w:cs="宋体"/>
                <w:color w:val="000000"/>
                <w:sz w:val="21"/>
                <w:szCs w:val="21"/>
                <w:lang w:val="en-US" w:eastAsia="zh-CN" w:bidi="ar-SA"/>
              </w:rPr>
            </w:pPr>
            <w:r>
              <w:rPr>
                <w:rFonts w:hint="eastAsia"/>
                <w:lang w:val="en-US" w:eastAsia="zh-CN"/>
              </w:rPr>
              <w:t>7</w:t>
            </w:r>
            <w:r>
              <w:rPr>
                <w:rFonts w:hint="eastAsia" w:asciiTheme="minorEastAsia" w:hAnsiTheme="minorEastAsia" w:eastAsiaTheme="minorEastAsia" w:cstheme="minorEastAsia"/>
                <w:b w:val="0"/>
                <w:bCs/>
                <w:snapToGrid/>
                <w:color w:val="000000"/>
                <w:kern w:val="0"/>
                <w:sz w:val="21"/>
                <w:szCs w:val="21"/>
                <w:lang w:eastAsia="zh-CN"/>
              </w:rPr>
              <w:t>临床护理实践中的伦理道德（</w:t>
            </w:r>
            <w:r>
              <w:rPr>
                <w:rFonts w:hint="eastAsia" w:asciiTheme="minorEastAsia" w:hAnsiTheme="minorEastAsia" w:eastAsiaTheme="minorEastAsia" w:cstheme="minorEastAsia"/>
                <w:b w:val="0"/>
                <w:bCs/>
                <w:snapToGrid/>
                <w:color w:val="000000"/>
                <w:kern w:val="0"/>
                <w:sz w:val="21"/>
                <w:szCs w:val="21"/>
                <w:lang w:val="en-US" w:eastAsia="zh-CN"/>
              </w:rPr>
              <w:t>三</w:t>
            </w:r>
            <w:r>
              <w:rPr>
                <w:rFonts w:hint="eastAsia" w:asciiTheme="minorEastAsia" w:hAnsiTheme="minorEastAsia" w:eastAsiaTheme="minorEastAsia" w:cstheme="minorEastAsia"/>
                <w:b w:val="0"/>
                <w:bCs/>
                <w:snapToGrid/>
                <w:color w:val="000000"/>
                <w:kern w:val="0"/>
                <w:sz w:val="21"/>
                <w:szCs w:val="21"/>
                <w:lang w:eastAsia="zh-CN"/>
              </w:rPr>
              <w:t>）</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bCs/>
                <w:sz w:val="21"/>
                <w:szCs w:val="21"/>
                <w:lang w:val="en-US" w:eastAsia="zh-CN"/>
              </w:rPr>
            </w:pPr>
          </w:p>
          <w:p>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eastAsia" w:ascii="Times New Roman" w:hAnsi="Times New Roman" w:eastAsia="宋体" w:cs="宋体"/>
                <w:color w:val="000000"/>
                <w:sz w:val="21"/>
                <w:szCs w:val="21"/>
                <w:lang w:val="en-US" w:eastAsia="zh-CN" w:bidi="ar-SA"/>
              </w:rPr>
            </w:pPr>
            <w:r>
              <w:rPr>
                <w:rFonts w:hint="eastAsia" w:asciiTheme="minorEastAsia" w:hAnsiTheme="minorEastAsia" w:eastAsiaTheme="minorEastAsia" w:cstheme="minorEastAsia"/>
                <w:b w:val="0"/>
                <w:bCs/>
                <w:snapToGrid/>
                <w:color w:val="000000"/>
                <w:kern w:val="0"/>
                <w:sz w:val="21"/>
                <w:szCs w:val="21"/>
                <w:lang w:val="en-US" w:eastAsia="zh-CN"/>
              </w:rPr>
              <w:t>8</w:t>
            </w:r>
            <w:r>
              <w:rPr>
                <w:rFonts w:hint="eastAsia" w:asciiTheme="minorEastAsia" w:hAnsiTheme="minorEastAsia" w:eastAsiaTheme="minorEastAsia" w:cstheme="minorEastAsia"/>
                <w:b w:val="0"/>
                <w:bCs/>
                <w:snapToGrid/>
                <w:color w:val="000000"/>
                <w:kern w:val="0"/>
                <w:sz w:val="21"/>
                <w:szCs w:val="21"/>
                <w:lang w:eastAsia="zh-CN"/>
              </w:rPr>
              <w:t>公共卫生服务的伦理道德</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bCs/>
                <w:sz w:val="21"/>
                <w:szCs w:val="21"/>
                <w:lang w:val="en-US" w:eastAsia="zh-CN"/>
              </w:rPr>
            </w:pPr>
          </w:p>
          <w:p>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9</w:t>
            </w:r>
            <w:r>
              <w:rPr>
                <w:rFonts w:hint="eastAsia" w:asciiTheme="minorEastAsia" w:hAnsiTheme="minorEastAsia" w:eastAsiaTheme="minorEastAsia" w:cstheme="minorEastAsia"/>
                <w:b w:val="0"/>
                <w:bCs/>
                <w:snapToGrid/>
                <w:color w:val="000000"/>
                <w:kern w:val="0"/>
                <w:sz w:val="21"/>
                <w:szCs w:val="21"/>
                <w:lang w:eastAsia="zh-CN"/>
              </w:rPr>
              <w:t>特殊医疗技术活动中的伦理道德</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bCs/>
                <w:sz w:val="21"/>
                <w:szCs w:val="21"/>
                <w:lang w:val="en-US" w:eastAsia="zh-CN"/>
              </w:rPr>
            </w:pPr>
          </w:p>
          <w:p>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10</w:t>
            </w:r>
            <w:r>
              <w:rPr>
                <w:rFonts w:hint="eastAsia" w:asciiTheme="minorEastAsia" w:hAnsiTheme="minorEastAsia" w:eastAsiaTheme="minorEastAsia" w:cstheme="minorEastAsia"/>
                <w:b w:val="0"/>
                <w:bCs/>
                <w:snapToGrid/>
                <w:color w:val="000000"/>
                <w:kern w:val="0"/>
                <w:sz w:val="21"/>
                <w:szCs w:val="21"/>
                <w:lang w:eastAsia="zh-CN"/>
              </w:rPr>
              <w:t>临终关怀与死亡的伦理道德</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bCs/>
                <w:sz w:val="21"/>
                <w:szCs w:val="21"/>
                <w:lang w:val="en-US" w:eastAsia="zh-CN"/>
              </w:rPr>
            </w:pPr>
          </w:p>
          <w:p>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eastAsia" w:ascii="Times New Roman" w:hAnsi="Times New Roman" w:eastAsia="宋体" w:cs="宋体"/>
                <w:color w:val="000000"/>
                <w:sz w:val="21"/>
                <w:szCs w:val="21"/>
                <w:lang w:val="en-US" w:eastAsia="zh-CN" w:bidi="ar-SA"/>
              </w:rPr>
            </w:pPr>
            <w:r>
              <w:rPr>
                <w:rFonts w:hint="eastAsia" w:asciiTheme="minorEastAsia" w:hAnsiTheme="minorEastAsia" w:eastAsiaTheme="minorEastAsia" w:cstheme="minorEastAsia"/>
                <w:b w:val="0"/>
                <w:bCs/>
                <w:snapToGrid/>
                <w:color w:val="000000"/>
                <w:kern w:val="0"/>
                <w:sz w:val="21"/>
                <w:szCs w:val="21"/>
                <w:lang w:val="en-US" w:eastAsia="zh-CN"/>
              </w:rPr>
              <w:t>11</w:t>
            </w:r>
            <w:r>
              <w:rPr>
                <w:rFonts w:hint="eastAsia" w:asciiTheme="minorEastAsia" w:hAnsiTheme="minorEastAsia" w:eastAsiaTheme="minorEastAsia" w:cstheme="minorEastAsia"/>
                <w:b w:val="0"/>
                <w:bCs/>
                <w:snapToGrid/>
                <w:color w:val="000000"/>
                <w:kern w:val="0"/>
                <w:sz w:val="21"/>
                <w:szCs w:val="21"/>
                <w:lang w:eastAsia="zh-CN"/>
              </w:rPr>
              <w:t>护理科研工作中的伦理道德</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bCs/>
                <w:sz w:val="21"/>
                <w:szCs w:val="21"/>
                <w:lang w:val="en-US" w:eastAsia="zh-CN"/>
              </w:rPr>
            </w:pPr>
          </w:p>
          <w:p>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3</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12</w:t>
            </w:r>
            <w:r>
              <w:rPr>
                <w:rFonts w:hint="eastAsia" w:asciiTheme="minorEastAsia" w:hAnsiTheme="minorEastAsia" w:eastAsiaTheme="minorEastAsia" w:cstheme="minorEastAsia"/>
                <w:b w:val="0"/>
                <w:bCs/>
                <w:snapToGrid/>
                <w:color w:val="000000"/>
                <w:kern w:val="0"/>
                <w:sz w:val="21"/>
                <w:szCs w:val="21"/>
                <w:lang w:eastAsia="zh-CN"/>
              </w:rPr>
              <w:t>护理管理中的伦理道德</w:t>
            </w:r>
          </w:p>
        </w:tc>
        <w:tc>
          <w:tcPr>
            <w:tcW w:w="2755" w:type="dxa"/>
            <w:vAlign w:val="center"/>
          </w:tcPr>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rPr>
              <w:t>1.</w:t>
            </w:r>
            <w:r>
              <w:rPr>
                <w:rFonts w:hint="eastAsia" w:ascii="Times New Roman" w:hAnsi="Times New Roman"/>
                <w:bCs/>
                <w:sz w:val="21"/>
                <w:szCs w:val="21"/>
                <w:lang w:val="en-US" w:eastAsia="zh-CN"/>
              </w:rPr>
              <w:t>小组讨论</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rPr>
              <w:t>2.随堂测验</w:t>
            </w:r>
          </w:p>
          <w:p>
            <w:pPr>
              <w:widowControl w:val="0"/>
              <w:snapToGrid w:val="0"/>
              <w:jc w:val="center"/>
              <w:rPr>
                <w:rFonts w:hint="eastAsia"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.课堂表现</w:t>
            </w:r>
          </w:p>
          <w:p>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4.</w:t>
            </w:r>
            <w:r>
              <w:rPr>
                <w:rFonts w:hint="eastAsia" w:ascii="Times New Roman" w:hAnsi="Times New Roman"/>
                <w:bCs/>
                <w:sz w:val="21"/>
                <w:szCs w:val="21"/>
              </w:rPr>
              <w:t>期末考试</w:t>
            </w:r>
          </w:p>
        </w:tc>
        <w:tc>
          <w:tcPr>
            <w:tcW w:w="725" w:type="dxa"/>
            <w:vAlign w:val="center"/>
          </w:tcPr>
          <w:p>
            <w:pPr>
              <w:widowControl w:val="0"/>
              <w:snapToGrid w:val="0"/>
              <w:jc w:val="center"/>
              <w:rPr>
                <w:rFonts w:hint="eastAsia" w:ascii="Times New Roman" w:hAnsi="Times New Roman"/>
                <w:bCs/>
                <w:sz w:val="21"/>
                <w:szCs w:val="21"/>
                <w:lang w:val="en-US" w:eastAsia="zh-CN"/>
              </w:rPr>
            </w:pPr>
          </w:p>
          <w:p>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pPr>
              <w:pStyle w:val="14"/>
              <w:widowControl w:val="0"/>
            </w:pPr>
            <w:r>
              <w:rPr>
                <w:rFonts w:hint="eastAsia"/>
              </w:rPr>
              <w:t>合计</w:t>
            </w:r>
          </w:p>
        </w:tc>
        <w:tc>
          <w:tcPr>
            <w:tcW w:w="725"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pPr>
              <w:pStyle w:val="14"/>
              <w:rPr>
                <w:szCs w:val="16"/>
              </w:rPr>
            </w:pPr>
            <w:r>
              <w:rPr>
                <w:rFonts w:hint="eastAsia"/>
                <w:szCs w:val="16"/>
              </w:rPr>
              <w:t>实验</w:t>
            </w:r>
          </w:p>
          <w:p>
            <w:pPr>
              <w:pStyle w:val="14"/>
              <w:rPr>
                <w:szCs w:val="16"/>
              </w:rPr>
            </w:pPr>
            <w:r>
              <w:rPr>
                <w:rFonts w:hint="eastAsia"/>
                <w:szCs w:val="16"/>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pPr>
              <w:pStyle w:val="15"/>
              <w:jc w:val="left"/>
            </w:pPr>
          </w:p>
        </w:tc>
        <w:tc>
          <w:tcPr>
            <w:tcW w:w="842" w:type="dxa"/>
            <w:tcBorders>
              <w:left w:val="single" w:color="auto" w:sz="4" w:space="0"/>
              <w:right w:val="single" w:color="auto" w:sz="4" w:space="0"/>
            </w:tcBorders>
            <w:shd w:val="clear" w:color="auto" w:fill="auto"/>
            <w:vAlign w:val="center"/>
          </w:tcPr>
          <w:p>
            <w:pPr>
              <w:pStyle w:val="15"/>
            </w:pPr>
          </w:p>
        </w:tc>
        <w:tc>
          <w:tcPr>
            <w:tcW w:w="928" w:type="dxa"/>
            <w:tcBorders>
              <w:left w:val="single" w:color="auto" w:sz="4" w:space="0"/>
              <w:right w:val="single" w:color="auto" w:sz="12" w:space="0"/>
            </w:tcBorders>
            <w:shd w:val="clear" w:color="auto" w:fill="auto"/>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pPr>
              <w:pStyle w:val="15"/>
              <w:jc w:val="left"/>
            </w:pPr>
          </w:p>
        </w:tc>
        <w:tc>
          <w:tcPr>
            <w:tcW w:w="842" w:type="dxa"/>
            <w:tcBorders>
              <w:left w:val="single" w:color="auto" w:sz="4" w:space="0"/>
              <w:bottom w:val="single" w:color="auto" w:sz="4" w:space="0"/>
              <w:right w:val="single" w:color="auto" w:sz="4" w:space="0"/>
            </w:tcBorders>
            <w:shd w:val="clear" w:color="auto" w:fill="auto"/>
            <w:vAlign w:val="center"/>
          </w:tcPr>
          <w:p>
            <w:pPr>
              <w:pStyle w:val="15"/>
            </w:pPr>
          </w:p>
        </w:tc>
        <w:tc>
          <w:tcPr>
            <w:tcW w:w="928" w:type="dxa"/>
            <w:tcBorders>
              <w:left w:val="single" w:color="auto" w:sz="4" w:space="0"/>
              <w:bottom w:val="single" w:color="auto" w:sz="4" w:space="0"/>
              <w:right w:val="single" w:color="auto" w:sz="12" w:space="0"/>
            </w:tcBorders>
            <w:shd w:val="clear" w:color="auto" w:fill="auto"/>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pPr>
              <w:pStyle w:val="15"/>
              <w:jc w:val="left"/>
            </w:pPr>
          </w:p>
        </w:tc>
        <w:tc>
          <w:tcPr>
            <w:tcW w:w="842" w:type="dxa"/>
            <w:tcBorders>
              <w:left w:val="single" w:color="auto" w:sz="4" w:space="0"/>
              <w:right w:val="single" w:color="auto" w:sz="4" w:space="0"/>
            </w:tcBorders>
            <w:shd w:val="clear" w:color="auto" w:fill="auto"/>
            <w:vAlign w:val="center"/>
          </w:tcPr>
          <w:p>
            <w:pPr>
              <w:pStyle w:val="15"/>
            </w:pPr>
          </w:p>
        </w:tc>
        <w:tc>
          <w:tcPr>
            <w:tcW w:w="928" w:type="dxa"/>
            <w:tcBorders>
              <w:left w:val="single" w:color="auto" w:sz="4" w:space="0"/>
              <w:right w:val="single" w:color="auto" w:sz="12" w:space="0"/>
            </w:tcBorders>
            <w:shd w:val="clear" w:color="auto" w:fill="auto"/>
            <w:vAlign w:val="center"/>
          </w:tcPr>
          <w:p>
            <w:pPr>
              <w:pStyle w:val="1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4"/>
              <w:widowControl w:val="0"/>
              <w:spacing w:before="66" w:line="240" w:lineRule="auto"/>
              <w:ind w:left="21" w:right="59" w:firstLine="421"/>
              <w:jc w:val="both"/>
              <w:rPr>
                <w:rFonts w:hint="eastAsia"/>
              </w:rPr>
            </w:pPr>
            <w:r>
              <w:rPr>
                <w:rFonts w:hint="eastAsia"/>
                <w:lang w:val="en-US" w:eastAsia="zh-CN"/>
              </w:rPr>
              <w:t>护理伦理学课程思政教学，以习近平总书记“广大医务工作者要恪守医德医风，修医德、行仁术，怀救苦之心、做苍生大医，努力为人民群众提供更加优质高效的健康服务”的讲话为核心，从护理伦理学发展历程、临床护士的救死扶伤</w:t>
            </w:r>
            <w:r>
              <w:rPr>
                <w:spacing w:val="9"/>
              </w:rPr>
              <w:t>精神</w:t>
            </w:r>
            <w:r>
              <w:rPr>
                <w:rFonts w:hint="eastAsia"/>
                <w:spacing w:val="9"/>
                <w:lang w:eastAsia="zh-CN"/>
              </w:rPr>
              <w:t>，</w:t>
            </w:r>
            <w:r>
              <w:rPr>
                <w:rFonts w:hint="eastAsia"/>
                <w:spacing w:val="9"/>
                <w:lang w:val="en-US" w:eastAsia="zh-CN"/>
              </w:rPr>
              <w:t>护士在公共卫生</w:t>
            </w:r>
            <w:r>
              <w:rPr>
                <w:spacing w:val="8"/>
              </w:rPr>
              <w:t>事件应急处</w:t>
            </w:r>
            <w:r>
              <w:rPr>
                <w:rFonts w:hint="eastAsia"/>
                <w:spacing w:val="8"/>
                <w:lang w:val="en-US" w:eastAsia="zh-CN"/>
              </w:rPr>
              <w:t>理中不畏困难精神，挖掘思政元素，</w:t>
            </w:r>
            <w:r>
              <w:rPr>
                <w:rFonts w:hint="eastAsia"/>
                <w:lang w:val="en-US" w:eastAsia="zh-CN"/>
              </w:rPr>
              <w:t>融入课堂。</w:t>
            </w:r>
            <w:r>
              <w:rPr>
                <w:spacing w:val="7"/>
              </w:rPr>
              <w:t>通过教育，使护生较系统地掌握护理伦理理论体系，并将护理伦理理论、原则、规范和要求转化为其内心信念，形成正确的道德观念和稳定的道德责任感及自我约束、自我激励和自我评价能力，在护理工作中践行护理伦理行为，履行护理道德</w:t>
            </w:r>
            <w:r>
              <w:rPr>
                <w:spacing w:val="2"/>
              </w:rPr>
              <w:t>义务。</w:t>
            </w:r>
          </w:p>
        </w:tc>
      </w:tr>
    </w:tbl>
    <w:p>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580"/>
        <w:gridCol w:w="580"/>
        <w:gridCol w:w="580"/>
        <w:gridCol w:w="580"/>
        <w:gridCol w:w="580"/>
        <w:gridCol w:w="583"/>
        <w:gridCol w:w="66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pPr>
              <w:pStyle w:val="17"/>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pPr>
              <w:pStyle w:val="17"/>
              <w:widowControl w:val="0"/>
              <w:jc w:val="center"/>
              <w:rPr>
                <w:rFonts w:ascii="黑体" w:hAnsi="黑体"/>
                <w:bCs/>
                <w:sz w:val="21"/>
                <w:szCs w:val="21"/>
              </w:rPr>
            </w:pPr>
            <w:r>
              <w:rPr>
                <w:rFonts w:hint="eastAsia" w:ascii="黑体" w:hAnsi="黑体"/>
                <w:bCs/>
                <w:sz w:val="21"/>
                <w:szCs w:val="21"/>
              </w:rPr>
              <w:t>考核方式</w:t>
            </w:r>
          </w:p>
        </w:tc>
        <w:tc>
          <w:tcPr>
            <w:tcW w:w="4152" w:type="dxa"/>
            <w:gridSpan w:val="7"/>
            <w:tcBorders>
              <w:top w:val="single" w:color="auto" w:sz="12" w:space="0"/>
              <w:left w:val="double" w:color="auto" w:sz="4" w:space="0"/>
              <w:right w:val="single" w:color="auto" w:sz="12" w:space="0"/>
            </w:tcBorders>
            <w:vAlign w:val="center"/>
          </w:tcPr>
          <w:p>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672" w:type="dxa"/>
            <w:vMerge w:val="continue"/>
          </w:tcPr>
          <w:p>
            <w:pPr>
              <w:pStyle w:val="17"/>
              <w:widowControl w:val="0"/>
              <w:jc w:val="both"/>
              <w:rPr>
                <w:rFonts w:ascii="黑体" w:hAnsi="黑体"/>
                <w:bCs/>
                <w:sz w:val="21"/>
                <w:szCs w:val="21"/>
              </w:rPr>
            </w:pPr>
          </w:p>
        </w:tc>
        <w:tc>
          <w:tcPr>
            <w:tcW w:w="2232" w:type="dxa"/>
            <w:vMerge w:val="continue"/>
            <w:tcBorders>
              <w:right w:val="double" w:color="auto" w:sz="4" w:space="0"/>
            </w:tcBorders>
          </w:tcPr>
          <w:p>
            <w:pPr>
              <w:pStyle w:val="17"/>
              <w:widowControl w:val="0"/>
              <w:jc w:val="both"/>
              <w:rPr>
                <w:rFonts w:ascii="黑体" w:hAnsi="黑体"/>
                <w:bCs/>
                <w:sz w:val="21"/>
                <w:szCs w:val="21"/>
              </w:rPr>
            </w:pPr>
          </w:p>
        </w:tc>
        <w:tc>
          <w:tcPr>
            <w:tcW w:w="580" w:type="dxa"/>
            <w:tcBorders>
              <w:left w:val="double" w:color="auto" w:sz="4" w:space="0"/>
            </w:tcBorders>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580"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580"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580"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580"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583" w:type="dxa"/>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669" w:type="dxa"/>
            <w:tcBorders>
              <w:right w:val="single" w:color="auto" w:sz="12" w:space="0"/>
            </w:tcBorders>
            <w:vAlign w:val="center"/>
          </w:tcPr>
          <w:p>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7</w:t>
            </w:r>
          </w:p>
        </w:tc>
        <w:tc>
          <w:tcPr>
            <w:tcW w:w="669" w:type="dxa"/>
            <w:vMerge w:val="continue"/>
            <w:tcBorders>
              <w:right w:val="single" w:color="auto" w:sz="12" w:space="0"/>
            </w:tcBorders>
            <w:vAlign w:val="center"/>
          </w:tcPr>
          <w:p>
            <w:pPr>
              <w:pStyle w:val="17"/>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2" w:type="dxa"/>
            <w:vAlign w:val="center"/>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60%</w:t>
            </w:r>
          </w:p>
        </w:tc>
        <w:tc>
          <w:tcPr>
            <w:tcW w:w="2232" w:type="dxa"/>
            <w:tcBorders>
              <w:right w:val="double" w:color="auto" w:sz="4" w:space="0"/>
            </w:tcBorders>
            <w:vAlign w:val="center"/>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期终闭卷考</w:t>
            </w:r>
          </w:p>
        </w:tc>
        <w:tc>
          <w:tcPr>
            <w:tcW w:w="580" w:type="dxa"/>
            <w:tcBorders>
              <w:left w:val="double" w:color="auto" w:sz="4" w:space="0"/>
            </w:tcBorders>
            <w:vAlign w:val="center"/>
          </w:tcPr>
          <w:p>
            <w:pPr>
              <w:pStyle w:val="15"/>
              <w:widowControl w:val="0"/>
              <w:jc w:val="center"/>
              <w:rPr>
                <w:rFonts w:hint="default" w:eastAsia="宋体"/>
                <w:lang w:val="en-US" w:eastAsia="zh-CN"/>
              </w:rPr>
            </w:pPr>
            <w:r>
              <w:rPr>
                <w:rFonts w:hint="eastAsia"/>
                <w:lang w:val="en-US" w:eastAsia="zh-CN"/>
              </w:rPr>
              <w:t>30</w:t>
            </w:r>
          </w:p>
        </w:tc>
        <w:tc>
          <w:tcPr>
            <w:tcW w:w="580" w:type="dxa"/>
            <w:vAlign w:val="center"/>
          </w:tcPr>
          <w:p>
            <w:pPr>
              <w:pStyle w:val="15"/>
              <w:widowControl w:val="0"/>
              <w:jc w:val="center"/>
              <w:rPr>
                <w:rFonts w:hint="default" w:eastAsia="宋体"/>
                <w:lang w:val="en-US" w:eastAsia="zh-CN"/>
              </w:rPr>
            </w:pPr>
            <w:r>
              <w:rPr>
                <w:rFonts w:hint="eastAsia"/>
                <w:lang w:val="en-US" w:eastAsia="zh-CN"/>
              </w:rPr>
              <w:t>10</w:t>
            </w:r>
          </w:p>
        </w:tc>
        <w:tc>
          <w:tcPr>
            <w:tcW w:w="580" w:type="dxa"/>
            <w:vAlign w:val="center"/>
          </w:tcPr>
          <w:p>
            <w:pPr>
              <w:pStyle w:val="15"/>
              <w:widowControl w:val="0"/>
              <w:jc w:val="center"/>
              <w:rPr>
                <w:rFonts w:hint="default" w:eastAsia="宋体"/>
                <w:lang w:val="en-US" w:eastAsia="zh-CN"/>
              </w:rPr>
            </w:pPr>
            <w:r>
              <w:rPr>
                <w:rFonts w:hint="eastAsia"/>
                <w:lang w:val="en-US" w:eastAsia="zh-CN"/>
              </w:rPr>
              <w:t>10</w:t>
            </w:r>
          </w:p>
        </w:tc>
        <w:tc>
          <w:tcPr>
            <w:tcW w:w="580" w:type="dxa"/>
            <w:vAlign w:val="center"/>
          </w:tcPr>
          <w:p>
            <w:pPr>
              <w:pStyle w:val="15"/>
              <w:widowControl w:val="0"/>
              <w:jc w:val="center"/>
              <w:rPr>
                <w:rFonts w:hint="default" w:eastAsia="宋体"/>
                <w:lang w:val="en-US" w:eastAsia="zh-CN"/>
              </w:rPr>
            </w:pPr>
            <w:r>
              <w:rPr>
                <w:rFonts w:hint="eastAsia"/>
                <w:lang w:val="en-US" w:eastAsia="zh-CN"/>
              </w:rPr>
              <w:t>30</w:t>
            </w:r>
          </w:p>
        </w:tc>
        <w:tc>
          <w:tcPr>
            <w:tcW w:w="580" w:type="dxa"/>
            <w:vAlign w:val="center"/>
          </w:tcPr>
          <w:p>
            <w:pPr>
              <w:pStyle w:val="15"/>
              <w:widowControl w:val="0"/>
              <w:jc w:val="center"/>
              <w:rPr>
                <w:rFonts w:hint="default" w:eastAsia="宋体"/>
                <w:lang w:val="en-US" w:eastAsia="zh-CN"/>
              </w:rPr>
            </w:pPr>
            <w:r>
              <w:rPr>
                <w:rFonts w:hint="eastAsia"/>
                <w:lang w:val="en-US" w:eastAsia="zh-CN"/>
              </w:rPr>
              <w:t>20</w:t>
            </w:r>
          </w:p>
        </w:tc>
        <w:tc>
          <w:tcPr>
            <w:tcW w:w="583" w:type="dxa"/>
            <w:vAlign w:val="center"/>
          </w:tcPr>
          <w:p>
            <w:pPr>
              <w:pStyle w:val="15"/>
              <w:widowControl w:val="0"/>
              <w:jc w:val="center"/>
            </w:pPr>
          </w:p>
        </w:tc>
        <w:tc>
          <w:tcPr>
            <w:tcW w:w="669" w:type="dxa"/>
            <w:tcBorders>
              <w:right w:val="single" w:color="auto" w:sz="12" w:space="0"/>
            </w:tcBorders>
            <w:vAlign w:val="center"/>
          </w:tcPr>
          <w:p>
            <w:pPr>
              <w:pStyle w:val="15"/>
              <w:widowControl w:val="0"/>
              <w:jc w:val="center"/>
            </w:pPr>
          </w:p>
        </w:tc>
        <w:tc>
          <w:tcPr>
            <w:tcW w:w="669" w:type="dxa"/>
            <w:tcBorders>
              <w:right w:val="single" w:color="auto" w:sz="12" w:space="0"/>
            </w:tcBorders>
            <w:vAlign w:val="center"/>
          </w:tcPr>
          <w:p>
            <w:pPr>
              <w:pStyle w:val="15"/>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2" w:type="dxa"/>
            <w:vAlign w:val="center"/>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2232" w:type="dxa"/>
            <w:tcBorders>
              <w:right w:val="double" w:color="auto" w:sz="4" w:space="0"/>
            </w:tcBorders>
            <w:vAlign w:val="center"/>
          </w:tcPr>
          <w:p>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课堂小测验</w:t>
            </w:r>
          </w:p>
        </w:tc>
        <w:tc>
          <w:tcPr>
            <w:tcW w:w="580" w:type="dxa"/>
            <w:tcBorders>
              <w:left w:val="double" w:color="auto" w:sz="4" w:space="0"/>
            </w:tcBorders>
            <w:vAlign w:val="center"/>
          </w:tcPr>
          <w:p>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580" w:type="dxa"/>
            <w:vAlign w:val="center"/>
          </w:tcPr>
          <w:p>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580" w:type="dxa"/>
            <w:vAlign w:val="center"/>
          </w:tcPr>
          <w:p>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580" w:type="dxa"/>
            <w:vAlign w:val="center"/>
          </w:tcPr>
          <w:p>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580" w:type="dxa"/>
            <w:vAlign w:val="center"/>
          </w:tcPr>
          <w:p>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583" w:type="dxa"/>
            <w:vAlign w:val="center"/>
          </w:tcPr>
          <w:p>
            <w:pPr>
              <w:pStyle w:val="15"/>
              <w:widowControl w:val="0"/>
              <w:jc w:val="center"/>
            </w:pPr>
          </w:p>
        </w:tc>
        <w:tc>
          <w:tcPr>
            <w:tcW w:w="669" w:type="dxa"/>
            <w:tcBorders>
              <w:right w:val="single" w:color="auto" w:sz="12" w:space="0"/>
            </w:tcBorders>
            <w:vAlign w:val="center"/>
          </w:tcPr>
          <w:p>
            <w:pPr>
              <w:pStyle w:val="15"/>
              <w:widowControl w:val="0"/>
              <w:jc w:val="center"/>
            </w:pPr>
          </w:p>
        </w:tc>
        <w:tc>
          <w:tcPr>
            <w:tcW w:w="669" w:type="dxa"/>
            <w:tcBorders>
              <w:right w:val="single" w:color="auto" w:sz="12" w:space="0"/>
            </w:tcBorders>
            <w:vAlign w:val="center"/>
          </w:tcPr>
          <w:p>
            <w:pPr>
              <w:pStyle w:val="15"/>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2" w:type="dxa"/>
            <w:vAlign w:val="center"/>
          </w:tcPr>
          <w:p>
            <w:pPr>
              <w:pStyle w:val="15"/>
              <w:widowControl w:val="0"/>
              <w:rPr>
                <w:rFonts w:hint="default" w:eastAsia="宋体"/>
                <w:lang w:val="en-US" w:eastAsia="zh-CN"/>
              </w:rPr>
            </w:pPr>
            <w:r>
              <w:rPr>
                <w:rFonts w:hint="eastAsia"/>
                <w:lang w:val="en-US" w:eastAsia="zh-CN"/>
              </w:rPr>
              <w:t>10%</w:t>
            </w:r>
          </w:p>
        </w:tc>
        <w:tc>
          <w:tcPr>
            <w:tcW w:w="2232" w:type="dxa"/>
            <w:tcBorders>
              <w:right w:val="double" w:color="auto" w:sz="4" w:space="0"/>
            </w:tcBorders>
            <w:vAlign w:val="center"/>
          </w:tcPr>
          <w:p>
            <w:pPr>
              <w:pStyle w:val="15"/>
              <w:widowControl w:val="0"/>
            </w:pPr>
            <w:r>
              <w:rPr>
                <w:rFonts w:hint="eastAsia"/>
                <w:lang w:val="en-US" w:eastAsia="zh-CN"/>
              </w:rPr>
              <w:t>小组讨论考核</w:t>
            </w:r>
          </w:p>
        </w:tc>
        <w:tc>
          <w:tcPr>
            <w:tcW w:w="580" w:type="dxa"/>
            <w:tcBorders>
              <w:left w:val="double" w:color="auto" w:sz="4" w:space="0"/>
            </w:tcBorders>
            <w:vAlign w:val="center"/>
          </w:tcPr>
          <w:p>
            <w:pPr>
              <w:pStyle w:val="15"/>
              <w:widowControl w:val="0"/>
              <w:jc w:val="center"/>
              <w:rPr>
                <w:rFonts w:hint="default" w:eastAsia="宋体"/>
                <w:lang w:val="en-US" w:eastAsia="zh-CN"/>
              </w:rPr>
            </w:pPr>
          </w:p>
        </w:tc>
        <w:tc>
          <w:tcPr>
            <w:tcW w:w="580" w:type="dxa"/>
            <w:vAlign w:val="center"/>
          </w:tcPr>
          <w:p>
            <w:pPr>
              <w:pStyle w:val="15"/>
              <w:widowControl w:val="0"/>
              <w:jc w:val="center"/>
              <w:rPr>
                <w:rFonts w:hint="default" w:eastAsia="宋体"/>
                <w:lang w:val="en-US" w:eastAsia="zh-CN"/>
              </w:rPr>
            </w:pPr>
            <w:r>
              <w:rPr>
                <w:rFonts w:hint="eastAsia"/>
                <w:lang w:val="en-US" w:eastAsia="zh-CN"/>
              </w:rPr>
              <w:t>30</w:t>
            </w:r>
          </w:p>
        </w:tc>
        <w:tc>
          <w:tcPr>
            <w:tcW w:w="580" w:type="dxa"/>
            <w:vAlign w:val="center"/>
          </w:tcPr>
          <w:p>
            <w:pPr>
              <w:pStyle w:val="15"/>
              <w:widowControl w:val="0"/>
              <w:jc w:val="center"/>
              <w:rPr>
                <w:rFonts w:hint="default" w:eastAsia="宋体"/>
                <w:lang w:val="en-US" w:eastAsia="zh-CN"/>
              </w:rPr>
            </w:pPr>
            <w:r>
              <w:rPr>
                <w:rFonts w:hint="eastAsia"/>
                <w:lang w:val="en-US" w:eastAsia="zh-CN"/>
              </w:rPr>
              <w:t>30</w:t>
            </w:r>
          </w:p>
        </w:tc>
        <w:tc>
          <w:tcPr>
            <w:tcW w:w="580" w:type="dxa"/>
            <w:vAlign w:val="center"/>
          </w:tcPr>
          <w:p>
            <w:pPr>
              <w:pStyle w:val="15"/>
              <w:widowControl w:val="0"/>
              <w:jc w:val="center"/>
              <w:rPr>
                <w:rFonts w:hint="default" w:eastAsia="宋体"/>
                <w:lang w:val="en-US" w:eastAsia="zh-CN"/>
              </w:rPr>
            </w:pPr>
          </w:p>
        </w:tc>
        <w:tc>
          <w:tcPr>
            <w:tcW w:w="580" w:type="dxa"/>
            <w:vAlign w:val="center"/>
          </w:tcPr>
          <w:p>
            <w:pPr>
              <w:pStyle w:val="15"/>
              <w:widowControl w:val="0"/>
              <w:jc w:val="center"/>
              <w:rPr>
                <w:rFonts w:hint="default" w:eastAsia="宋体"/>
                <w:lang w:val="en-US" w:eastAsia="zh-CN"/>
              </w:rPr>
            </w:pPr>
          </w:p>
        </w:tc>
        <w:tc>
          <w:tcPr>
            <w:tcW w:w="583" w:type="dxa"/>
            <w:vAlign w:val="center"/>
          </w:tcPr>
          <w:p>
            <w:pPr>
              <w:pStyle w:val="15"/>
              <w:widowControl w:val="0"/>
              <w:jc w:val="center"/>
              <w:rPr>
                <w:rFonts w:hint="default" w:eastAsia="宋体"/>
                <w:lang w:val="en-US" w:eastAsia="zh-CN"/>
              </w:rPr>
            </w:pPr>
            <w:r>
              <w:rPr>
                <w:rFonts w:hint="eastAsia"/>
                <w:lang w:val="en-US" w:eastAsia="zh-CN"/>
              </w:rPr>
              <w:t>20</w:t>
            </w:r>
          </w:p>
        </w:tc>
        <w:tc>
          <w:tcPr>
            <w:tcW w:w="669" w:type="dxa"/>
            <w:tcBorders>
              <w:right w:val="single" w:color="auto" w:sz="12" w:space="0"/>
            </w:tcBorders>
            <w:vAlign w:val="center"/>
          </w:tcPr>
          <w:p>
            <w:pPr>
              <w:pStyle w:val="15"/>
              <w:widowControl w:val="0"/>
              <w:jc w:val="center"/>
              <w:rPr>
                <w:rFonts w:hint="default" w:eastAsia="宋体"/>
                <w:lang w:val="en-US" w:eastAsia="zh-CN"/>
              </w:rPr>
            </w:pPr>
            <w:r>
              <w:rPr>
                <w:rFonts w:hint="eastAsia"/>
                <w:lang w:val="en-US" w:eastAsia="zh-CN"/>
              </w:rPr>
              <w:t>20</w:t>
            </w:r>
          </w:p>
        </w:tc>
        <w:tc>
          <w:tcPr>
            <w:tcW w:w="669" w:type="dxa"/>
            <w:tcBorders>
              <w:right w:val="single" w:color="auto" w:sz="12" w:space="0"/>
            </w:tcBorders>
            <w:vAlign w:val="center"/>
          </w:tcPr>
          <w:p>
            <w:pPr>
              <w:pStyle w:val="15"/>
              <w:widowControl w:val="0"/>
              <w:jc w:val="center"/>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2" w:type="dxa"/>
            <w:vAlign w:val="center"/>
          </w:tcPr>
          <w:p>
            <w:pPr>
              <w:pStyle w:val="15"/>
              <w:widowControl w:val="0"/>
            </w:pPr>
            <w:r>
              <w:rPr>
                <w:rFonts w:hint="eastAsia"/>
                <w:lang w:val="en-US" w:eastAsia="zh-CN"/>
              </w:rPr>
              <w:t>10%</w:t>
            </w:r>
          </w:p>
        </w:tc>
        <w:tc>
          <w:tcPr>
            <w:tcW w:w="2232" w:type="dxa"/>
            <w:tcBorders>
              <w:right w:val="double" w:color="auto" w:sz="4" w:space="0"/>
            </w:tcBorders>
            <w:vAlign w:val="center"/>
          </w:tcPr>
          <w:p>
            <w:pPr>
              <w:pStyle w:val="15"/>
              <w:widowControl w:val="0"/>
            </w:pPr>
            <w:r>
              <w:rPr>
                <w:rFonts w:hint="eastAsia"/>
                <w:lang w:val="en-US" w:eastAsia="zh-CN"/>
              </w:rPr>
              <w:t>课堂展示</w:t>
            </w:r>
          </w:p>
        </w:tc>
        <w:tc>
          <w:tcPr>
            <w:tcW w:w="580" w:type="dxa"/>
            <w:tcBorders>
              <w:left w:val="double" w:color="auto" w:sz="4" w:space="0"/>
            </w:tcBorders>
            <w:vAlign w:val="center"/>
          </w:tcPr>
          <w:p>
            <w:pPr>
              <w:pStyle w:val="15"/>
              <w:widowControl w:val="0"/>
              <w:jc w:val="center"/>
            </w:pPr>
            <w:r>
              <w:rPr>
                <w:rFonts w:hint="eastAsia"/>
                <w:lang w:val="en-US" w:eastAsia="zh-CN"/>
              </w:rPr>
              <w:t>30</w:t>
            </w:r>
          </w:p>
        </w:tc>
        <w:tc>
          <w:tcPr>
            <w:tcW w:w="580" w:type="dxa"/>
            <w:vAlign w:val="center"/>
          </w:tcPr>
          <w:p>
            <w:pPr>
              <w:pStyle w:val="15"/>
              <w:widowControl w:val="0"/>
              <w:jc w:val="center"/>
              <w:rPr>
                <w:b/>
                <w:bCs/>
              </w:rPr>
            </w:pPr>
            <w:r>
              <w:rPr>
                <w:rFonts w:hint="eastAsia"/>
                <w:lang w:val="en-US" w:eastAsia="zh-CN"/>
              </w:rPr>
              <w:t>10</w:t>
            </w:r>
          </w:p>
        </w:tc>
        <w:tc>
          <w:tcPr>
            <w:tcW w:w="580" w:type="dxa"/>
            <w:vAlign w:val="center"/>
          </w:tcPr>
          <w:p>
            <w:pPr>
              <w:pStyle w:val="15"/>
              <w:widowControl w:val="0"/>
              <w:jc w:val="center"/>
            </w:pPr>
            <w:r>
              <w:rPr>
                <w:rFonts w:hint="eastAsia"/>
                <w:lang w:val="en-US" w:eastAsia="zh-CN"/>
              </w:rPr>
              <w:t>10</w:t>
            </w:r>
          </w:p>
        </w:tc>
        <w:tc>
          <w:tcPr>
            <w:tcW w:w="580" w:type="dxa"/>
            <w:vAlign w:val="center"/>
          </w:tcPr>
          <w:p>
            <w:pPr>
              <w:pStyle w:val="15"/>
              <w:widowControl w:val="0"/>
              <w:jc w:val="center"/>
            </w:pPr>
            <w:r>
              <w:rPr>
                <w:rFonts w:hint="eastAsia"/>
                <w:lang w:val="en-US" w:eastAsia="zh-CN"/>
              </w:rPr>
              <w:t>30</w:t>
            </w:r>
          </w:p>
        </w:tc>
        <w:tc>
          <w:tcPr>
            <w:tcW w:w="580" w:type="dxa"/>
            <w:vAlign w:val="center"/>
          </w:tcPr>
          <w:p>
            <w:pPr>
              <w:pStyle w:val="15"/>
              <w:widowControl w:val="0"/>
              <w:jc w:val="center"/>
            </w:pPr>
            <w:r>
              <w:rPr>
                <w:rFonts w:hint="eastAsia"/>
                <w:lang w:val="en-US" w:eastAsia="zh-CN"/>
              </w:rPr>
              <w:t>20</w:t>
            </w:r>
          </w:p>
        </w:tc>
        <w:tc>
          <w:tcPr>
            <w:tcW w:w="583" w:type="dxa"/>
            <w:vAlign w:val="center"/>
          </w:tcPr>
          <w:p>
            <w:pPr>
              <w:pStyle w:val="15"/>
              <w:widowControl w:val="0"/>
              <w:jc w:val="center"/>
              <w:rPr>
                <w:rFonts w:hint="default" w:eastAsia="宋体"/>
                <w:lang w:val="en-US" w:eastAsia="zh-CN"/>
              </w:rPr>
            </w:pPr>
          </w:p>
        </w:tc>
        <w:tc>
          <w:tcPr>
            <w:tcW w:w="669" w:type="dxa"/>
            <w:tcBorders>
              <w:right w:val="single" w:color="auto" w:sz="12" w:space="0"/>
            </w:tcBorders>
            <w:vAlign w:val="center"/>
          </w:tcPr>
          <w:p>
            <w:pPr>
              <w:pStyle w:val="15"/>
              <w:widowControl w:val="0"/>
              <w:jc w:val="center"/>
              <w:rPr>
                <w:rFonts w:hint="default" w:eastAsia="宋体"/>
                <w:lang w:val="en-US" w:eastAsia="zh-CN"/>
              </w:rPr>
            </w:pPr>
          </w:p>
        </w:tc>
        <w:tc>
          <w:tcPr>
            <w:tcW w:w="669" w:type="dxa"/>
            <w:tcBorders>
              <w:right w:val="single" w:color="auto" w:sz="12" w:space="0"/>
            </w:tcBorders>
            <w:vAlign w:val="center"/>
          </w:tcPr>
          <w:p>
            <w:pPr>
              <w:pStyle w:val="15"/>
              <w:widowControl w:val="0"/>
              <w:jc w:val="center"/>
            </w:pPr>
            <w:r>
              <w:rPr>
                <w:rFonts w:hint="eastAsia"/>
              </w:rPr>
              <w:t>1</w:t>
            </w:r>
            <w:r>
              <w:t>00</w:t>
            </w:r>
          </w:p>
        </w:tc>
      </w:tr>
    </w:tbl>
    <w:p>
      <w:pPr>
        <w:pStyle w:val="18"/>
        <w:spacing w:before="326" w:beforeLines="100" w:after="163"/>
        <w:jc w:val="center"/>
      </w:pPr>
      <w:r>
        <w:rPr>
          <w:rFonts w:hint="eastAsia"/>
        </w:rPr>
        <w:t>评价标准细则（选填）</w:t>
      </w:r>
      <w:bookmarkStart w:id="6" w:name="_GoBack"/>
      <w:bookmarkEnd w:id="6"/>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83" w:hRule="atLeast"/>
        </w:trPr>
        <w:tc>
          <w:tcPr>
            <w:tcW w:w="61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pPr>
              <w:widowControl w:val="0"/>
              <w:snapToGrid w:val="0"/>
              <w:jc w:val="center"/>
              <w:rPr>
                <w:rFonts w:ascii="黑体" w:hAnsi="黑体" w:eastAsia="黑体"/>
                <w:bCs/>
                <w:sz w:val="21"/>
                <w:szCs w:val="21"/>
              </w:rPr>
            </w:pPr>
            <w:r>
              <w:rPr>
                <w:rFonts w:hint="eastAsia" w:ascii="黑体" w:hAnsi="黑体" w:eastAsia="黑体"/>
                <w:bCs/>
                <w:sz w:val="21"/>
                <w:szCs w:val="21"/>
              </w:rPr>
              <w:t>课</w:t>
            </w:r>
          </w:p>
          <w:p>
            <w:pPr>
              <w:widowControl w:val="0"/>
              <w:snapToGrid w:val="0"/>
              <w:jc w:val="center"/>
              <w:rPr>
                <w:rFonts w:ascii="黑体" w:hAnsi="黑体" w:eastAsia="黑体"/>
                <w:bCs/>
                <w:sz w:val="21"/>
                <w:szCs w:val="21"/>
              </w:rPr>
            </w:pPr>
            <w:r>
              <w:rPr>
                <w:rFonts w:hint="eastAsia" w:ascii="黑体" w:hAnsi="黑体" w:eastAsia="黑体"/>
                <w:bCs/>
                <w:sz w:val="21"/>
                <w:szCs w:val="21"/>
              </w:rPr>
              <w:t>程</w:t>
            </w:r>
          </w:p>
          <w:p>
            <w:pPr>
              <w:widowControl w:val="0"/>
              <w:snapToGrid w:val="0"/>
              <w:jc w:val="center"/>
              <w:rPr>
                <w:rFonts w:ascii="黑体" w:hAnsi="黑体" w:eastAsia="黑体"/>
                <w:bCs/>
                <w:sz w:val="21"/>
                <w:szCs w:val="21"/>
              </w:rPr>
            </w:pPr>
            <w:r>
              <w:rPr>
                <w:rFonts w:hint="eastAsia" w:ascii="黑体" w:hAnsi="黑体" w:eastAsia="黑体"/>
                <w:bCs/>
                <w:sz w:val="21"/>
                <w:szCs w:val="21"/>
              </w:rPr>
              <w:t>目</w:t>
            </w:r>
          </w:p>
          <w:p>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pPr>
              <w:widowControl w:val="0"/>
              <w:snapToGrid w:val="0"/>
              <w:jc w:val="center"/>
              <w:rPr>
                <w:rFonts w:ascii="黑体" w:hAnsi="黑体" w:eastAsia="黑体"/>
                <w:bCs/>
                <w:sz w:val="21"/>
                <w:szCs w:val="21"/>
              </w:rPr>
            </w:pPr>
          </w:p>
        </w:tc>
        <w:tc>
          <w:tcPr>
            <w:tcW w:w="648" w:type="dxa"/>
            <w:vMerge w:val="continue"/>
          </w:tcPr>
          <w:p>
            <w:pPr>
              <w:pStyle w:val="17"/>
              <w:widowControl w:val="0"/>
              <w:jc w:val="both"/>
              <w:rPr>
                <w:rFonts w:ascii="黑体" w:hAnsi="黑体"/>
                <w:bCs/>
                <w:sz w:val="21"/>
                <w:szCs w:val="21"/>
              </w:rPr>
            </w:pPr>
          </w:p>
        </w:tc>
        <w:tc>
          <w:tcPr>
            <w:tcW w:w="1403" w:type="dxa"/>
            <w:vMerge w:val="continue"/>
          </w:tcPr>
          <w:p>
            <w:pPr>
              <w:pStyle w:val="17"/>
              <w:widowControl w:val="0"/>
              <w:jc w:val="both"/>
              <w:rPr>
                <w:rFonts w:ascii="黑体" w:hAnsi="黑体"/>
                <w:bCs/>
                <w:sz w:val="21"/>
                <w:szCs w:val="21"/>
              </w:rPr>
            </w:pP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pPr>
              <w:widowControl w:val="0"/>
              <w:snapToGrid w:val="0"/>
              <w:jc w:val="center"/>
              <w:rPr>
                <w:rFonts w:ascii="Arial" w:hAnsi="Arial" w:eastAsia="黑体" w:cs="Arial"/>
                <w:bCs/>
                <w:sz w:val="21"/>
                <w:szCs w:val="21"/>
              </w:rPr>
            </w:pPr>
          </w:p>
        </w:tc>
        <w:tc>
          <w:tcPr>
            <w:tcW w:w="1403" w:type="dxa"/>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pPr>
              <w:pStyle w:val="15"/>
              <w:widowControl w:val="0"/>
              <w:jc w:val="both"/>
            </w:pPr>
          </w:p>
        </w:tc>
        <w:tc>
          <w:tcPr>
            <w:tcW w:w="1403" w:type="dxa"/>
          </w:tcPr>
          <w:p>
            <w:pPr>
              <w:pStyle w:val="15"/>
              <w:widowControl w:val="0"/>
              <w:jc w:val="both"/>
            </w:pPr>
          </w:p>
        </w:tc>
        <w:tc>
          <w:tcPr>
            <w:tcW w:w="1403" w:type="dxa"/>
          </w:tcPr>
          <w:p>
            <w:pPr>
              <w:pStyle w:val="15"/>
              <w:widowControl w:val="0"/>
              <w:jc w:val="both"/>
            </w:pPr>
          </w:p>
        </w:tc>
        <w:tc>
          <w:tcPr>
            <w:tcW w:w="1403" w:type="dxa"/>
          </w:tcPr>
          <w:p>
            <w:pPr>
              <w:pStyle w:val="7"/>
              <w:widowControl/>
              <w:shd w:val="clear" w:color="auto" w:fill="FFFFFF"/>
              <w:jc w:val="both"/>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pPr>
              <w:widowControl w:val="0"/>
              <w:snapToGrid w:val="0"/>
              <w:jc w:val="center"/>
              <w:rPr>
                <w:rFonts w:ascii="Arial" w:hAnsi="Arial" w:eastAsia="黑体" w:cs="Arial"/>
                <w:bCs/>
                <w:sz w:val="21"/>
                <w:szCs w:val="21"/>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pPr>
        <w:pStyle w:val="17"/>
        <w:spacing w:before="326" w:beforeLines="100" w:line="360" w:lineRule="auto"/>
        <w:rPr>
          <w:rFonts w:ascii="黑体" w:hAnsi="宋体"/>
        </w:rPr>
      </w:pPr>
      <w:r>
        <w:rPr>
          <w:rFonts w:hint="eastAsia" w:ascii="黑体" w:hAnsi="宋体"/>
        </w:rPr>
        <w:t>六、其他需要</w:t>
      </w:r>
      <w:r>
        <w:rPr>
          <w:rFonts w:hint="eastAsia" w:ascii="黑体" w:hAnsi="宋体"/>
          <w:lang w:eastAsia="zh-CN"/>
        </w:rPr>
        <w:t>理解</w:t>
      </w:r>
      <w:r>
        <w:rPr>
          <w:rFonts w:hint="eastAsia" w:ascii="黑体" w:hAnsi="宋体"/>
        </w:rPr>
        <w:t xml:space="preserve">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5"/>
              <w:widowControl w:val="0"/>
              <w:jc w:val="left"/>
              <w:rPr>
                <w:rFonts w:hint="eastAsia" w:ascii="黑体" w:eastAsia="宋体"/>
                <w:lang w:val="en-US" w:eastAsia="zh-CN"/>
              </w:rPr>
            </w:pPr>
            <w:r>
              <w:rPr>
                <w:rFonts w:hint="eastAsia" w:ascii="黑体"/>
                <w:lang w:val="en-US" w:eastAsia="zh-CN"/>
              </w:rPr>
              <w:t>无</w:t>
            </w:r>
          </w:p>
        </w:tc>
      </w:tr>
    </w:tbl>
    <w:p>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FE1D72"/>
    <w:rsid w:val="024B0C39"/>
    <w:rsid w:val="07FFB1EC"/>
    <w:rsid w:val="0A8128A6"/>
    <w:rsid w:val="0BF32A1B"/>
    <w:rsid w:val="100C52EB"/>
    <w:rsid w:val="10BD2C22"/>
    <w:rsid w:val="18FA0B56"/>
    <w:rsid w:val="1CF10155"/>
    <w:rsid w:val="20D12BB7"/>
    <w:rsid w:val="22987C80"/>
    <w:rsid w:val="24192CCC"/>
    <w:rsid w:val="262007B6"/>
    <w:rsid w:val="26C278AA"/>
    <w:rsid w:val="26F4679D"/>
    <w:rsid w:val="289E3A73"/>
    <w:rsid w:val="28CB2FE3"/>
    <w:rsid w:val="29B50066"/>
    <w:rsid w:val="2B82278A"/>
    <w:rsid w:val="2BC74AD3"/>
    <w:rsid w:val="2CBB3987"/>
    <w:rsid w:val="2FF065B4"/>
    <w:rsid w:val="31090D9E"/>
    <w:rsid w:val="33537FCC"/>
    <w:rsid w:val="337D8E38"/>
    <w:rsid w:val="34530CA8"/>
    <w:rsid w:val="3555351F"/>
    <w:rsid w:val="35686A9A"/>
    <w:rsid w:val="369776A2"/>
    <w:rsid w:val="375802A3"/>
    <w:rsid w:val="38237904"/>
    <w:rsid w:val="39A66CD4"/>
    <w:rsid w:val="3B3EAE6B"/>
    <w:rsid w:val="3CD52CE1"/>
    <w:rsid w:val="3EDBDF02"/>
    <w:rsid w:val="40F4768D"/>
    <w:rsid w:val="410F2E6A"/>
    <w:rsid w:val="4430136C"/>
    <w:rsid w:val="455379C2"/>
    <w:rsid w:val="46CD18E6"/>
    <w:rsid w:val="4703102D"/>
    <w:rsid w:val="4AB0382B"/>
    <w:rsid w:val="4AC06103"/>
    <w:rsid w:val="569868B5"/>
    <w:rsid w:val="611F6817"/>
    <w:rsid w:val="62580401"/>
    <w:rsid w:val="66C8504F"/>
    <w:rsid w:val="66CA1754"/>
    <w:rsid w:val="67A72944"/>
    <w:rsid w:val="686C4BDE"/>
    <w:rsid w:val="6F1E65D4"/>
    <w:rsid w:val="6F266C86"/>
    <w:rsid w:val="6F5042C2"/>
    <w:rsid w:val="714877B4"/>
    <w:rsid w:val="72191F27"/>
    <w:rsid w:val="73845915"/>
    <w:rsid w:val="74316312"/>
    <w:rsid w:val="75E4177A"/>
    <w:rsid w:val="76BA690C"/>
    <w:rsid w:val="780F13C8"/>
    <w:rsid w:val="7C385448"/>
    <w:rsid w:val="7CB3663D"/>
    <w:rsid w:val="7D184E5A"/>
    <w:rsid w:val="7D7D498E"/>
    <w:rsid w:val="7FFDDCE5"/>
    <w:rsid w:val="B6BFA0A5"/>
    <w:rsid w:val="DD55B4DF"/>
    <w:rsid w:val="DE3F3340"/>
    <w:rsid w:val="DFFF766F"/>
    <w:rsid w:val="E7FBE3A9"/>
    <w:rsid w:val="F5FDF6DF"/>
    <w:rsid w:val="FB9F0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semiHidden/>
    <w:qFormat/>
    <w:uiPriority w:val="0"/>
    <w:rPr>
      <w:rFonts w:ascii="宋体" w:hAnsi="宋体" w:eastAsia="宋体" w:cs="宋体"/>
      <w:sz w:val="21"/>
      <w:szCs w:val="21"/>
      <w:lang w:val="en-US" w:eastAsia="en-US" w:bidi="ar-SA"/>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unhideWhenUsed/>
    <w:qFormat/>
    <w:uiPriority w:val="99"/>
    <w:rPr>
      <w:color w:val="808080"/>
    </w:rPr>
  </w:style>
  <w:style w:type="paragraph" w:customStyle="1" w:styleId="24">
    <w:name w:val="Table Text"/>
    <w:basedOn w:val="1"/>
    <w:autoRedefine/>
    <w:semiHidden/>
    <w:qFormat/>
    <w:uiPriority w:val="0"/>
    <w:rPr>
      <w:rFonts w:ascii="宋体" w:hAnsi="宋体" w:eastAsia="宋体" w:cs="宋体"/>
      <w:sz w:val="20"/>
      <w:szCs w:val="20"/>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Words>
  <Characters>833</Characters>
  <Lines>6</Lines>
  <Paragraphs>1</Paragraphs>
  <TotalTime>1</TotalTime>
  <ScaleCrop>false</ScaleCrop>
  <LinksUpToDate>false</LinksUpToDate>
  <CharactersWithSpaces>978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郭永洪</cp:lastModifiedBy>
  <cp:lastPrinted>2023-11-24T00:52:00Z</cp:lastPrinted>
  <dcterms:modified xsi:type="dcterms:W3CDTF">2024-03-08T00:24:13Z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DC25ADCD8CCC413D8A9B20F7B0229D5D_13</vt:lpwstr>
  </property>
</Properties>
</file>