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2070004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0802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养老服务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B22-1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一3-4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    地点: 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15225093681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杨俊卿、陈立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《药理学》，第4版，主编：董志，人民卫生出版社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绪言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>
            <w:pPr>
              <w:widowControl/>
              <w:jc w:val="left"/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抗高血压药：常用抗高血压药的药理作用、用途、不良反应和注意事项；抗高血压药的分类及代表药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抗慢性心功能不全药：抗慢性心功能不全药强心苷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药理作用、用途、不良反应和注意事项；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抗慢性心功能不全药：肾素-血管紧张素系统抑制药、利尿药、醛固酮拮抗药、β-肾上腺素受体阻断药的药理作用、用途、不良反应和注意事项；运用药理知识对病人和家属进行宣教。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受体阻断药的药理作用、用途、不良反应和注意事项。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环内酯类抗生素、氨基糖苷类抗生素、四环素类及氯霉素类抗生素、其他类抗生素，化学合成抗菌药、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抗结核病药及抗麻风病药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异烟肼、利福平的作用特点、用途、不良反应。。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1+X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20%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阶段测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val="en-US" w:eastAsia="zh-CN"/>
              </w:rPr>
              <w:t>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 xml:space="preserve">0% 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val="en-US" w:eastAsia="zh-CN"/>
              </w:rPr>
              <w:t>出勤率、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4385" cy="287655"/>
            <wp:effectExtent l="0" t="0" r="5715" b="1714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553720" cy="301625"/>
            <wp:effectExtent l="0" t="0" r="17780" b="3175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2024年3月7日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E9574F3"/>
    <w:rsid w:val="115E01DA"/>
    <w:rsid w:val="14C30A80"/>
    <w:rsid w:val="189B3AC2"/>
    <w:rsid w:val="199D2E85"/>
    <w:rsid w:val="1B9B294B"/>
    <w:rsid w:val="1BA9113A"/>
    <w:rsid w:val="2D630F36"/>
    <w:rsid w:val="2E59298A"/>
    <w:rsid w:val="37BC1633"/>
    <w:rsid w:val="37E50B00"/>
    <w:rsid w:val="3E5D2EBB"/>
    <w:rsid w:val="42D56471"/>
    <w:rsid w:val="45866EBD"/>
    <w:rsid w:val="49DF08B3"/>
    <w:rsid w:val="4A205A52"/>
    <w:rsid w:val="4B55797D"/>
    <w:rsid w:val="505A58A5"/>
    <w:rsid w:val="51FC0D1B"/>
    <w:rsid w:val="639877B1"/>
    <w:rsid w:val="65310993"/>
    <w:rsid w:val="693B7D5A"/>
    <w:rsid w:val="6D973F20"/>
    <w:rsid w:val="6E256335"/>
    <w:rsid w:val="700912C5"/>
    <w:rsid w:val="7174571D"/>
    <w:rsid w:val="744D71C2"/>
    <w:rsid w:val="748F53FE"/>
    <w:rsid w:val="74F62C86"/>
    <w:rsid w:val="7E1D3A7B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原味小芈</cp:lastModifiedBy>
  <cp:lastPrinted>2024-03-03T08:36:00Z</cp:lastPrinted>
  <dcterms:modified xsi:type="dcterms:W3CDTF">2024-03-08T02:09:18Z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23FF980C9BAE48BA8FC704DA236ECE9A_13</vt:lpwstr>
  </property>
</Properties>
</file>