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0D3DD59">
      <w:pPr>
        <w:snapToGrid w:val="0"/>
        <w:jc w:val="center"/>
        <w:rPr>
          <w:sz w:val="6"/>
          <w:szCs w:val="6"/>
        </w:rPr>
      </w:pPr>
    </w:p>
    <w:p w14:paraId="3E592417">
      <w:pPr>
        <w:snapToGrid w:val="0"/>
        <w:jc w:val="center"/>
        <w:rPr>
          <w:rFonts w:ascii="黑体" w:hAnsi="黑体" w:eastAsia="黑体"/>
          <w:sz w:val="32"/>
          <w:szCs w:val="32"/>
        </w:rPr>
      </w:pPr>
      <w:r>
        <w:rPr>
          <w:rFonts w:hint="eastAsia" w:ascii="黑体" w:hAnsi="黑体" w:eastAsia="黑体"/>
          <w:sz w:val="32"/>
          <w:szCs w:val="32"/>
        </w:rPr>
        <w:t>上海建桥学院</w:t>
      </w:r>
    </w:p>
    <w:p w14:paraId="62E7F621">
      <w:pPr>
        <w:snapToGrid w:val="0"/>
        <w:jc w:val="center"/>
        <w:rPr>
          <w:sz w:val="6"/>
          <w:szCs w:val="6"/>
        </w:rPr>
      </w:pPr>
    </w:p>
    <w:p w14:paraId="3F375185">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2E505983">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51"/>
        <w:gridCol w:w="1411"/>
        <w:gridCol w:w="1314"/>
        <w:gridCol w:w="1169"/>
        <w:gridCol w:w="1753"/>
        <w:gridCol w:w="1462"/>
      </w:tblGrid>
      <w:tr w14:paraId="37CF3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350D3C35">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vAlign w:val="center"/>
          </w:tcPr>
          <w:p w14:paraId="42931D66">
            <w:pPr>
              <w:tabs>
                <w:tab w:val="left" w:pos="532"/>
              </w:tabs>
              <w:jc w:val="center"/>
              <w:rPr>
                <w:rFonts w:hint="default" w:ascii="宋体" w:hAnsi="宋体" w:eastAsia="宋体"/>
                <w:sz w:val="21"/>
                <w:szCs w:val="21"/>
                <w:lang w:val="en-US" w:eastAsia="zh-CN"/>
              </w:rPr>
            </w:pPr>
            <w:r>
              <w:rPr>
                <w:rFonts w:hint="eastAsia" w:ascii="宋体" w:hAnsi="宋体" w:eastAsia="宋体"/>
                <w:sz w:val="21"/>
                <w:szCs w:val="21"/>
                <w:lang w:val="en-US" w:eastAsia="zh-CN"/>
              </w:rPr>
              <w:t>社区居家养老服务与管理</w:t>
            </w:r>
          </w:p>
        </w:tc>
      </w:tr>
      <w:tr w14:paraId="51307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5AA3FB0A">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14:paraId="329D0108">
            <w:pPr>
              <w:tabs>
                <w:tab w:val="left" w:pos="532"/>
              </w:tabs>
              <w:jc w:val="center"/>
              <w:rPr>
                <w:rFonts w:hint="default" w:eastAsia="宋体"/>
                <w:sz w:val="21"/>
                <w:szCs w:val="21"/>
                <w:lang w:val="en-US" w:eastAsia="zh-CN"/>
              </w:rPr>
            </w:pPr>
            <w:r>
              <w:rPr>
                <w:rFonts w:hint="eastAsia" w:eastAsia="宋体"/>
                <w:sz w:val="21"/>
                <w:szCs w:val="21"/>
                <w:lang w:val="en-US" w:eastAsia="zh-CN"/>
              </w:rPr>
              <w:t>2170061</w:t>
            </w:r>
          </w:p>
        </w:tc>
        <w:tc>
          <w:tcPr>
            <w:tcW w:w="1314" w:type="dxa"/>
            <w:vAlign w:val="center"/>
          </w:tcPr>
          <w:p w14:paraId="57058304">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6C4F0D40">
            <w:pPr>
              <w:tabs>
                <w:tab w:val="left" w:pos="532"/>
              </w:tabs>
              <w:jc w:val="center"/>
              <w:rPr>
                <w:rFonts w:hint="default" w:eastAsia="宋体"/>
                <w:sz w:val="21"/>
                <w:szCs w:val="21"/>
                <w:lang w:val="en-US" w:eastAsia="zh-CN"/>
              </w:rPr>
            </w:pPr>
            <w:r>
              <w:rPr>
                <w:rFonts w:hint="eastAsia" w:eastAsia="宋体"/>
                <w:sz w:val="21"/>
                <w:szCs w:val="21"/>
                <w:lang w:val="en-US" w:eastAsia="zh-CN"/>
              </w:rPr>
              <w:t>0650</w:t>
            </w:r>
            <w:bookmarkStart w:id="0" w:name="_GoBack"/>
            <w:bookmarkEnd w:id="0"/>
          </w:p>
        </w:tc>
        <w:tc>
          <w:tcPr>
            <w:tcW w:w="1753" w:type="dxa"/>
            <w:vAlign w:val="center"/>
          </w:tcPr>
          <w:p w14:paraId="660A5CAD">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vAlign w:val="center"/>
          </w:tcPr>
          <w:p w14:paraId="056B4FCD">
            <w:pPr>
              <w:tabs>
                <w:tab w:val="left" w:pos="532"/>
              </w:tabs>
              <w:jc w:val="center"/>
              <w:rPr>
                <w:rFonts w:hint="default" w:eastAsia="宋体"/>
                <w:sz w:val="21"/>
                <w:szCs w:val="21"/>
                <w:lang w:val="en-US" w:eastAsia="zh-CN"/>
              </w:rPr>
            </w:pPr>
            <w:r>
              <w:rPr>
                <w:rFonts w:hint="eastAsia" w:eastAsia="宋体"/>
                <w:sz w:val="21"/>
                <w:szCs w:val="21"/>
                <w:lang w:val="en-US" w:eastAsia="zh-CN"/>
              </w:rPr>
              <w:t>2/32</w:t>
            </w:r>
          </w:p>
        </w:tc>
      </w:tr>
      <w:tr w14:paraId="1FCA2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1C9D42B1">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14:paraId="51B55127">
            <w:pPr>
              <w:tabs>
                <w:tab w:val="left" w:pos="532"/>
              </w:tabs>
              <w:jc w:val="center"/>
              <w:rPr>
                <w:rFonts w:hint="default" w:eastAsia="宋体"/>
                <w:sz w:val="21"/>
                <w:szCs w:val="21"/>
                <w:lang w:val="en-US" w:eastAsia="zh-CN"/>
              </w:rPr>
            </w:pPr>
            <w:r>
              <w:rPr>
                <w:rFonts w:hint="eastAsia" w:eastAsia="宋体"/>
                <w:sz w:val="21"/>
                <w:szCs w:val="21"/>
                <w:lang w:val="en-US" w:eastAsia="zh-CN"/>
              </w:rPr>
              <w:t>常振</w:t>
            </w:r>
          </w:p>
        </w:tc>
        <w:tc>
          <w:tcPr>
            <w:tcW w:w="1314" w:type="dxa"/>
            <w:vAlign w:val="center"/>
          </w:tcPr>
          <w:p w14:paraId="7C704194">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004C78FE">
            <w:pPr>
              <w:tabs>
                <w:tab w:val="left" w:pos="532"/>
              </w:tabs>
              <w:jc w:val="center"/>
              <w:rPr>
                <w:rFonts w:hint="default" w:eastAsia="宋体"/>
                <w:sz w:val="21"/>
                <w:szCs w:val="21"/>
                <w:lang w:val="en-US" w:eastAsia="zh-CN"/>
              </w:rPr>
            </w:pPr>
            <w:r>
              <w:rPr>
                <w:rFonts w:hint="eastAsia" w:eastAsia="宋体"/>
                <w:sz w:val="21"/>
                <w:szCs w:val="21"/>
                <w:lang w:val="en-US" w:eastAsia="zh-CN"/>
              </w:rPr>
              <w:t>24413</w:t>
            </w:r>
          </w:p>
        </w:tc>
        <w:tc>
          <w:tcPr>
            <w:tcW w:w="1753" w:type="dxa"/>
            <w:vAlign w:val="center"/>
          </w:tcPr>
          <w:p w14:paraId="7E6E360C">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65578B48">
            <w:pPr>
              <w:tabs>
                <w:tab w:val="left" w:pos="532"/>
              </w:tabs>
              <w:jc w:val="center"/>
              <w:rPr>
                <w:rFonts w:hint="default" w:eastAsia="宋体"/>
                <w:sz w:val="21"/>
                <w:szCs w:val="21"/>
                <w:lang w:val="en-US" w:eastAsia="zh-CN"/>
              </w:rPr>
            </w:pPr>
            <w:r>
              <w:rPr>
                <w:rFonts w:hint="eastAsia" w:eastAsia="宋体"/>
                <w:sz w:val="21"/>
                <w:szCs w:val="21"/>
                <w:lang w:val="en-US" w:eastAsia="zh-CN"/>
              </w:rPr>
              <w:t>专职</w:t>
            </w:r>
          </w:p>
        </w:tc>
      </w:tr>
      <w:tr w14:paraId="6A64C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3288CCCB">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14:paraId="38A86DDF">
            <w:pPr>
              <w:keepNext w:val="0"/>
              <w:keepLines w:val="0"/>
              <w:pageBreakBefore w:val="0"/>
              <w:widowControl w:val="0"/>
              <w:tabs>
                <w:tab w:val="left" w:pos="532"/>
              </w:tabs>
              <w:kinsoku/>
              <w:wordWrap/>
              <w:overflowPunct/>
              <w:topLinePunct w:val="0"/>
              <w:autoSpaceDE/>
              <w:autoSpaceDN/>
              <w:bidi w:val="0"/>
              <w:adjustRightInd/>
              <w:snapToGrid w:val="0"/>
              <w:spacing w:line="240" w:lineRule="auto"/>
              <w:jc w:val="center"/>
              <w:textAlignment w:val="auto"/>
              <w:rPr>
                <w:rFonts w:hint="default" w:eastAsia="宋体"/>
                <w:sz w:val="21"/>
                <w:szCs w:val="21"/>
                <w:lang w:val="en-US" w:eastAsia="zh-CN"/>
              </w:rPr>
            </w:pPr>
            <w:r>
              <w:rPr>
                <w:rFonts w:hint="eastAsia" w:eastAsia="宋体"/>
                <w:sz w:val="18"/>
                <w:szCs w:val="18"/>
                <w:lang w:val="en-US" w:eastAsia="zh-CN"/>
              </w:rPr>
              <w:t>养老服务B22-1</w:t>
            </w:r>
          </w:p>
        </w:tc>
        <w:tc>
          <w:tcPr>
            <w:tcW w:w="1314" w:type="dxa"/>
            <w:vAlign w:val="center"/>
          </w:tcPr>
          <w:p w14:paraId="25747C01">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6927CCC2">
            <w:pPr>
              <w:tabs>
                <w:tab w:val="left" w:pos="532"/>
              </w:tabs>
              <w:jc w:val="center"/>
              <w:rPr>
                <w:rFonts w:hint="default" w:eastAsia="宋体"/>
                <w:sz w:val="21"/>
                <w:szCs w:val="21"/>
                <w:lang w:val="en-US" w:eastAsia="zh-CN"/>
              </w:rPr>
            </w:pPr>
            <w:r>
              <w:rPr>
                <w:rFonts w:hint="eastAsia" w:eastAsia="宋体"/>
                <w:sz w:val="21"/>
                <w:szCs w:val="21"/>
                <w:lang w:val="en-US" w:eastAsia="zh-CN"/>
              </w:rPr>
              <w:t>20</w:t>
            </w:r>
          </w:p>
        </w:tc>
        <w:tc>
          <w:tcPr>
            <w:tcW w:w="1753" w:type="dxa"/>
            <w:vAlign w:val="center"/>
          </w:tcPr>
          <w:p w14:paraId="0B2407F5">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vAlign w:val="center"/>
          </w:tcPr>
          <w:p w14:paraId="078AFD53">
            <w:pPr>
              <w:tabs>
                <w:tab w:val="left" w:pos="532"/>
              </w:tabs>
              <w:jc w:val="center"/>
              <w:rPr>
                <w:rFonts w:hint="default" w:eastAsia="宋体"/>
                <w:sz w:val="21"/>
                <w:szCs w:val="21"/>
                <w:lang w:val="en-US" w:eastAsia="zh-CN"/>
              </w:rPr>
            </w:pPr>
            <w:r>
              <w:rPr>
                <w:rFonts w:hint="eastAsia" w:eastAsia="宋体"/>
                <w:sz w:val="21"/>
                <w:szCs w:val="21"/>
                <w:lang w:val="en-US" w:eastAsia="zh-CN"/>
              </w:rPr>
              <w:t>一教212</w:t>
            </w:r>
          </w:p>
        </w:tc>
      </w:tr>
      <w:tr w14:paraId="7BAA4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2DC992F9">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109" w:type="dxa"/>
            <w:gridSpan w:val="5"/>
            <w:vAlign w:val="center"/>
          </w:tcPr>
          <w:p w14:paraId="59BEBE92">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每周二下午12:45-14:30</w:t>
            </w:r>
          </w:p>
        </w:tc>
      </w:tr>
      <w:tr w14:paraId="60A69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13634986">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vAlign w:val="center"/>
          </w:tcPr>
          <w:p w14:paraId="15986948">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p>
        </w:tc>
      </w:tr>
      <w:tr w14:paraId="65077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257EE348">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vAlign w:val="center"/>
          </w:tcPr>
          <w:p w14:paraId="0D218EF2">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陈娜主编. 居家社区养老服务管理. 人民卫生出版社, 2024.</w:t>
            </w:r>
          </w:p>
        </w:tc>
      </w:tr>
      <w:tr w14:paraId="2B96B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vAlign w:val="center"/>
          </w:tcPr>
          <w:p w14:paraId="169DEC6B">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vAlign w:val="center"/>
          </w:tcPr>
          <w:p w14:paraId="2E4E5A39">
            <w:pPr>
              <w:snapToGrid w:val="0"/>
              <w:spacing w:line="288" w:lineRule="auto"/>
              <w:rPr>
                <w:color w:val="000000"/>
                <w:sz w:val="20"/>
                <w:szCs w:val="20"/>
              </w:rPr>
            </w:pPr>
            <w:r>
              <w:rPr>
                <w:rFonts w:hint="eastAsia"/>
                <w:color w:val="000000"/>
                <w:sz w:val="20"/>
                <w:szCs w:val="20"/>
              </w:rPr>
              <w:t>韩振秋、郭小迅主编.社区居家养老服务手册.化学工业出版社</w:t>
            </w:r>
          </w:p>
          <w:p w14:paraId="1E2E12CE">
            <w:pPr>
              <w:tabs>
                <w:tab w:val="left" w:pos="532"/>
              </w:tabs>
              <w:rPr>
                <w:rFonts w:hint="default" w:ascii="宋体" w:hAnsi="宋体" w:eastAsia="宋体"/>
                <w:sz w:val="21"/>
                <w:szCs w:val="21"/>
                <w:lang w:val="en-US" w:eastAsia="zh-CN"/>
              </w:rPr>
            </w:pPr>
            <w:r>
              <w:rPr>
                <w:rFonts w:hint="eastAsia" w:ascii="宋体" w:hAnsi="宋体" w:eastAsia="宋体"/>
                <w:sz w:val="21"/>
                <w:szCs w:val="21"/>
                <w:lang w:val="en-US" w:eastAsia="zh-CN"/>
              </w:rPr>
              <w:t>李小鹰、何仲.社区养老服务指导.人民卫生出版社</w:t>
            </w:r>
          </w:p>
        </w:tc>
      </w:tr>
    </w:tbl>
    <w:p w14:paraId="2793E90B">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5000" w:type="pct"/>
        <w:jc w:val="center"/>
        <w:tblLayout w:type="fixed"/>
        <w:tblCellMar>
          <w:top w:w="57" w:type="dxa"/>
          <w:left w:w="108" w:type="dxa"/>
          <w:bottom w:w="57" w:type="dxa"/>
          <w:right w:w="108" w:type="dxa"/>
        </w:tblCellMar>
      </w:tblPr>
      <w:tblGrid>
        <w:gridCol w:w="910"/>
        <w:gridCol w:w="687"/>
        <w:gridCol w:w="4181"/>
        <w:gridCol w:w="1701"/>
        <w:gridCol w:w="1581"/>
      </w:tblGrid>
      <w:tr w14:paraId="54889B5E">
        <w:tblPrEx>
          <w:tblCellMar>
            <w:top w:w="57" w:type="dxa"/>
            <w:left w:w="108" w:type="dxa"/>
            <w:bottom w:w="57" w:type="dxa"/>
            <w:right w:w="108" w:type="dxa"/>
          </w:tblCellMar>
        </w:tblPrEx>
        <w:trPr>
          <w:trHeight w:val="528"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255E09">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687" w:type="dxa"/>
            <w:tcBorders>
              <w:top w:val="single" w:color="000000" w:sz="8" w:space="0"/>
              <w:left w:val="single" w:color="000000" w:sz="8" w:space="0"/>
              <w:bottom w:val="single" w:color="000000" w:sz="8" w:space="0"/>
              <w:right w:val="single" w:color="000000" w:sz="8" w:space="0"/>
            </w:tcBorders>
            <w:vAlign w:val="center"/>
          </w:tcPr>
          <w:p w14:paraId="35AC06E3">
            <w:pPr>
              <w:widowControl/>
              <w:spacing w:line="240" w:lineRule="exact"/>
              <w:jc w:val="center"/>
              <w:rPr>
                <w:rFonts w:hint="default" w:ascii="黑体" w:hAnsi="黑体" w:eastAsia="黑体"/>
                <w:kern w:val="0"/>
                <w:sz w:val="21"/>
                <w:szCs w:val="21"/>
                <w:lang w:val="en-US" w:eastAsia="zh-CN"/>
              </w:rPr>
            </w:pPr>
            <w:r>
              <w:rPr>
                <w:rFonts w:hint="eastAsia" w:ascii="黑体" w:hAnsi="黑体" w:eastAsia="黑体"/>
                <w:kern w:val="0"/>
                <w:sz w:val="21"/>
                <w:szCs w:val="21"/>
                <w:lang w:val="en-US" w:eastAsia="zh-CN"/>
              </w:rPr>
              <w:t>课时</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90EDFAD">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E151E5F">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61EE64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课后作业安排</w:t>
            </w:r>
          </w:p>
        </w:tc>
      </w:tr>
      <w:tr w14:paraId="2E9F63D3">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18E9E66">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1次</w:t>
            </w:r>
          </w:p>
        </w:tc>
        <w:tc>
          <w:tcPr>
            <w:tcW w:w="687" w:type="dxa"/>
            <w:tcBorders>
              <w:top w:val="single" w:color="000000" w:sz="8" w:space="0"/>
              <w:left w:val="single" w:color="000000" w:sz="8" w:space="0"/>
              <w:bottom w:val="single" w:color="000000" w:sz="8" w:space="0"/>
              <w:right w:val="single" w:color="000000" w:sz="8" w:space="0"/>
            </w:tcBorders>
            <w:vAlign w:val="center"/>
          </w:tcPr>
          <w:p w14:paraId="4A2217C4">
            <w:pPr>
              <w:snapToGrid w:val="0"/>
              <w:spacing w:line="288" w:lineRule="auto"/>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5B3E1C">
            <w:pPr>
              <w:snapToGrid w:val="0"/>
              <w:spacing w:line="288" w:lineRule="auto"/>
              <w:jc w:val="left"/>
              <w:rPr>
                <w:rFonts w:hint="eastAsia" w:ascii="宋体" w:hAnsi="宋体" w:eastAsia="宋体" w:cs="宋体"/>
                <w:b w:val="0"/>
                <w:bCs w:val="0"/>
                <w:color w:val="000000"/>
                <w:sz w:val="20"/>
                <w:szCs w:val="20"/>
                <w:u w:val="single"/>
                <w:lang w:val="en-US" w:eastAsia="zh-CN"/>
              </w:rPr>
            </w:pPr>
            <w:r>
              <w:rPr>
                <w:rFonts w:hint="eastAsia" w:ascii="宋体" w:hAnsi="宋体" w:eastAsia="宋体" w:cs="宋体"/>
                <w:b w:val="0"/>
                <w:bCs w:val="0"/>
                <w:color w:val="000000"/>
                <w:sz w:val="20"/>
                <w:szCs w:val="20"/>
                <w:u w:val="single"/>
                <w:lang w:val="en-US" w:eastAsia="zh-CN"/>
              </w:rPr>
              <w:t>居家社区养老服务概述（2）</w:t>
            </w:r>
          </w:p>
          <w:p w14:paraId="4714EB36">
            <w:pPr>
              <w:snapToGrid w:val="0"/>
              <w:spacing w:line="288" w:lineRule="auto"/>
              <w:jc w:val="left"/>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主要内容：居家社区养老服务的概念和内涵，明确居家社区养老服务的主体和客体；居家社区养老服务模式与其他模式的区别，居家社区养老服务方式和运行机制；居家社区养老服务的发展背景与现实意义，居家社区养老服务的优势和挑战；重和关爱老年人，在居家社区养老服务管理中理解和实践社会主义核心价值观。</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0D1C22F5">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教授、讨论</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0514AB79">
            <w:pPr>
              <w:widowControl/>
              <w:jc w:val="left"/>
              <w:rPr>
                <w:rFonts w:hint="default" w:ascii="宋体" w:hAnsi="宋体" w:eastAsia="宋体" w:cs="宋体"/>
                <w:kern w:val="0"/>
                <w:sz w:val="20"/>
                <w:szCs w:val="20"/>
                <w:lang w:val="en-US" w:eastAsia="zh-CN" w:bidi="ar-SA"/>
              </w:rPr>
            </w:pPr>
            <w:r>
              <w:rPr>
                <w:rFonts w:hint="default" w:ascii="宋体" w:hAnsi="宋体" w:eastAsia="宋体" w:cs="宋体"/>
                <w:kern w:val="0"/>
                <w:sz w:val="20"/>
                <w:szCs w:val="20"/>
                <w:lang w:val="en-US" w:eastAsia="zh-CN" w:bidi="ar-SA"/>
              </w:rPr>
              <w:t>如何评价四川省宜宾市珙县的“四方合约”机制？该合约中涉及了哪些养老服务主体？</w:t>
            </w:r>
            <w:r>
              <w:rPr>
                <w:rFonts w:hint="eastAsia" w:ascii="宋体" w:hAnsi="宋体" w:eastAsia="宋体" w:cs="宋体"/>
                <w:kern w:val="0"/>
                <w:sz w:val="20"/>
                <w:szCs w:val="20"/>
                <w:lang w:val="en-US" w:eastAsia="zh-CN" w:bidi="ar-SA"/>
              </w:rPr>
              <w:t>课堂讨论，形成小组报告。</w:t>
            </w:r>
          </w:p>
        </w:tc>
      </w:tr>
      <w:tr w14:paraId="434DB0C1">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55EBEA5">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2次</w:t>
            </w:r>
          </w:p>
        </w:tc>
        <w:tc>
          <w:tcPr>
            <w:tcW w:w="687" w:type="dxa"/>
            <w:tcBorders>
              <w:top w:val="single" w:color="000000" w:sz="8" w:space="0"/>
              <w:left w:val="single" w:color="000000" w:sz="8" w:space="0"/>
              <w:bottom w:val="single" w:color="000000" w:sz="8" w:space="0"/>
              <w:right w:val="single" w:color="000000" w:sz="8" w:space="0"/>
            </w:tcBorders>
            <w:vAlign w:val="center"/>
          </w:tcPr>
          <w:p w14:paraId="25AAEEA5">
            <w:pPr>
              <w:snapToGrid w:val="0"/>
              <w:spacing w:line="288" w:lineRule="auto"/>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7F2852D9">
            <w:pPr>
              <w:snapToGrid w:val="0"/>
              <w:spacing w:line="288" w:lineRule="auto"/>
              <w:jc w:val="left"/>
              <w:rPr>
                <w:rFonts w:hint="eastAsia" w:ascii="宋体" w:hAnsi="宋体" w:eastAsia="宋体" w:cs="宋体"/>
                <w:b w:val="0"/>
                <w:bCs w:val="0"/>
                <w:color w:val="000000"/>
                <w:sz w:val="20"/>
                <w:szCs w:val="20"/>
                <w:u w:val="single"/>
                <w:lang w:val="en-US" w:eastAsia="zh-CN"/>
              </w:rPr>
            </w:pPr>
            <w:r>
              <w:rPr>
                <w:rFonts w:hint="eastAsia" w:ascii="宋体" w:hAnsi="宋体" w:eastAsia="宋体" w:cs="宋体"/>
                <w:b w:val="0"/>
                <w:bCs w:val="0"/>
                <w:color w:val="000000"/>
                <w:sz w:val="20"/>
                <w:szCs w:val="20"/>
                <w:u w:val="single"/>
                <w:lang w:val="en-US" w:eastAsia="zh-CN"/>
              </w:rPr>
              <w:t>国外居家社区养老服务经验（2）</w:t>
            </w:r>
          </w:p>
          <w:p w14:paraId="22956EDC">
            <w:pPr>
              <w:widowControl w:val="0"/>
              <w:numPr>
                <w:ilvl w:val="0"/>
                <w:numId w:val="0"/>
              </w:numPr>
              <w:snapToGrid w:val="0"/>
              <w:spacing w:line="288" w:lineRule="auto"/>
              <w:ind w:left="0" w:leftChars="0" w:firstLine="0" w:firstLineChars="0"/>
              <w:jc w:val="left"/>
              <w:rPr>
                <w:rFonts w:hint="default" w:ascii="宋体" w:hAnsi="宋体" w:eastAsia="宋体" w:cs="宋体"/>
                <w:b w:val="0"/>
                <w:bCs w:val="0"/>
                <w:color w:val="000000"/>
                <w:sz w:val="20"/>
                <w:szCs w:val="20"/>
                <w:lang w:val="en-US" w:eastAsia="zh-CN"/>
              </w:rPr>
            </w:pPr>
            <w:r>
              <w:rPr>
                <w:rFonts w:hint="eastAsia" w:ascii="宋体" w:hAnsi="宋体" w:eastAsia="宋体" w:cs="宋体"/>
                <w:b w:val="0"/>
                <w:bCs w:val="0"/>
                <w:color w:val="000000"/>
                <w:sz w:val="20"/>
                <w:szCs w:val="20"/>
                <w:lang w:val="en-US" w:eastAsia="zh-CN"/>
              </w:rPr>
              <w:t>主要内容：国外居家社区养老服务的服务模式、服务内容、运行机制和经费来源；国外居家社区养老案例，辩证分析我国居家社区养老服务的未来发展和可借鉴的方向；国外居家社区养老体系的建设背景，以及在不同国情下的发展历程；尊老敬老，在建立和完善居家社区养老服务体系时坚持以人为本的理念。</w:t>
            </w:r>
          </w:p>
        </w:tc>
        <w:tc>
          <w:tcPr>
            <w:tcW w:w="170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top"/>
          </w:tcPr>
          <w:p w14:paraId="77B144B6">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教授、实践</w:t>
            </w:r>
          </w:p>
        </w:tc>
        <w:tc>
          <w:tcPr>
            <w:tcW w:w="1581"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14:paraId="2966EEA1">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日本、英国、美国、新加坡四国居家养老有什么共同之处和不同之处？课堂讨论，形成小组报告。</w:t>
            </w:r>
          </w:p>
          <w:p w14:paraId="6A93C258">
            <w:pPr>
              <w:widowControl/>
              <w:jc w:val="left"/>
              <w:rPr>
                <w:rFonts w:hint="eastAsia" w:ascii="宋体" w:hAnsi="宋体" w:eastAsia="宋体" w:cs="宋体"/>
                <w:kern w:val="0"/>
                <w:sz w:val="20"/>
                <w:szCs w:val="20"/>
                <w:lang w:val="en-US" w:eastAsia="zh-CN" w:bidi="ar-SA"/>
              </w:rPr>
            </w:pPr>
          </w:p>
        </w:tc>
      </w:tr>
      <w:tr w14:paraId="37E7230D">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A69BE5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3次</w:t>
            </w:r>
          </w:p>
        </w:tc>
        <w:tc>
          <w:tcPr>
            <w:tcW w:w="687" w:type="dxa"/>
            <w:tcBorders>
              <w:top w:val="single" w:color="000000" w:sz="8" w:space="0"/>
              <w:left w:val="single" w:color="000000" w:sz="8" w:space="0"/>
              <w:bottom w:val="single" w:color="000000" w:sz="8" w:space="0"/>
              <w:right w:val="single" w:color="000000" w:sz="8" w:space="0"/>
            </w:tcBorders>
            <w:vAlign w:val="center"/>
          </w:tcPr>
          <w:p w14:paraId="3FF2CC9E">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FF3EA75">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中国居家社区养老服务发展（2）</w:t>
            </w:r>
          </w:p>
          <w:p w14:paraId="3AF4912A">
            <w:pPr>
              <w:keepNext w:val="0"/>
              <w:keepLines w:val="0"/>
              <w:widowControl/>
              <w:numPr>
                <w:ilvl w:val="0"/>
                <w:numId w:val="0"/>
              </w:numPr>
              <w:suppressLineNumbers w:val="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主要内容：中国居家社区养老服务发展的进程和政策演变；我国各个时期养老服务政策的要点和核心；各地居家社区养老的经验模式；养老服务专业的基本要求，培养主动投身于养老服务业的基本素养；投身于养老服务业的基本素养。</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26723749">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教授、讨论</w:t>
            </w:r>
          </w:p>
          <w:p w14:paraId="49EA4E9F">
            <w:pPr>
              <w:widowControl/>
              <w:jc w:val="left"/>
              <w:rPr>
                <w:rFonts w:hint="default" w:ascii="宋体" w:hAnsi="宋体" w:eastAsia="宋体" w:cs="宋体"/>
                <w:kern w:val="0"/>
                <w:sz w:val="20"/>
                <w:szCs w:val="20"/>
                <w:lang w:val="en-US" w:eastAsia="zh-CN"/>
              </w:rPr>
            </w:pP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20015B46">
            <w:pPr>
              <w:widowControl/>
              <w:jc w:val="left"/>
              <w:rPr>
                <w:rFonts w:hint="default" w:ascii="宋体" w:hAnsi="宋体" w:eastAsia="宋体" w:cs="宋体"/>
                <w:kern w:val="0"/>
                <w:sz w:val="20"/>
                <w:szCs w:val="20"/>
                <w:lang w:val="en-US" w:eastAsia="zh-CN" w:bidi="ar-SA"/>
              </w:rPr>
            </w:pPr>
          </w:p>
        </w:tc>
      </w:tr>
      <w:tr w14:paraId="4052DB37">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9712CE">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4次</w:t>
            </w:r>
          </w:p>
        </w:tc>
        <w:tc>
          <w:tcPr>
            <w:tcW w:w="687" w:type="dxa"/>
            <w:tcBorders>
              <w:top w:val="single" w:color="000000" w:sz="8" w:space="0"/>
              <w:left w:val="single" w:color="000000" w:sz="8" w:space="0"/>
              <w:bottom w:val="single" w:color="000000" w:sz="8" w:space="0"/>
              <w:right w:val="single" w:color="000000" w:sz="8" w:space="0"/>
            </w:tcBorders>
            <w:vAlign w:val="center"/>
          </w:tcPr>
          <w:p w14:paraId="05666DEA">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98E51B9">
            <w:pPr>
              <w:keepNext w:val="0"/>
              <w:keepLines w:val="0"/>
              <w:widowControl/>
              <w:suppressLineNumbers w:val="0"/>
              <w:jc w:val="left"/>
              <w:rPr>
                <w:rFonts w:hint="eastAsia" w:ascii="宋体" w:hAnsi="宋体" w:eastAsia="宋体" w:cs="宋体"/>
                <w:sz w:val="20"/>
                <w:szCs w:val="20"/>
                <w:u w:val="single"/>
                <w:lang w:val="en-US" w:eastAsia="zh-CN"/>
              </w:rPr>
            </w:pPr>
            <w:r>
              <w:rPr>
                <w:rFonts w:hint="eastAsia" w:ascii="宋体" w:hAnsi="宋体" w:eastAsia="宋体" w:cs="宋体"/>
                <w:sz w:val="20"/>
                <w:szCs w:val="20"/>
                <w:u w:val="single"/>
                <w:lang w:val="en-US" w:eastAsia="zh-CN"/>
              </w:rPr>
              <w:t>居家社区养老服务建设规划（2）</w:t>
            </w:r>
          </w:p>
          <w:p w14:paraId="09C1BBD8">
            <w:pPr>
              <w:widowControl w:val="0"/>
              <w:numPr>
                <w:ilvl w:val="0"/>
                <w:numId w:val="0"/>
              </w:numPr>
              <w:snapToGrid w:val="0"/>
              <w:spacing w:line="288" w:lineRule="auto"/>
              <w:jc w:val="left"/>
              <w:rPr>
                <w:rFonts w:hint="default" w:ascii="宋体" w:hAnsi="宋体" w:cs="宋体"/>
                <w:b w:val="0"/>
                <w:bCs w:val="0"/>
                <w:color w:val="000000"/>
                <w:sz w:val="21"/>
                <w:szCs w:val="21"/>
                <w:highlight w:val="none"/>
                <w:lang w:val="en-US" w:eastAsia="zh-CN"/>
              </w:rPr>
            </w:pPr>
            <w:r>
              <w:rPr>
                <w:rFonts w:hint="eastAsia" w:ascii="宋体" w:hAnsi="宋体" w:eastAsia="宋体" w:cs="宋体"/>
                <w:b w:val="0"/>
                <w:bCs w:val="0"/>
                <w:color w:val="000000"/>
                <w:sz w:val="20"/>
                <w:szCs w:val="20"/>
                <w:highlight w:val="none"/>
                <w:lang w:val="en-US" w:eastAsia="zh-CN"/>
              </w:rPr>
              <w:t>主要内容：居家居家社区养老服务设施的选址、整体布局规划、影响因素及常见问题；居家社区养老服务设施的分类，养老服务设施生活圈分层；居家社区养老服务的常见硬件及软件设施；智慧居家社区养老服务管理模式；居家社区养老服务建设的重要法律法规、政策文件及标准规范，居家社区养老服务配套建设发展概况；居家社区养老服务设施的空间布局及制定社区闲置资源的利用计划；合理合法的养老服务意识和与时俱进的养老服务能力。</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391B25FD">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教授、案例讲解</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125A08F1">
            <w:pPr>
              <w:widowControl/>
              <w:jc w:val="left"/>
              <w:rPr>
                <w:rFonts w:hint="eastAsia" w:ascii="宋体" w:hAnsi="宋体" w:eastAsia="宋体" w:cs="宋体"/>
                <w:kern w:val="0"/>
                <w:sz w:val="20"/>
                <w:szCs w:val="20"/>
                <w:lang w:val="en-US" w:eastAsia="zh-CN" w:bidi="ar-SA"/>
              </w:rPr>
            </w:pPr>
          </w:p>
        </w:tc>
      </w:tr>
      <w:tr w14:paraId="56AD32F2">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447D003">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5-6次</w:t>
            </w:r>
          </w:p>
        </w:tc>
        <w:tc>
          <w:tcPr>
            <w:tcW w:w="687" w:type="dxa"/>
            <w:tcBorders>
              <w:top w:val="single" w:color="000000" w:sz="8" w:space="0"/>
              <w:left w:val="single" w:color="000000" w:sz="8" w:space="0"/>
              <w:bottom w:val="single" w:color="000000" w:sz="8" w:space="0"/>
              <w:right w:val="single" w:color="000000" w:sz="8" w:space="0"/>
            </w:tcBorders>
            <w:vAlign w:val="center"/>
          </w:tcPr>
          <w:p w14:paraId="31FBE5FE">
            <w:pPr>
              <w:keepNext w:val="0"/>
              <w:keepLines w:val="0"/>
              <w:widowControl/>
              <w:suppressLineNumbers w:val="0"/>
              <w:jc w:val="left"/>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7B7E56C">
            <w:pPr>
              <w:keepNext w:val="0"/>
              <w:keepLines w:val="0"/>
              <w:widowControl/>
              <w:suppressLineNumbers w:val="0"/>
              <w:jc w:val="left"/>
              <w:rPr>
                <w:rFonts w:hint="default" w:ascii="宋体" w:hAnsi="宋体" w:eastAsia="宋体" w:cs="宋体"/>
                <w:sz w:val="20"/>
                <w:szCs w:val="20"/>
                <w:u w:val="single"/>
                <w:lang w:val="en-US" w:eastAsia="zh-CN"/>
              </w:rPr>
            </w:pPr>
            <w:r>
              <w:rPr>
                <w:rFonts w:hint="eastAsia" w:ascii="宋体" w:hAnsi="宋体" w:eastAsia="宋体" w:cs="宋体"/>
                <w:sz w:val="20"/>
                <w:szCs w:val="20"/>
                <w:u w:val="single"/>
                <w:lang w:val="en-US" w:eastAsia="zh-CN"/>
              </w:rPr>
              <w:t>居家社区养老服务内容（4）</w:t>
            </w:r>
          </w:p>
          <w:p w14:paraId="21218D5B">
            <w:pPr>
              <w:keepNext w:val="0"/>
              <w:keepLines w:val="0"/>
              <w:widowControl/>
              <w:suppressLineNumbers w:val="0"/>
              <w:jc w:val="left"/>
              <w:rPr>
                <w:rFonts w:hint="default" w:ascii="宋体" w:hAnsi="宋体" w:eastAsia="宋体" w:cs="宋体"/>
                <w:sz w:val="20"/>
                <w:szCs w:val="20"/>
                <w:u w:val="single"/>
                <w:lang w:val="en-US" w:eastAsia="zh-CN"/>
              </w:rPr>
            </w:pPr>
            <w:r>
              <w:rPr>
                <w:rFonts w:hint="eastAsia" w:ascii="宋体" w:hAnsi="宋体" w:cs="宋体"/>
                <w:b w:val="0"/>
                <w:bCs w:val="0"/>
                <w:color w:val="000000"/>
                <w:sz w:val="21"/>
                <w:szCs w:val="21"/>
                <w:highlight w:val="none"/>
                <w:lang w:val="en-US" w:eastAsia="zh-CN"/>
              </w:rPr>
              <w:t>主要内容：居家社区养老服务的基本内容；居家社区养老服务内容的基本要求和注意事项；居家社区养老服务内容的分类；把握居家社区养老服务内容未来的发展趋势；尊重生命、关爱生命的价值理念。</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1A060FCF">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教授、实践、案例分析</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3304337C">
            <w:pPr>
              <w:widowControl/>
              <w:jc w:val="left"/>
              <w:rPr>
                <w:rFonts w:hint="eastAsia" w:ascii="宋体" w:hAnsi="宋体" w:eastAsia="宋体" w:cs="宋体"/>
                <w:kern w:val="0"/>
                <w:sz w:val="20"/>
                <w:szCs w:val="20"/>
                <w:lang w:val="en-US" w:eastAsia="zh-CN" w:bidi="ar-SA"/>
              </w:rPr>
            </w:pPr>
          </w:p>
        </w:tc>
      </w:tr>
      <w:tr w14:paraId="1DC9AD86">
        <w:tblPrEx>
          <w:tblCellMar>
            <w:top w:w="57" w:type="dxa"/>
            <w:left w:w="108" w:type="dxa"/>
            <w:bottom w:w="57" w:type="dxa"/>
            <w:right w:w="108" w:type="dxa"/>
          </w:tblCellMar>
        </w:tblPrEx>
        <w:trPr>
          <w:trHeight w:val="2655"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28198ED">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7-8次</w:t>
            </w:r>
          </w:p>
        </w:tc>
        <w:tc>
          <w:tcPr>
            <w:tcW w:w="687" w:type="dxa"/>
            <w:tcBorders>
              <w:top w:val="single" w:color="000000" w:sz="8" w:space="0"/>
              <w:left w:val="single" w:color="000000" w:sz="8" w:space="0"/>
              <w:bottom w:val="single" w:color="000000" w:sz="8" w:space="0"/>
              <w:right w:val="single" w:color="000000" w:sz="8" w:space="0"/>
            </w:tcBorders>
            <w:vAlign w:val="center"/>
          </w:tcPr>
          <w:p w14:paraId="6E3749BF">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88B34E9">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居家社区养老服务环境（4）</w:t>
            </w:r>
          </w:p>
          <w:p w14:paraId="7600A5DB">
            <w:pPr>
              <w:widowControl w:val="0"/>
              <w:numPr>
                <w:ilvl w:val="0"/>
                <w:numId w:val="0"/>
              </w:numPr>
              <w:snapToGrid w:val="0"/>
              <w:spacing w:line="288" w:lineRule="auto"/>
              <w:jc w:val="left"/>
              <w:rPr>
                <w:rFonts w:hint="default" w:ascii="宋体" w:hAnsi="宋体" w:eastAsia="宋体" w:cs="宋体"/>
                <w:color w:val="000000"/>
                <w:kern w:val="0"/>
                <w:sz w:val="20"/>
                <w:szCs w:val="20"/>
                <w:u w:val="single"/>
                <w:lang w:val="en-US" w:eastAsia="zh-CN" w:bidi="ar"/>
              </w:rPr>
            </w:pPr>
            <w:r>
              <w:rPr>
                <w:rFonts w:hint="eastAsia" w:cs="宋体"/>
                <w:b w:val="0"/>
                <w:bCs w:val="0"/>
                <w:color w:val="000000"/>
                <w:sz w:val="21"/>
                <w:szCs w:val="21"/>
                <w:lang w:val="en-US" w:eastAsia="zh-CN"/>
              </w:rPr>
              <w:t>主要内容：家庭养老照护床位建设和服务内容；家庭适老化改造的内容；老龄友好社区的建设；制定家庭养老照护床位建设方案，管理家庭养老照护床位服务模式的运行，并为老龄友好社区的建设提出优化策略；尊老、爱老、孝老意识，增强职业自信。</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4AD61CC8">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教授、实践、讨论</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247EEFDC">
            <w:pPr>
              <w:widowControl/>
              <w:jc w:val="left"/>
              <w:rPr>
                <w:rFonts w:hint="default" w:ascii="宋体" w:hAnsi="宋体" w:eastAsia="宋体" w:cs="宋体"/>
                <w:kern w:val="0"/>
                <w:sz w:val="20"/>
                <w:szCs w:val="20"/>
                <w:lang w:val="en-US" w:eastAsia="zh-CN" w:bidi="ar-SA"/>
              </w:rPr>
            </w:pPr>
          </w:p>
        </w:tc>
      </w:tr>
      <w:tr w14:paraId="0DA9057B">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6B64D9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9次</w:t>
            </w:r>
          </w:p>
        </w:tc>
        <w:tc>
          <w:tcPr>
            <w:tcW w:w="687" w:type="dxa"/>
            <w:tcBorders>
              <w:top w:val="single" w:color="000000" w:sz="8" w:space="0"/>
              <w:left w:val="single" w:color="000000" w:sz="8" w:space="0"/>
              <w:bottom w:val="single" w:color="000000" w:sz="8" w:space="0"/>
              <w:right w:val="single" w:color="000000" w:sz="8" w:space="0"/>
            </w:tcBorders>
            <w:vAlign w:val="center"/>
          </w:tcPr>
          <w:p w14:paraId="3A5BF845">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267D2A0">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居家社区养老服务管理人员（2）</w:t>
            </w:r>
          </w:p>
          <w:p w14:paraId="1C7B8B33">
            <w:pPr>
              <w:widowControl w:val="0"/>
              <w:numPr>
                <w:ilvl w:val="0"/>
                <w:numId w:val="0"/>
              </w:numPr>
              <w:snapToGrid w:val="0"/>
              <w:spacing w:line="288" w:lineRule="auto"/>
              <w:jc w:val="left"/>
              <w:rPr>
                <w:rFonts w:hint="default" w:ascii="宋体" w:hAnsi="宋体" w:eastAsia="宋体" w:cs="宋体"/>
                <w:color w:val="000000"/>
                <w:kern w:val="0"/>
                <w:sz w:val="20"/>
                <w:szCs w:val="20"/>
                <w:lang w:val="en-US" w:eastAsia="zh-CN" w:bidi="ar"/>
              </w:rPr>
            </w:pPr>
            <w:r>
              <w:rPr>
                <w:rFonts w:hint="eastAsia" w:ascii="宋体" w:hAnsi="宋体" w:cs="宋体"/>
                <w:b w:val="0"/>
                <w:bCs w:val="0"/>
                <w:color w:val="000000"/>
                <w:sz w:val="21"/>
                <w:szCs w:val="21"/>
                <w:highlight w:val="none"/>
                <w:lang w:val="en-US" w:eastAsia="zh-CN"/>
              </w:rPr>
              <w:t>主要内容：居家社区养老服务机构中服务人员常见的服务知识和技能；居家社区养老服务人员吸引和甄选的措施、人员留用和激励的作用和方式；我国居家社区养老服务人员培训的系列要求与人才培养的现实困境；居家社区养老服务人员的应聘要求；运用人员吸引和甄选、留用和激励的理论知识解决实际问题；居家社区养老服务基本职业素养。</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20585732">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教授、讨论</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773CAEF4">
            <w:pPr>
              <w:widowControl/>
              <w:jc w:val="left"/>
              <w:rPr>
                <w:rFonts w:hint="default" w:ascii="宋体" w:hAnsi="宋体" w:eastAsia="宋体" w:cs="宋体"/>
                <w:kern w:val="0"/>
                <w:sz w:val="20"/>
                <w:szCs w:val="20"/>
                <w:lang w:val="en-US" w:eastAsia="zh-CN" w:bidi="ar-SA"/>
              </w:rPr>
            </w:pPr>
          </w:p>
        </w:tc>
      </w:tr>
      <w:tr w14:paraId="60D49417">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3024142">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10次</w:t>
            </w:r>
          </w:p>
        </w:tc>
        <w:tc>
          <w:tcPr>
            <w:tcW w:w="687" w:type="dxa"/>
            <w:tcBorders>
              <w:top w:val="single" w:color="000000" w:sz="8" w:space="0"/>
              <w:left w:val="single" w:color="000000" w:sz="8" w:space="0"/>
              <w:bottom w:val="single" w:color="000000" w:sz="8" w:space="0"/>
              <w:right w:val="single" w:color="000000" w:sz="8" w:space="0"/>
            </w:tcBorders>
            <w:vAlign w:val="center"/>
          </w:tcPr>
          <w:p w14:paraId="11DBC0B0">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4B8E2D">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居家社区养老服务信息管理（2）</w:t>
            </w:r>
          </w:p>
          <w:p w14:paraId="1C1019CF">
            <w:pPr>
              <w:widowControl w:val="0"/>
              <w:numPr>
                <w:ilvl w:val="0"/>
                <w:numId w:val="0"/>
              </w:numPr>
              <w:snapToGrid w:val="0"/>
              <w:spacing w:line="288" w:lineRule="auto"/>
              <w:jc w:val="left"/>
              <w:rPr>
                <w:rFonts w:hint="default"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none"/>
                <w:lang w:val="en-US" w:eastAsia="zh-CN" w:bidi="ar"/>
              </w:rPr>
              <w:t>主要内容：信息管理、居家社区养老服务信息管理、居家社区养老服务信息技术的基本概念；居家社区养老服务的信息技术应用现况；我国居家社区养老服务智慧化困境；尊重、关爱老年人，为老年人提供智慧化养老服务；团队协作和沟通交流能力，勇于创新、不断探索的精神。</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4F64566A">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教授、案例分析</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2972E8E0">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案例分析：诚和敬驿站智慧养老信息服务平台，根据案例形成分析报告。</w:t>
            </w:r>
          </w:p>
          <w:p w14:paraId="13CE733C">
            <w:pPr>
              <w:widowControl/>
              <w:jc w:val="left"/>
              <w:rPr>
                <w:rFonts w:hint="eastAsia" w:ascii="宋体" w:hAnsi="宋体" w:eastAsia="宋体" w:cs="宋体"/>
                <w:kern w:val="0"/>
                <w:sz w:val="20"/>
                <w:szCs w:val="20"/>
                <w:lang w:val="en-US" w:eastAsia="zh-CN" w:bidi="ar-SA"/>
              </w:rPr>
            </w:pPr>
          </w:p>
        </w:tc>
      </w:tr>
      <w:tr w14:paraId="05397670">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C20A4FC">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11次</w:t>
            </w:r>
          </w:p>
        </w:tc>
        <w:tc>
          <w:tcPr>
            <w:tcW w:w="687" w:type="dxa"/>
            <w:tcBorders>
              <w:top w:val="single" w:color="000000" w:sz="8" w:space="0"/>
              <w:left w:val="single" w:color="000000" w:sz="8" w:space="0"/>
              <w:bottom w:val="single" w:color="000000" w:sz="8" w:space="0"/>
              <w:right w:val="single" w:color="000000" w:sz="8" w:space="0"/>
            </w:tcBorders>
            <w:vAlign w:val="center"/>
          </w:tcPr>
          <w:p w14:paraId="30782A48">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ED3642A">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居家社区养老服务质量管理（2）</w:t>
            </w:r>
          </w:p>
          <w:p w14:paraId="2B4A085A">
            <w:pPr>
              <w:widowControl w:val="0"/>
              <w:numPr>
                <w:ilvl w:val="0"/>
                <w:numId w:val="0"/>
              </w:numPr>
              <w:snapToGrid w:val="0"/>
              <w:spacing w:line="288" w:lineRule="auto"/>
              <w:jc w:val="left"/>
              <w:rPr>
                <w:rFonts w:hint="eastAsia"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主要内容：居家社区养老服务质量管理的定义、内容及要素；居家社区养老服务质量管理的评估主体、评估属性、评估内容；居家社区养老服务质量管理的评估方法；居家社区养老服务质量管理意识。</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2330026D">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教授、案例分析</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38CA2463">
            <w:pPr>
              <w:widowControl/>
              <w:jc w:val="left"/>
              <w:rPr>
                <w:rFonts w:hint="eastAsia" w:ascii="宋体" w:hAnsi="宋体" w:eastAsia="宋体" w:cs="宋体"/>
                <w:kern w:val="0"/>
                <w:sz w:val="20"/>
                <w:szCs w:val="20"/>
                <w:lang w:val="en-US" w:eastAsia="zh-CN" w:bidi="ar-SA"/>
              </w:rPr>
            </w:pPr>
          </w:p>
        </w:tc>
      </w:tr>
      <w:tr w14:paraId="5C88B8BF">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34C592C">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12-13次</w:t>
            </w:r>
          </w:p>
        </w:tc>
        <w:tc>
          <w:tcPr>
            <w:tcW w:w="687" w:type="dxa"/>
            <w:tcBorders>
              <w:top w:val="single" w:color="000000" w:sz="8" w:space="0"/>
              <w:left w:val="single" w:color="000000" w:sz="8" w:space="0"/>
              <w:bottom w:val="single" w:color="000000" w:sz="8" w:space="0"/>
              <w:right w:val="single" w:color="000000" w:sz="8" w:space="0"/>
            </w:tcBorders>
            <w:vAlign w:val="center"/>
          </w:tcPr>
          <w:p w14:paraId="51877F35">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4</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F8D41F3">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居家社区养老服务风险管理（4）</w:t>
            </w:r>
          </w:p>
          <w:p w14:paraId="4E7D09BD">
            <w:pPr>
              <w:widowControl w:val="0"/>
              <w:numPr>
                <w:ilvl w:val="0"/>
                <w:numId w:val="0"/>
              </w:numPr>
              <w:snapToGrid w:val="0"/>
              <w:spacing w:line="288" w:lineRule="auto"/>
              <w:jc w:val="left"/>
              <w:rPr>
                <w:rFonts w:hint="eastAsia"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主要内容：居家社区养老服务风险管理的目标和过程；居家社区养老服务提供方面临的风险类别和常见的不良事件；居家社区养老服务风险管理内涵；发现现实中一些养老服务过程中出现风险的规律；风险识别和现状调查的基本能力。</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00D9FB45">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教授、实践、案例分析</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61B80F0F">
            <w:pPr>
              <w:widowControl/>
              <w:jc w:val="left"/>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案例分析：北京社区养老驿站亏损难题，根据案例形成分析报告。</w:t>
            </w:r>
          </w:p>
          <w:p w14:paraId="43A82550">
            <w:pPr>
              <w:widowControl/>
              <w:jc w:val="left"/>
              <w:rPr>
                <w:rFonts w:hint="eastAsia" w:ascii="宋体" w:hAnsi="宋体" w:eastAsia="宋体" w:cs="宋体"/>
                <w:kern w:val="0"/>
                <w:sz w:val="20"/>
                <w:szCs w:val="20"/>
                <w:lang w:val="en-US" w:eastAsia="zh-CN" w:bidi="ar-SA"/>
              </w:rPr>
            </w:pPr>
          </w:p>
        </w:tc>
      </w:tr>
      <w:tr w14:paraId="14CEC44E">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5B83C96">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14-15次</w:t>
            </w:r>
          </w:p>
        </w:tc>
        <w:tc>
          <w:tcPr>
            <w:tcW w:w="687" w:type="dxa"/>
            <w:tcBorders>
              <w:top w:val="single" w:color="000000" w:sz="8" w:space="0"/>
              <w:left w:val="single" w:color="000000" w:sz="8" w:space="0"/>
              <w:bottom w:val="single" w:color="000000" w:sz="8" w:space="0"/>
              <w:right w:val="single" w:color="000000" w:sz="8" w:space="0"/>
            </w:tcBorders>
            <w:vAlign w:val="center"/>
          </w:tcPr>
          <w:p w14:paraId="47DA4169">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4</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FA038A">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居家社区养老服务安全管理（4）</w:t>
            </w:r>
          </w:p>
          <w:p w14:paraId="17F0BD1B">
            <w:pPr>
              <w:widowControl w:val="0"/>
              <w:numPr>
                <w:ilvl w:val="0"/>
                <w:numId w:val="0"/>
              </w:numPr>
              <w:snapToGrid w:val="0"/>
              <w:spacing w:line="288" w:lineRule="auto"/>
              <w:jc w:val="left"/>
              <w:rPr>
                <w:rFonts w:hint="eastAsia"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主要内容：居家社区养老服务安全管理的应急管理流程，明确安全管理事故预防与控制，建构事故应急管理的方案和措施；居家社区养老服务安全管理的相关法规标准；养老服务管理内涵，居家社区养老服务的安全管理现状；使学生深刻体会居家社区养老服务安全管理的措施及对于社会生活的重要意义，加深对居家社区养老服务安全管理的理解；人民至上、生命至上理念。</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7BAD7D2C">
            <w:pPr>
              <w:widowControl/>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教授、实践、案例分析</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15B56527">
            <w:pPr>
              <w:widowControl/>
              <w:jc w:val="left"/>
              <w:rPr>
                <w:rFonts w:hint="eastAsia" w:ascii="宋体" w:hAnsi="宋体" w:eastAsia="宋体" w:cs="宋体"/>
                <w:kern w:val="0"/>
                <w:sz w:val="20"/>
                <w:szCs w:val="20"/>
                <w:lang w:val="en-US" w:eastAsia="zh-CN" w:bidi="ar-SA"/>
              </w:rPr>
            </w:pPr>
          </w:p>
        </w:tc>
      </w:tr>
      <w:tr w14:paraId="64F0D78E">
        <w:tblPrEx>
          <w:tblCellMar>
            <w:top w:w="57" w:type="dxa"/>
            <w:left w:w="108" w:type="dxa"/>
            <w:bottom w:w="57" w:type="dxa"/>
            <w:right w:w="108" w:type="dxa"/>
          </w:tblCellMar>
        </w:tblPrEx>
        <w:trPr>
          <w:trHeight w:val="454" w:hRule="atLeast"/>
          <w:jc w:val="center"/>
        </w:trPr>
        <w:tc>
          <w:tcPr>
            <w:tcW w:w="910"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0D67783">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16次</w:t>
            </w:r>
          </w:p>
        </w:tc>
        <w:tc>
          <w:tcPr>
            <w:tcW w:w="687" w:type="dxa"/>
            <w:tcBorders>
              <w:top w:val="single" w:color="000000" w:sz="8" w:space="0"/>
              <w:left w:val="single" w:color="000000" w:sz="8" w:space="0"/>
              <w:bottom w:val="single" w:color="000000" w:sz="8" w:space="0"/>
              <w:right w:val="single" w:color="000000" w:sz="8" w:space="0"/>
            </w:tcBorders>
            <w:vAlign w:val="center"/>
          </w:tcPr>
          <w:p w14:paraId="453C003F">
            <w:pPr>
              <w:keepNext w:val="0"/>
              <w:keepLines w:val="0"/>
              <w:widowControl/>
              <w:suppressLineNumbers w:val="0"/>
              <w:jc w:val="left"/>
              <w:rPr>
                <w:rFonts w:hint="default" w:ascii="宋体" w:hAnsi="宋体" w:eastAsia="宋体" w:cs="宋体"/>
                <w:b w:val="0"/>
                <w:bCs w:val="0"/>
                <w:color w:val="000000"/>
                <w:kern w:val="2"/>
                <w:sz w:val="20"/>
                <w:szCs w:val="20"/>
                <w:lang w:val="en-US" w:eastAsia="zh-CN" w:bidi="ar-SA"/>
              </w:rPr>
            </w:pPr>
            <w:r>
              <w:rPr>
                <w:rFonts w:hint="eastAsia" w:ascii="宋体" w:hAnsi="宋体" w:eastAsia="宋体" w:cs="宋体"/>
                <w:b w:val="0"/>
                <w:bCs w:val="0"/>
                <w:color w:val="000000"/>
                <w:kern w:val="2"/>
                <w:sz w:val="20"/>
                <w:szCs w:val="20"/>
                <w:lang w:val="en-US" w:eastAsia="zh-CN" w:bidi="ar-SA"/>
              </w:rPr>
              <w:t>2</w:t>
            </w:r>
          </w:p>
        </w:tc>
        <w:tc>
          <w:tcPr>
            <w:tcW w:w="41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4A91659">
            <w:pPr>
              <w:keepNext w:val="0"/>
              <w:keepLines w:val="0"/>
              <w:widowControl/>
              <w:suppressLineNumbers w:val="0"/>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居家社区养老服务创新实践（1）</w:t>
            </w:r>
          </w:p>
          <w:p w14:paraId="26FB6821">
            <w:pPr>
              <w:widowControl w:val="0"/>
              <w:numPr>
                <w:ilvl w:val="0"/>
                <w:numId w:val="0"/>
              </w:numPr>
              <w:snapToGrid w:val="0"/>
              <w:spacing w:line="288" w:lineRule="auto"/>
              <w:jc w:val="left"/>
              <w:rPr>
                <w:rFonts w:hint="eastAsia"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主要内容：“居家社区+”养老服务的基本内涵，明确社区嵌入式养老服务与农村互助养老服务的内涵、发展背景；居家社区安宁疗护的概念；国内社区嵌入式养老模式实例，农村互助养老模式发展历程，居家社区安宁疗护的发展背景；培养学生对老年人的关爱精神，树立社会主义核心价值观；社会责任感，跨学科的综合素质与创新精神。</w:t>
            </w:r>
          </w:p>
          <w:p w14:paraId="562DE1C9">
            <w:pPr>
              <w:widowControl w:val="0"/>
              <w:numPr>
                <w:ilvl w:val="0"/>
                <w:numId w:val="0"/>
              </w:numPr>
              <w:snapToGrid w:val="0"/>
              <w:spacing w:line="288" w:lineRule="auto"/>
              <w:jc w:val="left"/>
              <w:rPr>
                <w:rFonts w:hint="eastAsia" w:ascii="宋体" w:hAnsi="宋体" w:eastAsia="宋体" w:cs="宋体"/>
                <w:color w:val="000000"/>
                <w:kern w:val="0"/>
                <w:sz w:val="20"/>
                <w:szCs w:val="20"/>
                <w:u w:val="single"/>
                <w:lang w:val="en-US" w:eastAsia="zh-CN" w:bidi="ar"/>
              </w:rPr>
            </w:pPr>
            <w:r>
              <w:rPr>
                <w:rFonts w:hint="eastAsia" w:ascii="宋体" w:hAnsi="宋体" w:eastAsia="宋体" w:cs="宋体"/>
                <w:color w:val="000000"/>
                <w:kern w:val="0"/>
                <w:sz w:val="20"/>
                <w:szCs w:val="20"/>
                <w:u w:val="single"/>
                <w:lang w:val="en-US" w:eastAsia="zh-CN" w:bidi="ar"/>
              </w:rPr>
              <w:t>居家社区养老志愿服务创新实践（1）</w:t>
            </w:r>
          </w:p>
          <w:p w14:paraId="27BE4ED4">
            <w:pPr>
              <w:widowControl w:val="0"/>
              <w:numPr>
                <w:ilvl w:val="0"/>
                <w:numId w:val="0"/>
              </w:numPr>
              <w:snapToGrid w:val="0"/>
              <w:spacing w:line="288" w:lineRule="auto"/>
              <w:jc w:val="left"/>
              <w:rPr>
                <w:rFonts w:hint="default" w:ascii="宋体" w:hAnsi="宋体" w:eastAsia="宋体" w:cs="宋体"/>
                <w:color w:val="000000"/>
                <w:kern w:val="0"/>
                <w:sz w:val="20"/>
                <w:szCs w:val="20"/>
                <w:u w:val="none"/>
                <w:lang w:val="en-US" w:eastAsia="zh-CN" w:bidi="ar"/>
              </w:rPr>
            </w:pPr>
            <w:r>
              <w:rPr>
                <w:rFonts w:hint="eastAsia" w:ascii="宋体" w:hAnsi="宋体" w:eastAsia="宋体" w:cs="宋体"/>
                <w:color w:val="000000"/>
                <w:kern w:val="0"/>
                <w:sz w:val="20"/>
                <w:szCs w:val="20"/>
                <w:u w:val="none"/>
                <w:lang w:val="en-US" w:eastAsia="zh-CN" w:bidi="ar"/>
              </w:rPr>
              <w:t>主要内容：志愿服务、养老服务时间互助平台的基本概念；养老服务时间互助平台的特点、功能及应用，明确养老服务时间互助平台服务的主客体；养老服务时间互助平台的运行模式，养老服务时间互助平台与志愿服务的关系；居家社区养老服务的志愿者思维；居家社区养老志愿服务活动的组织与策划。</w:t>
            </w:r>
          </w:p>
        </w:tc>
        <w:tc>
          <w:tcPr>
            <w:tcW w:w="170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50255313">
            <w:pPr>
              <w:widowControl/>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教授、讨论</w:t>
            </w:r>
          </w:p>
        </w:tc>
        <w:tc>
          <w:tcPr>
            <w:tcW w:w="1581"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top"/>
          </w:tcPr>
          <w:p w14:paraId="2222B982">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t>案例分析：山东省临沂市沂水县：加强志愿服务，打造农村互助养老新模式，根据案例形成分析报告。</w:t>
            </w:r>
          </w:p>
          <w:p w14:paraId="66279363">
            <w:pPr>
              <w:widowControl/>
              <w:jc w:val="left"/>
              <w:rPr>
                <w:rFonts w:hint="eastAsia" w:ascii="宋体" w:hAnsi="宋体" w:eastAsia="宋体" w:cs="宋体"/>
                <w:kern w:val="0"/>
                <w:sz w:val="20"/>
                <w:szCs w:val="20"/>
                <w:lang w:val="en-US" w:eastAsia="zh-CN" w:bidi="ar-SA"/>
              </w:rPr>
            </w:pPr>
          </w:p>
        </w:tc>
      </w:tr>
    </w:tbl>
    <w:p w14:paraId="5B4D7A6D">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1107"/>
        <w:gridCol w:w="2935"/>
        <w:gridCol w:w="525"/>
        <w:gridCol w:w="525"/>
        <w:gridCol w:w="525"/>
        <w:gridCol w:w="525"/>
        <w:gridCol w:w="525"/>
        <w:gridCol w:w="529"/>
        <w:gridCol w:w="884"/>
      </w:tblGrid>
      <w:tr w14:paraId="49E6B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restart"/>
            <w:tcBorders>
              <w:top w:val="single" w:color="auto" w:sz="4" w:space="0"/>
              <w:left w:val="single" w:color="auto" w:sz="4" w:space="0"/>
            </w:tcBorders>
            <w:vAlign w:val="center"/>
          </w:tcPr>
          <w:p w14:paraId="19D681CA">
            <w:pPr>
              <w:jc w:val="center"/>
              <w:rPr>
                <w:rFonts w:hint="eastAsia" w:ascii="宋体" w:hAnsi="宋体" w:eastAsia="宋体" w:cs="宋体"/>
                <w:sz w:val="24"/>
                <w:szCs w:val="24"/>
              </w:rPr>
            </w:pPr>
            <w:r>
              <w:rPr>
                <w:rFonts w:hint="eastAsia" w:ascii="宋体" w:hAnsi="宋体" w:eastAsia="宋体" w:cs="宋体"/>
                <w:sz w:val="24"/>
                <w:szCs w:val="24"/>
              </w:rPr>
              <w:t>总评构成</w:t>
            </w:r>
          </w:p>
        </w:tc>
        <w:tc>
          <w:tcPr>
            <w:tcW w:w="1107" w:type="dxa"/>
            <w:vMerge w:val="restart"/>
            <w:tcBorders>
              <w:top w:val="single" w:color="auto" w:sz="4" w:space="0"/>
              <w:right w:val="double" w:color="auto" w:sz="4" w:space="0"/>
            </w:tcBorders>
            <w:vAlign w:val="center"/>
          </w:tcPr>
          <w:p w14:paraId="5658B9F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占比</w:t>
            </w:r>
          </w:p>
        </w:tc>
        <w:tc>
          <w:tcPr>
            <w:tcW w:w="2935" w:type="dxa"/>
            <w:vMerge w:val="restart"/>
            <w:tcBorders>
              <w:top w:val="single" w:color="auto" w:sz="4" w:space="0"/>
              <w:right w:val="double" w:color="auto" w:sz="4" w:space="0"/>
            </w:tcBorders>
            <w:vAlign w:val="center"/>
          </w:tcPr>
          <w:p w14:paraId="3F336A42">
            <w:pPr>
              <w:jc w:val="center"/>
              <w:rPr>
                <w:rFonts w:hint="eastAsia" w:ascii="宋体" w:hAnsi="宋体" w:eastAsia="宋体" w:cs="宋体"/>
                <w:sz w:val="24"/>
                <w:szCs w:val="24"/>
              </w:rPr>
            </w:pPr>
            <w:r>
              <w:rPr>
                <w:rFonts w:hint="eastAsia" w:ascii="宋体" w:hAnsi="宋体" w:eastAsia="宋体" w:cs="宋体"/>
                <w:sz w:val="24"/>
                <w:szCs w:val="24"/>
              </w:rPr>
              <w:t>考核方式</w:t>
            </w:r>
          </w:p>
        </w:tc>
        <w:tc>
          <w:tcPr>
            <w:tcW w:w="3154" w:type="dxa"/>
            <w:gridSpan w:val="6"/>
            <w:tcBorders>
              <w:top w:val="single" w:color="auto" w:sz="4" w:space="0"/>
              <w:left w:val="double" w:color="auto" w:sz="4" w:space="0"/>
            </w:tcBorders>
            <w:vAlign w:val="center"/>
          </w:tcPr>
          <w:p w14:paraId="055383F4">
            <w:pPr>
              <w:jc w:val="center"/>
              <w:rPr>
                <w:rFonts w:hint="eastAsia" w:ascii="宋体" w:hAnsi="宋体" w:eastAsia="宋体" w:cs="宋体"/>
                <w:sz w:val="24"/>
                <w:szCs w:val="24"/>
              </w:rPr>
            </w:pPr>
            <w:r>
              <w:rPr>
                <w:rFonts w:hint="eastAsia" w:ascii="宋体" w:hAnsi="宋体" w:eastAsia="宋体" w:cs="宋体"/>
                <w:sz w:val="24"/>
                <w:szCs w:val="24"/>
              </w:rPr>
              <w:t>课程目标</w:t>
            </w:r>
          </w:p>
        </w:tc>
        <w:tc>
          <w:tcPr>
            <w:tcW w:w="884" w:type="dxa"/>
            <w:vMerge w:val="restart"/>
            <w:tcBorders>
              <w:top w:val="single" w:color="auto" w:sz="4" w:space="0"/>
              <w:right w:val="single" w:color="auto" w:sz="4" w:space="0"/>
            </w:tcBorders>
            <w:vAlign w:val="center"/>
          </w:tcPr>
          <w:p w14:paraId="6A94A376">
            <w:pPr>
              <w:jc w:val="center"/>
              <w:rPr>
                <w:rFonts w:hint="eastAsia" w:ascii="宋体" w:hAnsi="宋体" w:eastAsia="宋体" w:cs="宋体"/>
                <w:sz w:val="24"/>
                <w:szCs w:val="24"/>
              </w:rPr>
            </w:pPr>
            <w:r>
              <w:rPr>
                <w:rFonts w:hint="eastAsia" w:ascii="宋体" w:hAnsi="宋体" w:eastAsia="宋体" w:cs="宋体"/>
                <w:sz w:val="24"/>
                <w:szCs w:val="24"/>
              </w:rPr>
              <w:t>合计</w:t>
            </w:r>
          </w:p>
        </w:tc>
      </w:tr>
      <w:tr w14:paraId="58EB5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vMerge w:val="continue"/>
            <w:tcBorders>
              <w:left w:val="single" w:color="auto" w:sz="4" w:space="0"/>
            </w:tcBorders>
            <w:vAlign w:val="center"/>
          </w:tcPr>
          <w:p w14:paraId="1553F0BC">
            <w:pPr>
              <w:jc w:val="center"/>
              <w:rPr>
                <w:rFonts w:hint="eastAsia" w:ascii="宋体" w:hAnsi="宋体" w:eastAsia="宋体" w:cs="宋体"/>
                <w:sz w:val="24"/>
                <w:szCs w:val="24"/>
              </w:rPr>
            </w:pPr>
          </w:p>
        </w:tc>
        <w:tc>
          <w:tcPr>
            <w:tcW w:w="1107" w:type="dxa"/>
            <w:vMerge w:val="continue"/>
            <w:tcBorders>
              <w:right w:val="double" w:color="auto" w:sz="4" w:space="0"/>
            </w:tcBorders>
            <w:vAlign w:val="center"/>
          </w:tcPr>
          <w:p w14:paraId="660CBBF9">
            <w:pPr>
              <w:jc w:val="center"/>
              <w:rPr>
                <w:rFonts w:hint="eastAsia" w:ascii="宋体" w:hAnsi="宋体" w:eastAsia="宋体" w:cs="宋体"/>
                <w:sz w:val="24"/>
                <w:szCs w:val="24"/>
              </w:rPr>
            </w:pPr>
          </w:p>
        </w:tc>
        <w:tc>
          <w:tcPr>
            <w:tcW w:w="2935" w:type="dxa"/>
            <w:vMerge w:val="continue"/>
            <w:tcBorders>
              <w:right w:val="double" w:color="auto" w:sz="4" w:space="0"/>
            </w:tcBorders>
            <w:vAlign w:val="center"/>
          </w:tcPr>
          <w:p w14:paraId="757B8F96">
            <w:pPr>
              <w:jc w:val="center"/>
              <w:rPr>
                <w:rFonts w:hint="eastAsia" w:ascii="宋体" w:hAnsi="宋体" w:eastAsia="宋体" w:cs="宋体"/>
                <w:sz w:val="24"/>
                <w:szCs w:val="24"/>
              </w:rPr>
            </w:pPr>
          </w:p>
        </w:tc>
        <w:tc>
          <w:tcPr>
            <w:tcW w:w="525" w:type="dxa"/>
            <w:tcBorders>
              <w:left w:val="double" w:color="auto" w:sz="4" w:space="0"/>
            </w:tcBorders>
            <w:vAlign w:val="center"/>
          </w:tcPr>
          <w:p w14:paraId="19C1CDE1">
            <w:pPr>
              <w:jc w:val="center"/>
              <w:rPr>
                <w:rFonts w:hint="eastAsia" w:ascii="宋体" w:hAnsi="宋体" w:eastAsia="宋体" w:cs="宋体"/>
                <w:sz w:val="24"/>
                <w:szCs w:val="24"/>
              </w:rPr>
            </w:pPr>
            <w:r>
              <w:rPr>
                <w:rFonts w:hint="eastAsia" w:ascii="宋体" w:hAnsi="宋体" w:eastAsia="宋体" w:cs="宋体"/>
                <w:sz w:val="24"/>
                <w:szCs w:val="24"/>
              </w:rPr>
              <w:t>1</w:t>
            </w:r>
          </w:p>
        </w:tc>
        <w:tc>
          <w:tcPr>
            <w:tcW w:w="525" w:type="dxa"/>
            <w:vAlign w:val="center"/>
          </w:tcPr>
          <w:p w14:paraId="2D55DFF5">
            <w:pPr>
              <w:jc w:val="center"/>
              <w:rPr>
                <w:rFonts w:hint="eastAsia" w:ascii="宋体" w:hAnsi="宋体" w:eastAsia="宋体" w:cs="宋体"/>
                <w:sz w:val="24"/>
                <w:szCs w:val="24"/>
              </w:rPr>
            </w:pPr>
            <w:r>
              <w:rPr>
                <w:rFonts w:hint="eastAsia" w:ascii="宋体" w:hAnsi="宋体" w:eastAsia="宋体" w:cs="宋体"/>
                <w:sz w:val="24"/>
                <w:szCs w:val="24"/>
              </w:rPr>
              <w:t>2</w:t>
            </w:r>
          </w:p>
        </w:tc>
        <w:tc>
          <w:tcPr>
            <w:tcW w:w="525" w:type="dxa"/>
            <w:vAlign w:val="center"/>
          </w:tcPr>
          <w:p w14:paraId="0E21D787">
            <w:pPr>
              <w:jc w:val="center"/>
              <w:rPr>
                <w:rFonts w:hint="eastAsia" w:ascii="宋体" w:hAnsi="宋体" w:eastAsia="宋体" w:cs="宋体"/>
                <w:sz w:val="24"/>
                <w:szCs w:val="24"/>
              </w:rPr>
            </w:pPr>
            <w:r>
              <w:rPr>
                <w:rFonts w:hint="eastAsia" w:ascii="宋体" w:hAnsi="宋体" w:eastAsia="宋体" w:cs="宋体"/>
                <w:sz w:val="24"/>
                <w:szCs w:val="24"/>
              </w:rPr>
              <w:t>3</w:t>
            </w:r>
          </w:p>
        </w:tc>
        <w:tc>
          <w:tcPr>
            <w:tcW w:w="525" w:type="dxa"/>
            <w:vAlign w:val="center"/>
          </w:tcPr>
          <w:p w14:paraId="3731A955">
            <w:pPr>
              <w:jc w:val="center"/>
              <w:rPr>
                <w:rFonts w:hint="eastAsia" w:ascii="宋体" w:hAnsi="宋体" w:eastAsia="宋体" w:cs="宋体"/>
                <w:sz w:val="24"/>
                <w:szCs w:val="24"/>
              </w:rPr>
            </w:pPr>
            <w:r>
              <w:rPr>
                <w:rFonts w:hint="eastAsia" w:ascii="宋体" w:hAnsi="宋体" w:eastAsia="宋体" w:cs="宋体"/>
                <w:sz w:val="24"/>
                <w:szCs w:val="24"/>
              </w:rPr>
              <w:t>4</w:t>
            </w:r>
          </w:p>
        </w:tc>
        <w:tc>
          <w:tcPr>
            <w:tcW w:w="525" w:type="dxa"/>
            <w:vAlign w:val="center"/>
          </w:tcPr>
          <w:p w14:paraId="37E55CF3">
            <w:pPr>
              <w:jc w:val="center"/>
              <w:rPr>
                <w:rFonts w:hint="eastAsia" w:ascii="宋体" w:hAnsi="宋体" w:eastAsia="宋体" w:cs="宋体"/>
                <w:sz w:val="24"/>
                <w:szCs w:val="24"/>
              </w:rPr>
            </w:pPr>
            <w:r>
              <w:rPr>
                <w:rFonts w:hint="eastAsia" w:ascii="宋体" w:hAnsi="宋体" w:eastAsia="宋体" w:cs="宋体"/>
                <w:sz w:val="24"/>
                <w:szCs w:val="24"/>
              </w:rPr>
              <w:t>5</w:t>
            </w:r>
          </w:p>
        </w:tc>
        <w:tc>
          <w:tcPr>
            <w:tcW w:w="529" w:type="dxa"/>
            <w:vAlign w:val="center"/>
          </w:tcPr>
          <w:p w14:paraId="1B01F0C2">
            <w:pPr>
              <w:jc w:val="center"/>
              <w:rPr>
                <w:rFonts w:hint="eastAsia" w:ascii="宋体" w:hAnsi="宋体" w:eastAsia="宋体" w:cs="宋体"/>
                <w:sz w:val="24"/>
                <w:szCs w:val="24"/>
              </w:rPr>
            </w:pPr>
            <w:r>
              <w:rPr>
                <w:rFonts w:hint="eastAsia" w:ascii="宋体" w:hAnsi="宋体" w:eastAsia="宋体" w:cs="宋体"/>
                <w:sz w:val="24"/>
                <w:szCs w:val="24"/>
              </w:rPr>
              <w:t>6</w:t>
            </w:r>
          </w:p>
        </w:tc>
        <w:tc>
          <w:tcPr>
            <w:tcW w:w="884" w:type="dxa"/>
            <w:vMerge w:val="continue"/>
            <w:tcBorders>
              <w:right w:val="single" w:color="auto" w:sz="4" w:space="0"/>
            </w:tcBorders>
            <w:vAlign w:val="center"/>
          </w:tcPr>
          <w:p w14:paraId="4A6BEC5C">
            <w:pPr>
              <w:jc w:val="center"/>
              <w:rPr>
                <w:rFonts w:hint="eastAsia" w:ascii="宋体" w:hAnsi="宋体" w:eastAsia="宋体" w:cs="宋体"/>
                <w:sz w:val="24"/>
                <w:szCs w:val="24"/>
              </w:rPr>
            </w:pPr>
          </w:p>
        </w:tc>
      </w:tr>
      <w:tr w14:paraId="73300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left w:val="single" w:color="auto" w:sz="4" w:space="0"/>
            </w:tcBorders>
            <w:vAlign w:val="center"/>
          </w:tcPr>
          <w:p w14:paraId="41167EC8">
            <w:pPr>
              <w:jc w:val="center"/>
              <w:rPr>
                <w:rFonts w:hint="eastAsia" w:ascii="宋体" w:hAnsi="宋体" w:eastAsia="宋体" w:cs="宋体"/>
                <w:sz w:val="24"/>
                <w:szCs w:val="24"/>
              </w:rPr>
            </w:pPr>
            <w:r>
              <w:rPr>
                <w:rFonts w:hint="eastAsia" w:ascii="宋体" w:hAnsi="宋体" w:eastAsia="宋体" w:cs="宋体"/>
                <w:sz w:val="24"/>
                <w:szCs w:val="24"/>
              </w:rPr>
              <w:t>1</w:t>
            </w:r>
          </w:p>
        </w:tc>
        <w:tc>
          <w:tcPr>
            <w:tcW w:w="1107" w:type="dxa"/>
            <w:tcBorders>
              <w:right w:val="double" w:color="auto" w:sz="4" w:space="0"/>
            </w:tcBorders>
            <w:shd w:val="clear" w:color="auto" w:fill="auto"/>
            <w:vAlign w:val="center"/>
          </w:tcPr>
          <w:p w14:paraId="5A42C26E">
            <w:pPr>
              <w:pStyle w:val="12"/>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50</w:t>
            </w:r>
          </w:p>
        </w:tc>
        <w:tc>
          <w:tcPr>
            <w:tcW w:w="2935" w:type="dxa"/>
            <w:tcBorders>
              <w:right w:val="double" w:color="auto" w:sz="4" w:space="0"/>
            </w:tcBorders>
            <w:vAlign w:val="center"/>
          </w:tcPr>
          <w:p w14:paraId="0554F13D">
            <w:pPr>
              <w:jc w:val="center"/>
              <w:rPr>
                <w:rFonts w:hint="eastAsia" w:ascii="宋体" w:hAnsi="宋体" w:eastAsia="宋体" w:cs="宋体"/>
                <w:sz w:val="24"/>
                <w:szCs w:val="24"/>
              </w:rPr>
            </w:pPr>
            <w:r>
              <w:rPr>
                <w:rFonts w:hint="eastAsia" w:ascii="宋体" w:hAnsi="宋体" w:eastAsia="宋体" w:cs="宋体"/>
                <w:sz w:val="24"/>
                <w:szCs w:val="24"/>
              </w:rPr>
              <w:t>笔试</w:t>
            </w:r>
          </w:p>
        </w:tc>
        <w:tc>
          <w:tcPr>
            <w:tcW w:w="525" w:type="dxa"/>
            <w:tcBorders>
              <w:left w:val="double" w:color="auto" w:sz="4" w:space="0"/>
            </w:tcBorders>
            <w:vAlign w:val="center"/>
          </w:tcPr>
          <w:p w14:paraId="5E115EC8">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6448B7F9">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25E23B30">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153FFC0A">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6DBD5760">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29" w:type="dxa"/>
            <w:vAlign w:val="center"/>
          </w:tcPr>
          <w:p w14:paraId="20C0E6A9">
            <w:pPr>
              <w:jc w:val="center"/>
              <w:rPr>
                <w:rFonts w:hint="eastAsia" w:ascii="宋体" w:hAnsi="宋体" w:eastAsia="宋体" w:cs="宋体"/>
                <w:sz w:val="24"/>
                <w:szCs w:val="24"/>
              </w:rPr>
            </w:pPr>
            <w:r>
              <w:rPr>
                <w:rFonts w:hint="eastAsia" w:ascii="宋体" w:hAnsi="宋体" w:eastAsia="宋体" w:cs="宋体"/>
                <w:sz w:val="24"/>
                <w:szCs w:val="24"/>
              </w:rPr>
              <w:t>10</w:t>
            </w:r>
          </w:p>
        </w:tc>
        <w:tc>
          <w:tcPr>
            <w:tcW w:w="884" w:type="dxa"/>
            <w:tcBorders>
              <w:right w:val="single" w:color="auto" w:sz="4" w:space="0"/>
            </w:tcBorders>
            <w:vAlign w:val="center"/>
          </w:tcPr>
          <w:p w14:paraId="130D109D">
            <w:pPr>
              <w:jc w:val="center"/>
              <w:rPr>
                <w:rFonts w:hint="eastAsia" w:ascii="宋体" w:hAnsi="宋体" w:eastAsia="宋体" w:cs="宋体"/>
                <w:sz w:val="24"/>
                <w:szCs w:val="24"/>
              </w:rPr>
            </w:pPr>
            <w:r>
              <w:rPr>
                <w:rFonts w:hint="eastAsia" w:ascii="宋体" w:hAnsi="宋体" w:eastAsia="宋体" w:cs="宋体"/>
                <w:sz w:val="24"/>
                <w:szCs w:val="24"/>
              </w:rPr>
              <w:t>100</w:t>
            </w:r>
          </w:p>
        </w:tc>
      </w:tr>
      <w:tr w14:paraId="7592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left w:val="single" w:color="auto" w:sz="4" w:space="0"/>
            </w:tcBorders>
            <w:vAlign w:val="center"/>
          </w:tcPr>
          <w:p w14:paraId="45872997">
            <w:pPr>
              <w:jc w:val="center"/>
              <w:rPr>
                <w:rFonts w:hint="eastAsia" w:ascii="宋体" w:hAnsi="宋体" w:eastAsia="宋体" w:cs="宋体"/>
                <w:sz w:val="24"/>
                <w:szCs w:val="24"/>
              </w:rPr>
            </w:pPr>
            <w:r>
              <w:rPr>
                <w:rFonts w:hint="eastAsia" w:ascii="宋体" w:hAnsi="宋体" w:eastAsia="宋体" w:cs="宋体"/>
                <w:sz w:val="24"/>
                <w:szCs w:val="24"/>
              </w:rPr>
              <w:t>X1</w:t>
            </w:r>
          </w:p>
        </w:tc>
        <w:tc>
          <w:tcPr>
            <w:tcW w:w="1107" w:type="dxa"/>
            <w:tcBorders>
              <w:right w:val="double" w:color="auto" w:sz="4" w:space="0"/>
            </w:tcBorders>
            <w:shd w:val="clear" w:color="auto" w:fill="auto"/>
            <w:vAlign w:val="center"/>
          </w:tcPr>
          <w:p w14:paraId="54EAFF03">
            <w:pPr>
              <w:pStyle w:val="12"/>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20</w:t>
            </w:r>
          </w:p>
        </w:tc>
        <w:tc>
          <w:tcPr>
            <w:tcW w:w="2935" w:type="dxa"/>
            <w:tcBorders>
              <w:right w:val="double" w:color="auto" w:sz="4" w:space="0"/>
            </w:tcBorders>
            <w:vAlign w:val="center"/>
          </w:tcPr>
          <w:p w14:paraId="5215D428">
            <w:pPr>
              <w:jc w:val="center"/>
              <w:rPr>
                <w:rFonts w:hint="eastAsia" w:ascii="宋体" w:hAnsi="宋体" w:eastAsia="宋体" w:cs="宋体"/>
                <w:sz w:val="24"/>
                <w:szCs w:val="24"/>
              </w:rPr>
            </w:pPr>
            <w:r>
              <w:rPr>
                <w:rFonts w:hint="eastAsia" w:ascii="宋体" w:hAnsi="宋体" w:eastAsia="宋体" w:cs="宋体"/>
                <w:sz w:val="24"/>
                <w:szCs w:val="24"/>
              </w:rPr>
              <w:t>课堂作业</w:t>
            </w:r>
          </w:p>
        </w:tc>
        <w:tc>
          <w:tcPr>
            <w:tcW w:w="525" w:type="dxa"/>
            <w:tcBorders>
              <w:left w:val="double" w:color="auto" w:sz="4" w:space="0"/>
            </w:tcBorders>
            <w:vAlign w:val="center"/>
          </w:tcPr>
          <w:p w14:paraId="2FC8EFF7">
            <w:pPr>
              <w:jc w:val="center"/>
              <w:rPr>
                <w:rFonts w:hint="eastAsia" w:ascii="宋体" w:hAnsi="宋体" w:eastAsia="宋体" w:cs="宋体"/>
                <w:sz w:val="24"/>
                <w:szCs w:val="24"/>
              </w:rPr>
            </w:pPr>
            <w:r>
              <w:rPr>
                <w:rFonts w:hint="eastAsia" w:ascii="宋体" w:hAnsi="宋体" w:eastAsia="宋体" w:cs="宋体"/>
                <w:sz w:val="24"/>
                <w:szCs w:val="24"/>
              </w:rPr>
              <w:t>30</w:t>
            </w:r>
          </w:p>
        </w:tc>
        <w:tc>
          <w:tcPr>
            <w:tcW w:w="525" w:type="dxa"/>
            <w:vAlign w:val="center"/>
          </w:tcPr>
          <w:p w14:paraId="02645397">
            <w:pPr>
              <w:jc w:val="center"/>
              <w:rPr>
                <w:rFonts w:hint="eastAsia" w:ascii="宋体" w:hAnsi="宋体" w:eastAsia="宋体" w:cs="宋体"/>
                <w:sz w:val="24"/>
                <w:szCs w:val="24"/>
              </w:rPr>
            </w:pPr>
            <w:r>
              <w:rPr>
                <w:rFonts w:hint="eastAsia" w:ascii="宋体" w:hAnsi="宋体" w:eastAsia="宋体" w:cs="宋体"/>
                <w:sz w:val="24"/>
                <w:szCs w:val="24"/>
              </w:rPr>
              <w:t>30</w:t>
            </w:r>
          </w:p>
        </w:tc>
        <w:tc>
          <w:tcPr>
            <w:tcW w:w="525" w:type="dxa"/>
            <w:vAlign w:val="center"/>
          </w:tcPr>
          <w:p w14:paraId="75C9AA70">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25" w:type="dxa"/>
            <w:vAlign w:val="center"/>
          </w:tcPr>
          <w:p w14:paraId="7DD67499">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25" w:type="dxa"/>
            <w:vAlign w:val="center"/>
          </w:tcPr>
          <w:p w14:paraId="0E8CABA9">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29" w:type="dxa"/>
            <w:vAlign w:val="center"/>
          </w:tcPr>
          <w:p w14:paraId="0033465A">
            <w:pPr>
              <w:jc w:val="center"/>
              <w:rPr>
                <w:rFonts w:hint="eastAsia" w:ascii="宋体" w:hAnsi="宋体" w:eastAsia="宋体" w:cs="宋体"/>
                <w:sz w:val="24"/>
                <w:szCs w:val="24"/>
              </w:rPr>
            </w:pPr>
            <w:r>
              <w:rPr>
                <w:rFonts w:hint="eastAsia" w:ascii="宋体" w:hAnsi="宋体" w:eastAsia="宋体" w:cs="宋体"/>
                <w:sz w:val="24"/>
                <w:szCs w:val="24"/>
              </w:rPr>
              <w:t>10</w:t>
            </w:r>
          </w:p>
        </w:tc>
        <w:tc>
          <w:tcPr>
            <w:tcW w:w="884" w:type="dxa"/>
            <w:tcBorders>
              <w:right w:val="single" w:color="auto" w:sz="4" w:space="0"/>
            </w:tcBorders>
            <w:vAlign w:val="center"/>
          </w:tcPr>
          <w:p w14:paraId="4D3A1382">
            <w:pPr>
              <w:jc w:val="center"/>
              <w:rPr>
                <w:rFonts w:hint="eastAsia" w:ascii="宋体" w:hAnsi="宋体" w:eastAsia="宋体" w:cs="宋体"/>
                <w:sz w:val="24"/>
                <w:szCs w:val="24"/>
              </w:rPr>
            </w:pPr>
            <w:r>
              <w:rPr>
                <w:rFonts w:hint="eastAsia" w:ascii="宋体" w:hAnsi="宋体" w:eastAsia="宋体" w:cs="宋体"/>
                <w:sz w:val="24"/>
                <w:szCs w:val="24"/>
              </w:rPr>
              <w:t>100</w:t>
            </w:r>
          </w:p>
        </w:tc>
      </w:tr>
      <w:tr w14:paraId="62B00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left w:val="single" w:color="auto" w:sz="4" w:space="0"/>
            </w:tcBorders>
            <w:vAlign w:val="center"/>
          </w:tcPr>
          <w:p w14:paraId="60B0E46C">
            <w:pPr>
              <w:jc w:val="center"/>
              <w:rPr>
                <w:rFonts w:hint="eastAsia" w:ascii="宋体" w:hAnsi="宋体" w:eastAsia="宋体" w:cs="宋体"/>
                <w:sz w:val="24"/>
                <w:szCs w:val="24"/>
              </w:rPr>
            </w:pPr>
            <w:r>
              <w:rPr>
                <w:rFonts w:hint="eastAsia" w:ascii="宋体" w:hAnsi="宋体" w:eastAsia="宋体" w:cs="宋体"/>
                <w:sz w:val="24"/>
                <w:szCs w:val="24"/>
              </w:rPr>
              <w:t>X2</w:t>
            </w:r>
          </w:p>
        </w:tc>
        <w:tc>
          <w:tcPr>
            <w:tcW w:w="1107" w:type="dxa"/>
            <w:tcBorders>
              <w:right w:val="double" w:color="auto" w:sz="4" w:space="0"/>
            </w:tcBorders>
            <w:shd w:val="clear" w:color="auto" w:fill="auto"/>
            <w:vAlign w:val="center"/>
          </w:tcPr>
          <w:p w14:paraId="27A2557C">
            <w:pPr>
              <w:pStyle w:val="12"/>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20</w:t>
            </w:r>
          </w:p>
        </w:tc>
        <w:tc>
          <w:tcPr>
            <w:tcW w:w="2935" w:type="dxa"/>
            <w:tcBorders>
              <w:right w:val="double" w:color="auto" w:sz="4" w:space="0"/>
            </w:tcBorders>
            <w:vAlign w:val="center"/>
          </w:tcPr>
          <w:p w14:paraId="257C8522">
            <w:pPr>
              <w:jc w:val="center"/>
              <w:rPr>
                <w:rFonts w:hint="eastAsia" w:ascii="宋体" w:hAnsi="宋体" w:eastAsia="宋体" w:cs="宋体"/>
                <w:sz w:val="24"/>
                <w:szCs w:val="24"/>
              </w:rPr>
            </w:pPr>
            <w:r>
              <w:rPr>
                <w:rFonts w:hint="eastAsia" w:ascii="宋体" w:hAnsi="宋体" w:eastAsia="宋体" w:cs="宋体"/>
                <w:sz w:val="24"/>
                <w:szCs w:val="24"/>
              </w:rPr>
              <w:t>平时成绩</w:t>
            </w:r>
          </w:p>
        </w:tc>
        <w:tc>
          <w:tcPr>
            <w:tcW w:w="525" w:type="dxa"/>
            <w:tcBorders>
              <w:left w:val="double" w:color="auto" w:sz="4" w:space="0"/>
            </w:tcBorders>
            <w:vAlign w:val="center"/>
          </w:tcPr>
          <w:p w14:paraId="7B82CD91">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73EDF305">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23C77578">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309B4E6D">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6DC902FD">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29" w:type="dxa"/>
            <w:vAlign w:val="center"/>
          </w:tcPr>
          <w:p w14:paraId="356AC71B">
            <w:pPr>
              <w:jc w:val="center"/>
              <w:rPr>
                <w:rFonts w:hint="eastAsia" w:ascii="宋体" w:hAnsi="宋体" w:eastAsia="宋体" w:cs="宋体"/>
                <w:sz w:val="24"/>
                <w:szCs w:val="24"/>
              </w:rPr>
            </w:pPr>
            <w:r>
              <w:rPr>
                <w:rFonts w:hint="eastAsia" w:ascii="宋体" w:hAnsi="宋体" w:eastAsia="宋体" w:cs="宋体"/>
                <w:sz w:val="24"/>
                <w:szCs w:val="24"/>
              </w:rPr>
              <w:t>10</w:t>
            </w:r>
          </w:p>
        </w:tc>
        <w:tc>
          <w:tcPr>
            <w:tcW w:w="884" w:type="dxa"/>
            <w:tcBorders>
              <w:right w:val="single" w:color="auto" w:sz="4" w:space="0"/>
            </w:tcBorders>
            <w:vAlign w:val="center"/>
          </w:tcPr>
          <w:p w14:paraId="371C5BA0">
            <w:pPr>
              <w:jc w:val="center"/>
              <w:rPr>
                <w:rFonts w:hint="eastAsia" w:ascii="宋体" w:hAnsi="宋体" w:eastAsia="宋体" w:cs="宋体"/>
                <w:sz w:val="24"/>
                <w:szCs w:val="24"/>
              </w:rPr>
            </w:pPr>
            <w:r>
              <w:rPr>
                <w:rFonts w:hint="eastAsia" w:ascii="宋体" w:hAnsi="宋体" w:eastAsia="宋体" w:cs="宋体"/>
                <w:sz w:val="24"/>
                <w:szCs w:val="24"/>
              </w:rPr>
              <w:t>100</w:t>
            </w:r>
          </w:p>
        </w:tc>
      </w:tr>
      <w:tr w14:paraId="74C27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18" w:type="dxa"/>
            <w:tcBorders>
              <w:left w:val="single" w:color="auto" w:sz="4" w:space="0"/>
            </w:tcBorders>
            <w:vAlign w:val="center"/>
          </w:tcPr>
          <w:p w14:paraId="445C3E80">
            <w:pPr>
              <w:jc w:val="center"/>
              <w:rPr>
                <w:rFonts w:hint="eastAsia" w:ascii="宋体" w:hAnsi="宋体" w:eastAsia="宋体" w:cs="宋体"/>
                <w:sz w:val="24"/>
                <w:szCs w:val="24"/>
              </w:rPr>
            </w:pPr>
            <w:r>
              <w:rPr>
                <w:rFonts w:hint="eastAsia" w:ascii="宋体" w:hAnsi="宋体" w:eastAsia="宋体" w:cs="宋体"/>
                <w:sz w:val="24"/>
                <w:szCs w:val="24"/>
              </w:rPr>
              <w:t>X3</w:t>
            </w:r>
          </w:p>
        </w:tc>
        <w:tc>
          <w:tcPr>
            <w:tcW w:w="1107" w:type="dxa"/>
            <w:tcBorders>
              <w:right w:val="double" w:color="auto" w:sz="4" w:space="0"/>
            </w:tcBorders>
            <w:shd w:val="clear" w:color="auto" w:fill="auto"/>
            <w:vAlign w:val="center"/>
          </w:tcPr>
          <w:p w14:paraId="2A8CD3D5">
            <w:pPr>
              <w:pStyle w:val="12"/>
              <w:rPr>
                <w:rFonts w:hint="eastAsia" w:ascii="宋体" w:hAnsi="宋体" w:eastAsia="宋体" w:cs="宋体"/>
                <w:color w:val="000000"/>
                <w:kern w:val="2"/>
                <w:sz w:val="24"/>
                <w:szCs w:val="24"/>
                <w:lang w:val="en-US" w:eastAsia="zh-CN" w:bidi="ar-SA"/>
              </w:rPr>
            </w:pPr>
            <w:r>
              <w:rPr>
                <w:rFonts w:hint="eastAsia" w:ascii="宋体" w:hAnsi="宋体" w:eastAsia="宋体" w:cs="宋体"/>
                <w:sz w:val="24"/>
                <w:szCs w:val="24"/>
              </w:rPr>
              <w:t>10</w:t>
            </w:r>
          </w:p>
        </w:tc>
        <w:tc>
          <w:tcPr>
            <w:tcW w:w="2935" w:type="dxa"/>
            <w:tcBorders>
              <w:right w:val="double" w:color="auto" w:sz="4" w:space="0"/>
            </w:tcBorders>
            <w:vAlign w:val="center"/>
          </w:tcPr>
          <w:p w14:paraId="5B56B366">
            <w:pPr>
              <w:jc w:val="center"/>
              <w:rPr>
                <w:rFonts w:hint="eastAsia" w:ascii="宋体" w:hAnsi="宋体" w:eastAsia="宋体" w:cs="宋体"/>
                <w:sz w:val="24"/>
                <w:szCs w:val="24"/>
              </w:rPr>
            </w:pPr>
            <w:r>
              <w:rPr>
                <w:rFonts w:hint="eastAsia" w:ascii="宋体" w:hAnsi="宋体" w:eastAsia="宋体" w:cs="宋体"/>
                <w:sz w:val="24"/>
                <w:szCs w:val="24"/>
              </w:rPr>
              <w:t>课堂实训</w:t>
            </w:r>
          </w:p>
        </w:tc>
        <w:tc>
          <w:tcPr>
            <w:tcW w:w="525" w:type="dxa"/>
            <w:tcBorders>
              <w:left w:val="double" w:color="auto" w:sz="4" w:space="0"/>
            </w:tcBorders>
            <w:vAlign w:val="center"/>
          </w:tcPr>
          <w:p w14:paraId="06C0DA9F">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25" w:type="dxa"/>
            <w:vAlign w:val="center"/>
          </w:tcPr>
          <w:p w14:paraId="06602A77">
            <w:pPr>
              <w:jc w:val="center"/>
              <w:rPr>
                <w:rFonts w:hint="eastAsia" w:ascii="宋体" w:hAnsi="宋体" w:eastAsia="宋体" w:cs="宋体"/>
                <w:sz w:val="24"/>
                <w:szCs w:val="24"/>
              </w:rPr>
            </w:pPr>
            <w:r>
              <w:rPr>
                <w:rFonts w:hint="eastAsia" w:ascii="宋体" w:hAnsi="宋体" w:eastAsia="宋体" w:cs="宋体"/>
                <w:sz w:val="24"/>
                <w:szCs w:val="24"/>
              </w:rPr>
              <w:t>10</w:t>
            </w:r>
          </w:p>
        </w:tc>
        <w:tc>
          <w:tcPr>
            <w:tcW w:w="525" w:type="dxa"/>
            <w:vAlign w:val="center"/>
          </w:tcPr>
          <w:p w14:paraId="7651B5A4">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0769ACB9">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5" w:type="dxa"/>
            <w:vAlign w:val="center"/>
          </w:tcPr>
          <w:p w14:paraId="3BEE97E8">
            <w:pPr>
              <w:jc w:val="center"/>
              <w:rPr>
                <w:rFonts w:hint="eastAsia" w:ascii="宋体" w:hAnsi="宋体" w:eastAsia="宋体" w:cs="宋体"/>
                <w:sz w:val="24"/>
                <w:szCs w:val="24"/>
              </w:rPr>
            </w:pPr>
            <w:r>
              <w:rPr>
                <w:rFonts w:hint="eastAsia" w:ascii="宋体" w:hAnsi="宋体" w:eastAsia="宋体" w:cs="宋体"/>
                <w:sz w:val="24"/>
                <w:szCs w:val="24"/>
              </w:rPr>
              <w:t>20</w:t>
            </w:r>
          </w:p>
        </w:tc>
        <w:tc>
          <w:tcPr>
            <w:tcW w:w="529" w:type="dxa"/>
            <w:vAlign w:val="center"/>
          </w:tcPr>
          <w:p w14:paraId="276ABBDB">
            <w:pPr>
              <w:jc w:val="center"/>
              <w:rPr>
                <w:rFonts w:hint="eastAsia" w:ascii="宋体" w:hAnsi="宋体" w:eastAsia="宋体" w:cs="宋体"/>
                <w:sz w:val="24"/>
                <w:szCs w:val="24"/>
              </w:rPr>
            </w:pPr>
            <w:r>
              <w:rPr>
                <w:rFonts w:hint="eastAsia" w:ascii="宋体" w:hAnsi="宋体" w:eastAsia="宋体" w:cs="宋体"/>
                <w:sz w:val="24"/>
                <w:szCs w:val="24"/>
              </w:rPr>
              <w:t>20</w:t>
            </w:r>
          </w:p>
        </w:tc>
        <w:tc>
          <w:tcPr>
            <w:tcW w:w="884" w:type="dxa"/>
            <w:tcBorders>
              <w:right w:val="single" w:color="auto" w:sz="4" w:space="0"/>
            </w:tcBorders>
            <w:vAlign w:val="center"/>
          </w:tcPr>
          <w:p w14:paraId="74439195">
            <w:pPr>
              <w:jc w:val="center"/>
              <w:rPr>
                <w:rFonts w:hint="eastAsia" w:ascii="宋体" w:hAnsi="宋体" w:eastAsia="宋体" w:cs="宋体"/>
                <w:sz w:val="24"/>
                <w:szCs w:val="24"/>
              </w:rPr>
            </w:pPr>
            <w:r>
              <w:rPr>
                <w:rFonts w:hint="eastAsia" w:ascii="宋体" w:hAnsi="宋体" w:eastAsia="宋体" w:cs="宋体"/>
                <w:sz w:val="24"/>
                <w:szCs w:val="24"/>
              </w:rPr>
              <w:t>100</w:t>
            </w:r>
          </w:p>
        </w:tc>
      </w:tr>
    </w:tbl>
    <w:p w14:paraId="461D7A5E">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1DA4BACC">
      <w:pPr>
        <w:tabs>
          <w:tab w:val="left" w:pos="3210"/>
          <w:tab w:val="left" w:pos="7560"/>
        </w:tabs>
        <w:spacing w:before="72" w:beforeLines="20" w:line="360" w:lineRule="auto"/>
        <w:jc w:val="both"/>
        <w:outlineLvl w:val="0"/>
        <w:rPr>
          <w:rFonts w:ascii="黑体" w:hAnsi="黑体" w:eastAsia="黑体"/>
          <w:sz w:val="21"/>
          <w:szCs w:val="21"/>
          <w:lang w:eastAsia="zh-CN"/>
        </w:rPr>
      </w:pPr>
      <w:r>
        <w:rPr>
          <w:rFonts w:hint="eastAsia" w:ascii="黑体" w:hAnsi="黑体" w:eastAsia="黑体"/>
          <w:color w:val="000000"/>
          <w:position w:val="-20"/>
          <w:sz w:val="21"/>
          <w:szCs w:val="21"/>
        </w:rPr>
        <w:t>任课教师：</w:t>
      </w:r>
      <w:r>
        <w:rPr>
          <w:rFonts w:hint="eastAsia"/>
        </w:rPr>
        <w:drawing>
          <wp:inline distT="0" distB="0" distL="114300" distR="114300">
            <wp:extent cx="378460" cy="264160"/>
            <wp:effectExtent l="0" t="0" r="2540" b="2540"/>
            <wp:docPr id="4" name="图片 4" descr="61fad842bd7939d6c8754d393179f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1fad842bd7939d6c8754d393179f20"/>
                    <pic:cNvPicPr>
                      <a:picLocks noChangeAspect="1"/>
                    </pic:cNvPicPr>
                  </pic:nvPicPr>
                  <pic:blipFill>
                    <a:blip r:embed="rId10"/>
                    <a:stretch>
                      <a:fillRect/>
                    </a:stretch>
                  </pic:blipFill>
                  <pic:spPr>
                    <a:xfrm>
                      <a:off x="0" y="0"/>
                      <a:ext cx="378460" cy="264160"/>
                    </a:xfrm>
                    <a:prstGeom prst="rect">
                      <a:avLst/>
                    </a:prstGeom>
                  </pic:spPr>
                </pic:pic>
              </a:graphicData>
            </a:graphic>
          </wp:inline>
        </w:drawing>
      </w:r>
      <w:r>
        <w:rPr>
          <w:rFonts w:hint="eastAsia" w:ascii="黑体" w:hAnsi="黑体" w:eastAsia="黑体"/>
          <w:color w:val="000000"/>
          <w:position w:val="-20"/>
          <w:sz w:val="21"/>
          <w:szCs w:val="21"/>
          <w:lang w:eastAsia="zh-CN"/>
        </w:rPr>
        <w:t xml:space="preserve">   （签名）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eastAsia="宋体"/>
          <w:sz w:val="28"/>
          <w:szCs w:val="28"/>
          <w:lang w:eastAsia="zh-CN"/>
        </w:rPr>
        <w:drawing>
          <wp:inline distT="0" distB="0" distL="114300" distR="114300">
            <wp:extent cx="604520" cy="280670"/>
            <wp:effectExtent l="0" t="0" r="5080" b="11430"/>
            <wp:docPr id="5" name="图片 5"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026d8e4d24357876f265dea2466ff0c"/>
                    <pic:cNvPicPr>
                      <a:picLocks noChangeAspect="1"/>
                    </pic:cNvPicPr>
                  </pic:nvPicPr>
                  <pic:blipFill>
                    <a:blip r:embed="rId11"/>
                    <a:srcRect l="8189" t="18694" r="13728" b="18063"/>
                    <a:stretch>
                      <a:fillRect/>
                    </a:stretch>
                  </pic:blipFill>
                  <pic:spPr>
                    <a:xfrm>
                      <a:off x="0" y="0"/>
                      <a:ext cx="604520" cy="280670"/>
                    </a:xfrm>
                    <a:prstGeom prst="rect">
                      <a:avLst/>
                    </a:prstGeom>
                  </pic:spPr>
                </pic:pic>
              </a:graphicData>
            </a:graphic>
          </wp:inline>
        </w:drawing>
      </w:r>
      <w:r>
        <w:rPr>
          <w:rFonts w:hint="eastAsia" w:ascii="黑体" w:hAnsi="黑体" w:eastAsia="黑体"/>
          <w:color w:val="000000"/>
          <w:position w:val="-20"/>
          <w:sz w:val="21"/>
          <w:szCs w:val="21"/>
          <w:lang w:eastAsia="zh-CN"/>
        </w:rPr>
        <w:t xml:space="preserve">  （签名）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val="en-US" w:eastAsia="zh-CN"/>
        </w:rPr>
        <w:t>2025.2.20</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20B0604020202020204"/>
    <w:charset w:val="88"/>
    <w:family w:val="swiss"/>
    <w:pitch w:val="default"/>
    <w:sig w:usb0="00000000" w:usb1="00000000" w:usb2="00000016" w:usb3="00000000" w:csb0="00100000" w:csb1="00000000"/>
  </w:font>
  <w:font w:name="ITC Bookman Demi">
    <w:altName w:val="Georgia"/>
    <w:panose1 w:val="020B0604020202020204"/>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DotumChe">
    <w:altName w:val="Malgun Gothic"/>
    <w:panose1 w:val="020B0609000101010101"/>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華康粗圓體">
    <w:altName w:val="Microsoft JhengHei"/>
    <w:panose1 w:val="020B0604020202020204"/>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230B0">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14:paraId="0D349689">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27FB0">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695544F">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5A20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D137F">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E47D6C3">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6E47D6C3">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84EAF5">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CD704">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kYzljYmIzZTIxMmY2NDFiNDUxMTEzZjYwZGZkMzQ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C1065"/>
    <w:rsid w:val="000C3A32"/>
    <w:rsid w:val="000C65FF"/>
    <w:rsid w:val="000C73F8"/>
    <w:rsid w:val="000C7AFA"/>
    <w:rsid w:val="000D019B"/>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3916"/>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05C"/>
    <w:rsid w:val="00F2112C"/>
    <w:rsid w:val="00F24B0A"/>
    <w:rsid w:val="00F2634D"/>
    <w:rsid w:val="00F31A0E"/>
    <w:rsid w:val="00F31FDD"/>
    <w:rsid w:val="00F413D7"/>
    <w:rsid w:val="00F418D3"/>
    <w:rsid w:val="00F45EBF"/>
    <w:rsid w:val="00F46AC8"/>
    <w:rsid w:val="00F54438"/>
    <w:rsid w:val="00F55A8A"/>
    <w:rsid w:val="00F562B7"/>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1CA216C"/>
    <w:rsid w:val="0250298D"/>
    <w:rsid w:val="05B11678"/>
    <w:rsid w:val="07195727"/>
    <w:rsid w:val="0790350F"/>
    <w:rsid w:val="08FD4BD5"/>
    <w:rsid w:val="0B02141F"/>
    <w:rsid w:val="0DB76A4A"/>
    <w:rsid w:val="0E007FD4"/>
    <w:rsid w:val="0E5E7EC3"/>
    <w:rsid w:val="11B36778"/>
    <w:rsid w:val="143D72CA"/>
    <w:rsid w:val="195075A2"/>
    <w:rsid w:val="199D2E85"/>
    <w:rsid w:val="19E5593D"/>
    <w:rsid w:val="1B9B294B"/>
    <w:rsid w:val="1C9A0C60"/>
    <w:rsid w:val="2248641D"/>
    <w:rsid w:val="23D74548"/>
    <w:rsid w:val="2A331DAD"/>
    <w:rsid w:val="2C112504"/>
    <w:rsid w:val="2E59298A"/>
    <w:rsid w:val="33516C82"/>
    <w:rsid w:val="33E04D53"/>
    <w:rsid w:val="34525525"/>
    <w:rsid w:val="36317AE8"/>
    <w:rsid w:val="37DA5F5D"/>
    <w:rsid w:val="37E50B00"/>
    <w:rsid w:val="390C65EA"/>
    <w:rsid w:val="3B412370"/>
    <w:rsid w:val="3C4A1903"/>
    <w:rsid w:val="3F8C3FE1"/>
    <w:rsid w:val="406568EE"/>
    <w:rsid w:val="40662A84"/>
    <w:rsid w:val="40ED6D01"/>
    <w:rsid w:val="417E7959"/>
    <w:rsid w:val="44283EB5"/>
    <w:rsid w:val="47BB65CA"/>
    <w:rsid w:val="49DF08B3"/>
    <w:rsid w:val="4C51283A"/>
    <w:rsid w:val="56903F5F"/>
    <w:rsid w:val="5A533C21"/>
    <w:rsid w:val="5C7560D1"/>
    <w:rsid w:val="5D1C654D"/>
    <w:rsid w:val="5DDE7CA6"/>
    <w:rsid w:val="5DE33377"/>
    <w:rsid w:val="5F9F3465"/>
    <w:rsid w:val="60731B3D"/>
    <w:rsid w:val="65310993"/>
    <w:rsid w:val="6E256335"/>
    <w:rsid w:val="700912C5"/>
    <w:rsid w:val="72F1592E"/>
    <w:rsid w:val="74F62C86"/>
    <w:rsid w:val="759C6025"/>
    <w:rsid w:val="77335635"/>
    <w:rsid w:val="79A731EA"/>
    <w:rsid w:val="7A6B4218"/>
    <w:rsid w:val="7D335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20"/>
      <w:szCs w:val="20"/>
    </w:rPr>
  </w:style>
  <w:style w:type="paragraph" w:styleId="3">
    <w:name w:val="header"/>
    <w:basedOn w:val="1"/>
    <w:autoRedefine/>
    <w:qFormat/>
    <w:uiPriority w:val="0"/>
    <w:pPr>
      <w:tabs>
        <w:tab w:val="center" w:pos="4153"/>
        <w:tab w:val="right" w:pos="8306"/>
      </w:tabs>
      <w:snapToGrid w:val="0"/>
    </w:pPr>
    <w:rPr>
      <w:sz w:val="20"/>
      <w:szCs w:val="20"/>
    </w:rPr>
  </w:style>
  <w:style w:type="table" w:styleId="5">
    <w:name w:val="Table Grid"/>
    <w:basedOn w:val="4"/>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autoRedefine/>
    <w:qFormat/>
    <w:uiPriority w:val="0"/>
    <w:rPr>
      <w:color w:val="0000FF"/>
      <w:u w:val="single"/>
    </w:rPr>
  </w:style>
  <w:style w:type="paragraph" w:customStyle="1" w:styleId="9">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0">
    <w:name w:val="List Paragraph"/>
    <w:basedOn w:val="1"/>
    <w:autoRedefine/>
    <w:unhideWhenUsed/>
    <w:qFormat/>
    <w:uiPriority w:val="99"/>
    <w:pPr>
      <w:ind w:firstLine="420" w:firstLineChars="200"/>
    </w:pPr>
  </w:style>
  <w:style w:type="paragraph" w:customStyle="1" w:styleId="11">
    <w:name w:val="一级标题DG"/>
    <w:basedOn w:val="1"/>
    <w:qFormat/>
    <w:uiPriority w:val="0"/>
    <w:pPr>
      <w:spacing w:line="480" w:lineRule="auto"/>
      <w:outlineLvl w:val="0"/>
    </w:pPr>
    <w:rPr>
      <w:rFonts w:ascii="Arial" w:hAnsi="Arial" w:eastAsia="黑体"/>
      <w:sz w:val="28"/>
    </w:rPr>
  </w:style>
  <w:style w:type="paragraph" w:customStyle="1" w:styleId="12">
    <w:name w:val="表格正文DG"/>
    <w:basedOn w:val="1"/>
    <w:qFormat/>
    <w:uiPriority w:val="0"/>
    <w:pPr>
      <w:jc w:val="center"/>
    </w:pPr>
    <w:rPr>
      <w:rFonts w:ascii="Times New Roman" w:hAnsi="Times New Roman"/>
      <w:color w:val="00000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9B4D9A-6ADB-414A-B564-2A7E82AC720C}">
  <ds:schemaRefs/>
</ds:datastoreItem>
</file>

<file path=docProps/app.xml><?xml version="1.0" encoding="utf-8"?>
<Properties xmlns="http://schemas.openxmlformats.org/officeDocument/2006/extended-properties" xmlns:vt="http://schemas.openxmlformats.org/officeDocument/2006/docPropsVTypes">
  <Template>Normal.dotm</Template>
  <Company>CMT</Company>
  <Pages>4</Pages>
  <Words>717</Words>
  <Characters>813</Characters>
  <Lines>5</Lines>
  <Paragraphs>1</Paragraphs>
  <TotalTime>1</TotalTime>
  <ScaleCrop>false</ScaleCrop>
  <LinksUpToDate>false</LinksUpToDate>
  <CharactersWithSpaces>838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常振</cp:lastModifiedBy>
  <cp:lastPrinted>2025-02-21T08:55:00Z</cp:lastPrinted>
  <dcterms:modified xsi:type="dcterms:W3CDTF">2025-02-25T03:11:01Z</dcterms:modified>
  <dc:title>上海建桥学院教学进度计划表</dc:title>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7AE148B54E094AD1BBAD92813ACB387A_13</vt:lpwstr>
  </property>
  <property fmtid="{D5CDD505-2E9C-101B-9397-08002B2CF9AE}" pid="4" name="KSOTemplateDocerSaveRecord">
    <vt:lpwstr>eyJoZGlkIjoiYzg1MjI1ZTcxYWRhOTZjZTA2ZDUyYjU5ODc2YTk3NGQiLCJ1c2VySWQiOiI0NjEyMTY0NjgifQ==</vt:lpwstr>
  </property>
</Properties>
</file>