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2070027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 xml:space="preserve"> 护理伦理学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16（理论1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、实践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njyaome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i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fang@163.com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护理学B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-1、B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-2、B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二教402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>一至周五12:30~16:30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高职222办公室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 xml:space="preserve"> 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《护理伦理学》，第2版，主编：姜小鹰，刘俊荣.人民卫生出版社.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《医学伦理学》，主编：邱祥兴.人民卫生出版社；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《医学伦理学（牛津通识读本）》，主编：Hope.译林出版社；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《护理伦理学》，主编：孙宏玉，唐启群.北京大学医学出版社；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  <w:t>《护理伦理与法律法规》，主编：王明丽.科学出版社.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539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课程导学。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道德的概念、特征和功能，职业道德的基本内容；伦理学、护理伦理学的概念及其发展；如何进行自我伦理教育、修养与评价。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护理伦理学的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理论基础：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美德论、义务论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效果论等；基本概念；护理伦理学的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基本观点：生命神圣论、生命质量论及生命价值论；护理伦理中的困境与出路。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护理伦理学的基本原则：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尊重原则、有利原则、不伤害原则及公正原则的内涵；护理伦理学基本规范的内容及要求；护理伦理学基本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范畴概述及内容。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护患双方权利和义务的内容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护患关系的伦理道德，护患双方权利和义务，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护患关系、护医关系及护士与其他人员关系的道德规范；如何正确处理护理人际关系，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将道德规范应用于人际交往中。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基础护理的伦理规范；急危重症护理与围术期护理的伦理要求；急危重症护理与手术护理的伦理难题；如何按护理伦理要求做好相关护理工作。妇科病人、孕产妇、患儿及老年人的护理特点及护理伦理要求；如何合理解决好上述人群的护理伦理问题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精神科、传染科和肿瘤科护理的伦理要求及伦理难题；如何正确开展相关护理活动。突发公共卫生事件应急处理、社区卫生保健及预防保健工作的伦理道德规范和要求；如何正确处置突发公共卫生事件。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特殊医疗技术活动中的伦理原则及在护理实践中的运用。临终关怀的概念、特点及伦理意义；安乐死的定义及分类；在护理实践中如何做好临终关怀和尸体护理工作。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学习通章节测验及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护理科研的基本原则和基本规范；人体实验的基本原则和伦理矛盾；科研行为不端的定义；如何规范开展护理科研活动护理管理的伦理要求及意义；护理管理者的伦理素质；护理管理中的伦理与法律问题；如何让护理决策符合伦理要求。所学护理伦理学相关知识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护理伦理实践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运用护理管理中的伦理与法律问题、决策选择和评价。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小论文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5092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5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总评构成（1+X）</w:t>
            </w:r>
          </w:p>
        </w:tc>
        <w:tc>
          <w:tcPr>
            <w:tcW w:w="5092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5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92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5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092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小论文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5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092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章节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5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092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出勤率、课堂表现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2022-2-18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B56BEC"/>
    <w:rsid w:val="0B02141F"/>
    <w:rsid w:val="0DB76A4A"/>
    <w:rsid w:val="199D2E85"/>
    <w:rsid w:val="1B9B294B"/>
    <w:rsid w:val="1F8B4688"/>
    <w:rsid w:val="25E22ED5"/>
    <w:rsid w:val="2E59298A"/>
    <w:rsid w:val="37E50B00"/>
    <w:rsid w:val="476E4655"/>
    <w:rsid w:val="49DF08B3"/>
    <w:rsid w:val="5C191D98"/>
    <w:rsid w:val="5D893037"/>
    <w:rsid w:val="65310993"/>
    <w:rsid w:val="66E0372D"/>
    <w:rsid w:val="6E256335"/>
    <w:rsid w:val="700912C5"/>
    <w:rsid w:val="74F62C86"/>
    <w:rsid w:val="77E94EE5"/>
    <w:rsid w:val="7EDB1CF8"/>
    <w:rsid w:val="7E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96D85-6251-4703-A303-C98544672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223</Words>
  <Characters>1273</Characters>
  <Lines>10</Lines>
  <Paragraphs>2</Paragraphs>
  <TotalTime>2</TotalTime>
  <ScaleCrop>false</ScaleCrop>
  <LinksUpToDate>false</LinksUpToDate>
  <CharactersWithSpaces>1494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2022-02-21T11:01:10Z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74B1AED7DA1046DF9A73A0558810B208</vt:lpwstr>
  </property>
</Properties>
</file>