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747914841" name="文本框 1"/>
                <wp:cNvGraphicFramePr/>
                <a:graphic xmlns:a="http://schemas.openxmlformats.org/drawingml/2006/main">
                  <a:graphicData uri="http://schemas.microsoft.com/office/word/2010/wordprocessingShape">
                    <wps:wsp>
                      <wps:cNvSpPr txBox="1"/>
                      <wps:spPr bwMode="auto">
                        <a:xfrm>
                          <a:off x="0" y="0"/>
                          <a:ext cx="2635250" cy="280670"/>
                        </a:xfrm>
                        <a:prstGeom prst="rect">
                          <a:avLst/>
                        </a:prstGeom>
                        <a:solidFill>
                          <a:srgbClr val="FFFFFF"/>
                        </a:solidFill>
                        <a:ln>
                          <a:noFill/>
                        </a:ln>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MohQ9cAAAAIAQAADwAA&#10;AAAAAAABACAAAAAiAAAAZHJzL2Rvd25yZXYueG1sUEsBAhQAFAAAAAgAh07iQFyBmaQXAgAAFwQA&#10;AA4AAAAAAAAAAQAgAAAAJgEAAGRycy9lMm9Eb2MueG1sUEsFBgAAAAAGAAYAWQEAAK8FAAAAAA==&#10;">
                <v:fill on="t" focussize="0,0"/>
                <v:stroke on="f"/>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专业课课程教学大纲</w:t>
      </w:r>
    </w:p>
    <w:p>
      <w:pPr>
        <w:spacing w:line="288" w:lineRule="auto"/>
        <w:jc w:val="center"/>
        <w:rPr>
          <w:b/>
          <w:sz w:val="28"/>
          <w:szCs w:val="30"/>
        </w:rPr>
      </w:pPr>
      <w:r>
        <w:rPr>
          <w:rFonts w:hint="eastAsia"/>
          <w:b/>
          <w:sz w:val="28"/>
          <w:szCs w:val="30"/>
        </w:rPr>
        <w:t>【健康经济学】</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Health  Economics</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pacing w:line="288" w:lineRule="auto"/>
        <w:ind w:firstLine="402" w:firstLineChars="200"/>
        <w:rPr>
          <w:rFonts w:ascii="Times New Roman" w:hAnsi="Times New Roman"/>
          <w:bCs/>
          <w:sz w:val="20"/>
          <w:szCs w:val="20"/>
        </w:rPr>
      </w:pPr>
      <w:r>
        <w:rPr>
          <w:rFonts w:hint="eastAsia" w:ascii="宋体" w:hAnsi="宋体"/>
          <w:b/>
          <w:bCs/>
          <w:sz w:val="20"/>
          <w:szCs w:val="20"/>
        </w:rPr>
        <w:t>课程代码：</w:t>
      </w:r>
      <w:r>
        <w:rPr>
          <w:rFonts w:ascii="宋体" w:hAnsi="宋体"/>
          <w:bCs/>
          <w:sz w:val="20"/>
          <w:szCs w:val="20"/>
        </w:rPr>
        <w:t>【</w:t>
      </w:r>
      <w:r>
        <w:rPr>
          <w:rFonts w:hint="eastAsia" w:ascii="Times New Roman" w:hAnsi="Times New Roman"/>
          <w:bCs/>
          <w:sz w:val="20"/>
          <w:szCs w:val="20"/>
        </w:rPr>
        <w:t>2170020</w:t>
      </w:r>
      <w:r>
        <w:rPr>
          <w:rFonts w:ascii="宋体" w:hAnsi="宋体"/>
          <w:bCs/>
          <w:sz w:val="20"/>
          <w:szCs w:val="20"/>
        </w:rPr>
        <w:t>】</w:t>
      </w:r>
    </w:p>
    <w:p>
      <w:pPr>
        <w:spacing w:line="288" w:lineRule="auto"/>
        <w:ind w:firstLine="402" w:firstLineChars="200"/>
        <w:rPr>
          <w:rFonts w:ascii="宋体" w:hAnsi="宋体"/>
          <w:sz w:val="20"/>
          <w:szCs w:val="20"/>
        </w:rPr>
      </w:pPr>
      <w:r>
        <w:rPr>
          <w:rFonts w:hint="eastAsia" w:ascii="宋体" w:hAnsi="宋体"/>
          <w:b/>
          <w:bCs/>
          <w:sz w:val="20"/>
          <w:szCs w:val="20"/>
        </w:rPr>
        <w:t>课程学分：</w:t>
      </w:r>
      <w:r>
        <w:rPr>
          <w:rFonts w:ascii="宋体" w:hAnsi="宋体"/>
          <w:bCs/>
          <w:sz w:val="20"/>
          <w:szCs w:val="20"/>
        </w:rPr>
        <w:t>【</w:t>
      </w:r>
      <w:r>
        <w:rPr>
          <w:rFonts w:hint="eastAsia" w:ascii="Times New Roman" w:hAnsi="Times New Roman"/>
          <w:bCs/>
          <w:sz w:val="20"/>
          <w:szCs w:val="20"/>
        </w:rPr>
        <w:t xml:space="preserve"> </w:t>
      </w:r>
      <w:r>
        <w:rPr>
          <w:rFonts w:hint="eastAsia" w:ascii="宋体" w:hAnsi="宋体"/>
          <w:bCs/>
          <w:sz w:val="20"/>
          <w:szCs w:val="20"/>
        </w:rPr>
        <w:t xml:space="preserve">2 </w:t>
      </w:r>
      <w:r>
        <w:rPr>
          <w:rFonts w:ascii="宋体" w:hAnsi="宋体"/>
          <w:bCs/>
          <w:sz w:val="20"/>
          <w:szCs w:val="20"/>
        </w:rPr>
        <w:t>】</w:t>
      </w:r>
    </w:p>
    <w:p>
      <w:pPr>
        <w:spacing w:line="288" w:lineRule="auto"/>
        <w:ind w:firstLine="402" w:firstLineChars="200"/>
        <w:rPr>
          <w:sz w:val="20"/>
          <w:szCs w:val="20"/>
        </w:rPr>
      </w:pPr>
      <w:r>
        <w:rPr>
          <w:rFonts w:hint="eastAsia" w:ascii="宋体" w:hAnsi="宋体"/>
          <w:b/>
          <w:bCs/>
          <w:sz w:val="20"/>
          <w:szCs w:val="20"/>
        </w:rPr>
        <w:t>面向专业：</w:t>
      </w:r>
      <w:r>
        <w:rPr>
          <w:rFonts w:ascii="宋体" w:hAnsi="宋体"/>
          <w:bCs/>
          <w:sz w:val="20"/>
          <w:szCs w:val="20"/>
        </w:rPr>
        <w:t>【</w:t>
      </w:r>
      <w:r>
        <w:rPr>
          <w:rFonts w:hint="eastAsia" w:ascii="宋体" w:hAnsi="宋体"/>
          <w:bCs/>
          <w:sz w:val="20"/>
          <w:szCs w:val="20"/>
        </w:rPr>
        <w:t>养老服务管理</w:t>
      </w:r>
      <w:r>
        <w:rPr>
          <w:rFonts w:ascii="宋体" w:hAnsi="宋体"/>
          <w:bCs/>
          <w:sz w:val="20"/>
          <w:szCs w:val="20"/>
        </w:rPr>
        <w:t>】</w:t>
      </w:r>
    </w:p>
    <w:p>
      <w:pPr>
        <w:spacing w:line="288" w:lineRule="auto"/>
        <w:ind w:firstLine="402" w:firstLineChars="200"/>
        <w:rPr>
          <w:sz w:val="20"/>
          <w:szCs w:val="20"/>
        </w:rPr>
      </w:pPr>
      <w:r>
        <w:rPr>
          <w:rFonts w:hint="eastAsia" w:ascii="宋体" w:hAnsi="宋体"/>
          <w:b/>
          <w:bCs/>
          <w:sz w:val="20"/>
          <w:szCs w:val="20"/>
        </w:rPr>
        <w:t>课程性质：</w:t>
      </w:r>
      <w:r>
        <w:rPr>
          <w:rFonts w:ascii="宋体" w:hAnsi="宋体"/>
          <w:bCs/>
          <w:sz w:val="20"/>
          <w:szCs w:val="20"/>
        </w:rPr>
        <w:t>【</w:t>
      </w:r>
      <w:r>
        <w:rPr>
          <w:rFonts w:hint="eastAsia" w:ascii="宋体" w:hAnsi="宋体"/>
          <w:sz w:val="20"/>
          <w:szCs w:val="20"/>
        </w:rPr>
        <w:t>系级专业必修课程</w:t>
      </w:r>
      <w:r>
        <w:rPr>
          <w:rFonts w:ascii="宋体" w:hAnsi="宋体"/>
          <w:bCs/>
          <w:sz w:val="20"/>
          <w:szCs w:val="20"/>
        </w:rPr>
        <w:t>】</w:t>
      </w:r>
    </w:p>
    <w:p>
      <w:pPr>
        <w:spacing w:line="288" w:lineRule="auto"/>
        <w:ind w:firstLine="402" w:firstLineChars="200"/>
        <w:rPr>
          <w:sz w:val="20"/>
          <w:szCs w:val="20"/>
        </w:rPr>
      </w:pPr>
      <w:r>
        <w:rPr>
          <w:rFonts w:hint="eastAsia" w:ascii="宋体" w:hAnsi="宋体"/>
          <w:b/>
          <w:bCs/>
          <w:sz w:val="20"/>
          <w:szCs w:val="20"/>
        </w:rPr>
        <w:t>开课院系：</w:t>
      </w:r>
      <w:r>
        <w:rPr>
          <w:rFonts w:hint="eastAsia" w:ascii="宋体" w:hAnsi="宋体"/>
          <w:sz w:val="20"/>
          <w:szCs w:val="20"/>
        </w:rPr>
        <w:t>健康管理学院</w:t>
      </w:r>
    </w:p>
    <w:p>
      <w:pPr>
        <w:spacing w:line="288" w:lineRule="auto"/>
        <w:ind w:firstLine="402" w:firstLineChars="200"/>
        <w:rPr>
          <w:b/>
          <w:bCs/>
          <w:sz w:val="20"/>
          <w:szCs w:val="20"/>
        </w:rPr>
      </w:pPr>
      <w:r>
        <w:rPr>
          <w:rFonts w:hint="eastAsia" w:ascii="宋体" w:hAnsi="宋体"/>
          <w:b/>
          <w:bCs/>
          <w:sz w:val="20"/>
          <w:szCs w:val="20"/>
        </w:rPr>
        <w:t>使用教材：</w:t>
      </w:r>
    </w:p>
    <w:p>
      <w:pPr>
        <w:spacing w:line="288" w:lineRule="auto"/>
        <w:ind w:firstLine="800" w:firstLineChars="400"/>
        <w:rPr>
          <w:rFonts w:ascii="宋体" w:hAnsi="宋体"/>
          <w:sz w:val="20"/>
          <w:szCs w:val="20"/>
        </w:rPr>
      </w:pPr>
      <w:r>
        <w:rPr>
          <w:rFonts w:hint="eastAsia" w:ascii="宋体" w:hAnsi="宋体"/>
          <w:sz w:val="20"/>
          <w:szCs w:val="20"/>
        </w:rPr>
        <w:t>教材：</w:t>
      </w:r>
      <w:r>
        <w:rPr>
          <w:rFonts w:hint="eastAsia" w:ascii="宋体" w:hAnsi="宋体"/>
          <w:bCs/>
          <w:sz w:val="20"/>
          <w:szCs w:val="20"/>
        </w:rPr>
        <w:t>【</w:t>
      </w:r>
      <w:r>
        <w:rPr>
          <w:rFonts w:hint="eastAsia" w:ascii="宋体" w:hAnsi="宋体"/>
          <w:sz w:val="20"/>
          <w:szCs w:val="20"/>
        </w:rPr>
        <w:t>《健康经济学》， 毛振华，人民卫生出版社，2020年第1版</w:t>
      </w:r>
      <w:r>
        <w:rPr>
          <w:rFonts w:hint="eastAsia" w:ascii="宋体" w:hAnsi="宋体"/>
          <w:bCs/>
          <w:sz w:val="20"/>
          <w:szCs w:val="20"/>
        </w:rPr>
        <w:t>】</w:t>
      </w:r>
    </w:p>
    <w:p>
      <w:pPr>
        <w:spacing w:line="288" w:lineRule="auto"/>
        <w:ind w:firstLine="800" w:firstLineChars="400"/>
        <w:rPr>
          <w:rFonts w:ascii="宋体" w:hAnsi="宋体"/>
          <w:sz w:val="20"/>
          <w:szCs w:val="20"/>
        </w:rPr>
      </w:pPr>
      <w:r>
        <w:rPr>
          <w:rFonts w:hint="eastAsia" w:ascii="宋体" w:hAnsi="宋体"/>
          <w:sz w:val="20"/>
          <w:szCs w:val="20"/>
        </w:rPr>
        <w:t>参考书目：</w:t>
      </w:r>
      <w:r>
        <w:rPr>
          <w:rFonts w:hint="eastAsia" w:ascii="宋体" w:hAnsi="宋体"/>
          <w:bCs/>
          <w:sz w:val="20"/>
          <w:szCs w:val="20"/>
        </w:rPr>
        <w:t>【1.</w:t>
      </w:r>
      <w:r>
        <w:rPr>
          <w:rFonts w:hint="eastAsia" w:ascii="宋体" w:hAnsi="宋体"/>
          <w:sz w:val="20"/>
          <w:szCs w:val="20"/>
        </w:rPr>
        <w:t>《健康经济学》，[美]詹姆斯•亨德森著，向运华、钟健威、季华璐</w:t>
      </w:r>
    </w:p>
    <w:p>
      <w:pPr>
        <w:spacing w:line="288" w:lineRule="auto"/>
        <w:ind w:left="420" w:leftChars="200"/>
        <w:rPr>
          <w:sz w:val="20"/>
          <w:szCs w:val="20"/>
        </w:rPr>
      </w:pPr>
      <w:r>
        <w:rPr>
          <w:rFonts w:hint="eastAsia" w:ascii="宋体" w:hAnsi="宋体"/>
          <w:sz w:val="20"/>
          <w:szCs w:val="20"/>
        </w:rPr>
        <w:t>等译，人民邮电出版社,2008年第1版；2.《健康经济学》，[美]杰伊·巴塔查里亚、蒂莫西·海德、彼得·杜，曹乾译，广西师范大学出版社，2019年第1版；3.</w:t>
      </w:r>
      <w:r>
        <w:rPr>
          <w:rFonts w:hint="eastAsia" w:ascii="宋体" w:hAnsi="宋体"/>
          <w:bCs/>
          <w:sz w:val="20"/>
          <w:szCs w:val="20"/>
          <w:shd w:val="clear" w:color="auto" w:fill="FFFFFF"/>
        </w:rPr>
        <w:t>《健康经济学:健康对劳动市场表现的影响 》，樊明，社会科学文献出版社，2002年</w:t>
      </w:r>
      <w:r>
        <w:rPr>
          <w:rFonts w:hint="eastAsia" w:ascii="宋体" w:hAnsi="宋体"/>
          <w:sz w:val="20"/>
          <w:szCs w:val="20"/>
        </w:rPr>
        <w:t>第1版</w:t>
      </w:r>
      <w:r>
        <w:rPr>
          <w:rFonts w:hint="eastAsia" w:ascii="宋体" w:hAnsi="宋体" w:cs="Verdana"/>
          <w:bCs/>
          <w:sz w:val="20"/>
          <w:szCs w:val="20"/>
          <w:shd w:val="clear" w:color="auto" w:fill="FFFFFF"/>
        </w:rPr>
        <w:t>】</w:t>
      </w:r>
    </w:p>
    <w:p>
      <w:pPr>
        <w:spacing w:line="288" w:lineRule="auto"/>
        <w:ind w:firstLine="402" w:firstLineChars="200"/>
        <w:rPr>
          <w:sz w:val="20"/>
          <w:szCs w:val="20"/>
        </w:rPr>
      </w:pPr>
      <w:r>
        <w:rPr>
          <w:rFonts w:hint="eastAsia" w:ascii="宋体" w:hAnsi="宋体"/>
          <w:b/>
          <w:bCs/>
          <w:sz w:val="20"/>
          <w:szCs w:val="20"/>
        </w:rPr>
        <w:t>课程网站网址：</w:t>
      </w:r>
      <w:r>
        <w:rPr>
          <w:rFonts w:hint="eastAsia" w:ascii="宋体" w:hAnsi="宋体"/>
          <w:sz w:val="20"/>
          <w:szCs w:val="20"/>
        </w:rPr>
        <w:t>无</w:t>
      </w:r>
    </w:p>
    <w:p>
      <w:pPr>
        <w:spacing w:line="288" w:lineRule="auto"/>
        <w:ind w:firstLine="402" w:firstLineChars="200"/>
        <w:rPr>
          <w:sz w:val="20"/>
          <w:szCs w:val="20"/>
        </w:rPr>
      </w:pPr>
      <w:r>
        <w:rPr>
          <w:rFonts w:ascii="宋体" w:hAnsi="宋体"/>
          <w:b/>
          <w:bCs/>
          <w:sz w:val="20"/>
          <w:szCs w:val="20"/>
        </w:rPr>
        <w:t>先修课程：</w:t>
      </w:r>
      <w:r>
        <w:rPr>
          <w:rFonts w:ascii="宋体" w:hAnsi="宋体"/>
          <w:sz w:val="20"/>
          <w:szCs w:val="20"/>
        </w:rPr>
        <w:t>【</w:t>
      </w:r>
      <w:r>
        <w:rPr>
          <w:rFonts w:hint="eastAsia" w:ascii="宋体" w:hAnsi="宋体"/>
          <w:sz w:val="20"/>
          <w:szCs w:val="20"/>
        </w:rPr>
        <w:t>高等数学</w:t>
      </w:r>
      <w:r>
        <w:rPr>
          <w:rFonts w:hint="eastAsia" w:cs="Calibri"/>
          <w:sz w:val="20"/>
          <w:szCs w:val="20"/>
        </w:rPr>
        <w:t>2050234</w:t>
      </w:r>
      <w:r>
        <w:rPr>
          <w:rFonts w:hint="eastAsia" w:ascii="宋体" w:hAnsi="宋体"/>
          <w:sz w:val="20"/>
          <w:szCs w:val="20"/>
        </w:rPr>
        <w:t>（</w:t>
      </w:r>
      <w:r>
        <w:rPr>
          <w:rFonts w:hint="eastAsia" w:cs="Calibri"/>
          <w:sz w:val="20"/>
          <w:szCs w:val="20"/>
        </w:rPr>
        <w:t>4</w:t>
      </w:r>
      <w:r>
        <w:rPr>
          <w:rFonts w:hint="eastAsia" w:ascii="宋体" w:hAnsi="宋体"/>
          <w:sz w:val="20"/>
          <w:szCs w:val="20"/>
        </w:rPr>
        <w:t>）、医学统计学</w:t>
      </w:r>
      <w:r>
        <w:rPr>
          <w:rFonts w:hint="eastAsia" w:cs="Calibri"/>
          <w:sz w:val="20"/>
          <w:szCs w:val="20"/>
        </w:rPr>
        <w:t>2170005</w:t>
      </w:r>
      <w:r>
        <w:rPr>
          <w:rFonts w:hint="eastAsia" w:ascii="宋体" w:hAnsi="宋体"/>
          <w:sz w:val="20"/>
          <w:szCs w:val="20"/>
        </w:rPr>
        <w:t>（</w:t>
      </w:r>
      <w:r>
        <w:rPr>
          <w:rFonts w:hint="eastAsia" w:cs="Calibri"/>
          <w:sz w:val="20"/>
          <w:szCs w:val="20"/>
        </w:rPr>
        <w:t>3</w:t>
      </w:r>
      <w:r>
        <w:rPr>
          <w:rFonts w:hint="eastAsia" w:ascii="宋体" w:hAnsi="宋体"/>
          <w:sz w:val="20"/>
          <w:szCs w:val="20"/>
        </w:rPr>
        <w:t>）、临床医学概论</w:t>
      </w:r>
      <w:r>
        <w:rPr>
          <w:rFonts w:hint="eastAsia" w:cs="Calibri"/>
          <w:sz w:val="20"/>
          <w:szCs w:val="20"/>
        </w:rPr>
        <w:t>2170006</w:t>
      </w:r>
      <w:r>
        <w:rPr>
          <w:rFonts w:hint="eastAsia" w:ascii="宋体" w:hAnsi="宋体"/>
          <w:sz w:val="20"/>
          <w:szCs w:val="20"/>
        </w:rPr>
        <w:t>（</w:t>
      </w:r>
      <w:r>
        <w:rPr>
          <w:rFonts w:hint="eastAsia" w:cs="Calibri"/>
          <w:sz w:val="20"/>
          <w:szCs w:val="20"/>
        </w:rPr>
        <w:t>4</w:t>
      </w:r>
      <w:r>
        <w:rPr>
          <w:rFonts w:hint="eastAsia" w:ascii="宋体" w:hAnsi="宋体"/>
          <w:sz w:val="20"/>
          <w:szCs w:val="20"/>
        </w:rPr>
        <w:t>）、公共卫生概论</w:t>
      </w:r>
      <w:r>
        <w:rPr>
          <w:rFonts w:hint="eastAsia" w:cs="Calibri"/>
          <w:sz w:val="20"/>
          <w:szCs w:val="20"/>
        </w:rPr>
        <w:t>2170017</w:t>
      </w:r>
      <w:r>
        <w:rPr>
          <w:rFonts w:hint="eastAsia" w:ascii="宋体" w:hAnsi="宋体"/>
          <w:sz w:val="20"/>
          <w:szCs w:val="20"/>
        </w:rPr>
        <w:t>（</w:t>
      </w:r>
      <w:r>
        <w:rPr>
          <w:rFonts w:hint="eastAsia" w:cs="Calibri"/>
          <w:sz w:val="20"/>
          <w:szCs w:val="20"/>
        </w:rPr>
        <w:t>2</w:t>
      </w:r>
      <w:r>
        <w:rPr>
          <w:rFonts w:hint="eastAsia" w:ascii="宋体" w:hAnsi="宋体"/>
          <w:sz w:val="20"/>
          <w:szCs w:val="20"/>
        </w:rPr>
        <w:t>）</w:t>
      </w:r>
      <w:r>
        <w:rPr>
          <w:rFonts w:ascii="宋体" w:hAnsi="宋体"/>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pacing w:line="288" w:lineRule="auto"/>
        <w:ind w:firstLine="400" w:firstLineChars="200"/>
        <w:rPr>
          <w:color w:val="000000"/>
          <w:sz w:val="20"/>
          <w:szCs w:val="20"/>
        </w:rPr>
      </w:pPr>
      <w:r>
        <w:rPr>
          <w:rFonts w:hint="eastAsia" w:ascii="宋体" w:hAnsi="宋体"/>
          <w:sz w:val="20"/>
          <w:szCs w:val="20"/>
        </w:rPr>
        <w:t>《健康经济学》是经济学的蓬勃发展的重要分支学科。它把健康界定为人力资本的特殊形式，利用经济学模型和分析方法研究健康和健康服务市场的独特属性，合理地修正常规的经济学分析方法应用于健康领域。在经济水平提高、人均寿命延长、医疗技术发展的今天，人们对医疗卫生和健康服务的需求快速增长，人类社会面临着如何合理分配社会资源，最大限度满足人民健康服务需求的挑战，健康经济学对提高社会健康福利的整体性效用，优化健康医疗资源配置都发挥着重要的作用。本课程主要介绍了健康经济学的基本理念以及宏观经济、政府行为、卫生费用、药物政策、医院运营和健康政策等方面的一些研究成果，是健康服务与管理专业一门重要的专业必修课程。本课程教学总时数32学时，其中理论教学24学时、实践教学8学时。</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pacing w:line="288" w:lineRule="auto"/>
        <w:ind w:firstLine="400" w:firstLineChars="200"/>
        <w:rPr>
          <w:color w:val="000000"/>
          <w:sz w:val="20"/>
          <w:szCs w:val="20"/>
        </w:rPr>
      </w:pPr>
      <w:r>
        <w:rPr>
          <w:rFonts w:hint="eastAsia" w:ascii="宋体" w:hAnsi="宋体"/>
          <w:sz w:val="20"/>
          <w:szCs w:val="20"/>
        </w:rPr>
        <w:t>学习《健康经济学》课程需要掌握数理统计和医学统计学相关知识以及临床医学和公共卫生基础知识。建议安排在养老服务管理专业第二学年第一学期开设。</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p>
      <w:pPr>
        <w:ind w:firstLine="420" w:firstLineChars="200"/>
      </w:pPr>
    </w:p>
    <w:tbl>
      <w:tblPr>
        <w:tblStyle w:val="4"/>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6650"/>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7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ascii="黑体" w:hAnsi="黑体" w:eastAsia="黑体"/>
                <w:kern w:val="0"/>
                <w:sz w:val="20"/>
                <w:szCs w:val="20"/>
              </w:rPr>
              <w:t>专业毕业要求</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ascii="黑体" w:hAnsi="黑体" w:eastAsia="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s="宋体"/>
                <w:color w:val="000000"/>
                <w:kern w:val="0"/>
              </w:rPr>
            </w:pPr>
            <w:r>
              <w:rPr>
                <w:rFonts w:hint="eastAsia" w:ascii="仿宋" w:hAnsi="仿宋" w:eastAsia="仿宋" w:cs="宋体"/>
                <w:color w:val="000000"/>
                <w:kern w:val="0"/>
              </w:rPr>
              <w:t>L01</w:t>
            </w:r>
          </w:p>
          <w:p>
            <w:pPr>
              <w:adjustRightInd w:val="0"/>
              <w:snapToGrid w:val="0"/>
              <w:spacing w:line="264" w:lineRule="auto"/>
              <w:outlineLvl w:val="1"/>
              <w:rPr>
                <w:rFonts w:ascii="宋体" w:hAnsi="宋体"/>
                <w:color w:val="000000"/>
              </w:rPr>
            </w:pPr>
            <w:r>
              <w:rPr>
                <w:rFonts w:hint="eastAsia" w:ascii="仿宋" w:hAnsi="仿宋" w:eastAsia="仿宋" w:cs="宋体"/>
                <w:color w:val="000000"/>
                <w:kern w:val="0"/>
              </w:rPr>
              <w:t>品德修养</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LO11 爱党爱国，坚决拥护党的领导，热爱祖国的大好河山、悠久历史、灿烂文化，自觉维护民族利益和国家尊严。</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olor w:val="000000"/>
              </w:rPr>
            </w:pPr>
            <w:r>
              <w:rPr>
                <w:rFonts w:hint="eastAsia" w:ascii="仿宋" w:hAnsi="仿宋" w:eastAsia="仿宋"/>
                <w:color w:val="000000"/>
              </w:rPr>
              <w:t>LO12 遵纪守法，增强法律意识，培养法律思维，自觉遵守法律法规、校纪校规。</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olor w:val="000000"/>
              </w:rPr>
            </w:pPr>
            <w:r>
              <w:rPr>
                <w:rFonts w:hint="eastAsia" w:ascii="仿宋" w:hAnsi="仿宋" w:eastAsia="仿宋"/>
                <w:color w:val="000000"/>
              </w:rPr>
              <w:t>LO13 奉献社会，富有爱心，懂得感恩，自觉传承和弘扬雷锋精神，具有服务社会的意愿和行动，积极参加志愿者服务。</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LO14 诚信尽责，为人诚实，信守承诺，勤奋努力，精益求精，勇于担责。</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r>
              <w:rPr>
                <w:rFonts w:ascii="仿宋" w:hAnsi="仿宋" w:eastAsia="仿宋" w:cs="宋体"/>
                <w:color w:val="000000"/>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LO15 爱岗敬业，热爱所学专业，勤学多练，锤炼技能。熟悉本专业相关的法律法规，在实习实践中自觉遵守职业规范，具备职业道德操守。</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s="宋体"/>
                <w:color w:val="000000"/>
                <w:kern w:val="0"/>
              </w:rPr>
            </w:pPr>
            <w:r>
              <w:rPr>
                <w:rFonts w:hint="eastAsia" w:ascii="仿宋" w:hAnsi="仿宋" w:eastAsia="仿宋" w:cs="宋体"/>
                <w:color w:val="000000"/>
                <w:kern w:val="0"/>
              </w:rPr>
              <w:t>LO2</w:t>
            </w:r>
          </w:p>
          <w:p>
            <w:pPr>
              <w:adjustRightInd w:val="0"/>
              <w:snapToGrid w:val="0"/>
              <w:spacing w:line="264" w:lineRule="auto"/>
              <w:outlineLvl w:val="1"/>
              <w:rPr>
                <w:rFonts w:ascii="宋体" w:hAnsi="宋体"/>
                <w:color w:val="000000"/>
              </w:rPr>
            </w:pPr>
            <w:r>
              <w:rPr>
                <w:rFonts w:hint="eastAsia" w:ascii="仿宋" w:hAnsi="仿宋" w:eastAsia="仿宋" w:cs="宋体"/>
                <w:color w:val="000000"/>
                <w:kern w:val="0"/>
              </w:rPr>
              <w:t>专业能力</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LO21 具有专业所需的人文科学素养。</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LO22 健康评估能力：能全面评估老年人的身心、社会及精神方面的健康状态，具有健康监测、健康风险评估能力。</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r>
              <w:rPr>
                <w:rFonts w:ascii="Times New Roman" w:hAnsi="Times New Roman"/>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LO23 养老服务能力：能应用政策法规管理老年事务，以社会工作专业视角及运用专业知识为老年人服务。</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LO24 批判性思维能力：有质疑精神，具有初步运用辩证思维和决策的能力，能进行逻辑的分析与批判，以保证安全有效的专业实践。</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LO25 健康教育能力：能确定老年人的健康需求，并采用合适的健康教育策略。</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r>
              <w:rPr>
                <w:rFonts w:ascii="Times New Roman" w:hAnsi="Times New Roman"/>
                <w:color w:val="000000"/>
                <w:kern w:val="0"/>
                <w:sz w:val="20"/>
                <w:szCs w:val="20"/>
              </w:rPr>
              <w:t>˜</w:t>
            </w:r>
            <w:r>
              <w:rPr>
                <w:rFonts w:ascii="仿宋" w:hAnsi="仿宋" w:eastAsia="仿宋" w:cs="宋体"/>
                <w:color w:val="000000"/>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 xml:space="preserve">LO26 </w:t>
            </w:r>
            <w:r>
              <w:rPr>
                <w:rFonts w:hint="eastAsia" w:ascii="仿宋" w:hAnsi="仿宋" w:eastAsia="仿宋"/>
                <w:color w:val="000000"/>
                <w:lang w:val="en-US" w:eastAsia="zh-CN"/>
              </w:rPr>
              <w:t>协</w:t>
            </w:r>
            <w:bookmarkStart w:id="1" w:name="_GoBack"/>
            <w:bookmarkEnd w:id="1"/>
            <w:r>
              <w:rPr>
                <w:rFonts w:hint="eastAsia" w:ascii="仿宋" w:hAnsi="仿宋" w:eastAsia="仿宋"/>
                <w:color w:val="000000"/>
              </w:rPr>
              <w:t>调管理能力：能协调工作中的各种人际关系,进行老年活动策划、组织老年事务管理。</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s="宋体"/>
                <w:color w:val="000000"/>
                <w:kern w:val="0"/>
              </w:rPr>
            </w:pPr>
            <w:r>
              <w:rPr>
                <w:rFonts w:hint="eastAsia" w:ascii="仿宋" w:hAnsi="仿宋" w:eastAsia="仿宋" w:cs="宋体"/>
                <w:color w:val="000000"/>
                <w:kern w:val="0"/>
              </w:rPr>
              <w:t>LO3</w:t>
            </w:r>
          </w:p>
          <w:p>
            <w:pPr>
              <w:adjustRightInd w:val="0"/>
              <w:snapToGrid w:val="0"/>
              <w:spacing w:line="264" w:lineRule="auto"/>
              <w:outlineLvl w:val="1"/>
              <w:rPr>
                <w:rFonts w:ascii="宋体" w:hAnsi="宋体"/>
                <w:color w:val="000000"/>
              </w:rPr>
            </w:pPr>
            <w:r>
              <w:rPr>
                <w:rFonts w:hint="eastAsia" w:ascii="仿宋" w:hAnsi="仿宋" w:eastAsia="仿宋" w:cs="宋体"/>
                <w:color w:val="000000"/>
                <w:kern w:val="0"/>
              </w:rPr>
              <w:t>表达沟通</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olor w:val="000000"/>
              </w:rPr>
            </w:pPr>
            <w:r>
              <w:rPr>
                <w:rFonts w:hint="eastAsia" w:ascii="仿宋" w:hAnsi="仿宋" w:eastAsia="仿宋"/>
                <w:color w:val="000000"/>
              </w:rPr>
              <w:t>LO31倾听他人意见、尊重他人观点、分析他人需求。</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olor w:val="000000"/>
              </w:rPr>
            </w:pPr>
            <w:r>
              <w:rPr>
                <w:rFonts w:hint="eastAsia" w:ascii="仿宋" w:hAnsi="仿宋" w:eastAsia="仿宋"/>
                <w:color w:val="000000"/>
              </w:rPr>
              <w:t>LO32应用书面或口头形式，阐释自己的观点，有效沟通。</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s="宋体"/>
                <w:color w:val="000000"/>
                <w:kern w:val="0"/>
              </w:rPr>
            </w:pPr>
            <w:r>
              <w:rPr>
                <w:rFonts w:hint="eastAsia" w:ascii="仿宋" w:hAnsi="仿宋" w:eastAsia="仿宋" w:cs="宋体"/>
                <w:color w:val="000000"/>
                <w:kern w:val="0"/>
              </w:rPr>
              <w:t>LO4</w:t>
            </w:r>
          </w:p>
          <w:p>
            <w:pPr>
              <w:adjustRightInd w:val="0"/>
              <w:snapToGrid w:val="0"/>
              <w:spacing w:line="264" w:lineRule="auto"/>
              <w:outlineLvl w:val="1"/>
              <w:rPr>
                <w:rFonts w:ascii="宋体" w:hAnsi="宋体"/>
                <w:color w:val="000000"/>
              </w:rPr>
            </w:pPr>
            <w:r>
              <w:rPr>
                <w:rFonts w:hint="eastAsia" w:ascii="仿宋" w:hAnsi="仿宋" w:eastAsia="仿宋" w:cs="宋体"/>
                <w:color w:val="000000"/>
                <w:kern w:val="0"/>
              </w:rPr>
              <w:t xml:space="preserve">自主学习 </w:t>
            </w:r>
            <w:r>
              <w:rPr>
                <w:rFonts w:hint="eastAsia" w:ascii="宋体" w:hAnsi="宋体"/>
                <w:color w:val="000000"/>
              </w:rPr>
              <w:t xml:space="preserve"> </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olor w:val="000000"/>
              </w:rPr>
            </w:pPr>
            <w:r>
              <w:rPr>
                <w:rFonts w:hint="eastAsia" w:ascii="仿宋" w:hAnsi="仿宋" w:eastAsia="仿宋"/>
                <w:color w:val="000000"/>
              </w:rPr>
              <w:t>L041 能根据需要确定学习目标，并设计学习计划。</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olor w:val="000000"/>
              </w:rPr>
            </w:pPr>
            <w:r>
              <w:rPr>
                <w:rFonts w:hint="eastAsia" w:ascii="仿宋" w:hAnsi="仿宋" w:eastAsia="仿宋"/>
                <w:color w:val="000000"/>
              </w:rPr>
              <w:t>L042 能搜集、获取达到目标所需要的学习资源，实施学习计划、反思学习计划、持续改进，达到学习目标。</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s="宋体"/>
                <w:color w:val="000000"/>
                <w:kern w:val="0"/>
              </w:rPr>
            </w:pPr>
            <w:r>
              <w:rPr>
                <w:rFonts w:hint="eastAsia" w:ascii="仿宋" w:hAnsi="仿宋" w:eastAsia="仿宋" w:cs="宋体"/>
                <w:color w:val="000000"/>
                <w:kern w:val="0"/>
              </w:rPr>
              <w:t>LO5</w:t>
            </w:r>
          </w:p>
          <w:p>
            <w:pPr>
              <w:adjustRightInd w:val="0"/>
              <w:snapToGrid w:val="0"/>
              <w:spacing w:line="264" w:lineRule="auto"/>
              <w:outlineLvl w:val="1"/>
              <w:rPr>
                <w:rFonts w:ascii="宋体" w:hAnsi="宋体"/>
                <w:color w:val="000000"/>
              </w:rPr>
            </w:pPr>
            <w:r>
              <w:rPr>
                <w:rFonts w:hint="eastAsia" w:ascii="宋体" w:hAnsi="宋体"/>
                <w:color w:val="000000"/>
              </w:rPr>
              <w:t>健康发展</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olor w:val="000000"/>
              </w:rPr>
            </w:pPr>
            <w:r>
              <w:rPr>
                <w:rFonts w:hint="eastAsia" w:ascii="仿宋" w:hAnsi="仿宋" w:eastAsia="仿宋"/>
                <w:color w:val="000000"/>
              </w:rPr>
              <w:t>LO51身体健康，具有良好的卫生习惯，积极参加体育活动。</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LO52心理健康，学习和参与心理调适各项活动，耐挫折，能承受学习和生活中的压力。</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LO53 懂得审美，有发现美、感受美、鉴赏美、评价美、创造美的能力。</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LO54 热爱劳动，具有正确的劳动观念和态度，热爱劳动和劳动人民，养成劳动习惯。</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LO55 持续发展，具有爱护环境的意识，与自然和谐相处的环保理念与行动；具备终生学习的意识和能力。</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r>
              <w:rPr>
                <w:rFonts w:ascii="仿宋" w:hAnsi="仿宋" w:eastAsia="仿宋" w:cs="宋体"/>
                <w:color w:val="000000"/>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s="宋体"/>
                <w:color w:val="000000"/>
                <w:kern w:val="0"/>
              </w:rPr>
            </w:pPr>
            <w:r>
              <w:rPr>
                <w:rFonts w:hint="eastAsia" w:ascii="仿宋" w:hAnsi="仿宋" w:eastAsia="仿宋" w:cs="宋体"/>
                <w:color w:val="000000"/>
                <w:kern w:val="0"/>
              </w:rPr>
              <w:t>LO6</w:t>
            </w:r>
          </w:p>
          <w:p>
            <w:pPr>
              <w:adjustRightInd w:val="0"/>
              <w:snapToGrid w:val="0"/>
              <w:spacing w:line="264" w:lineRule="auto"/>
              <w:outlineLvl w:val="1"/>
              <w:rPr>
                <w:rFonts w:ascii="宋体" w:hAnsi="宋体"/>
                <w:color w:val="000000"/>
              </w:rPr>
            </w:pPr>
            <w:r>
              <w:rPr>
                <w:rFonts w:hint="eastAsia" w:ascii="宋体" w:hAnsi="宋体"/>
                <w:color w:val="000000"/>
              </w:rPr>
              <w:t>协同创新</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LO61在集体活动中能主动担任自己的角色，与其他成员密切合作，善于自我管理和团队管理，共同完成任务。</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LO62有质疑精神，能有逻辑的分析与批判。</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LO63 能用创新的方法或者多种方法解决复杂问题或真实问题。</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r>
              <w:rPr>
                <w:rFonts w:ascii="Times New Roman" w:hAnsi="Times New Roman"/>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LO64 了解行业前沿知识技术。</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s="宋体"/>
                <w:color w:val="000000"/>
                <w:kern w:val="0"/>
              </w:rPr>
            </w:pPr>
            <w:r>
              <w:rPr>
                <w:rFonts w:hint="eastAsia" w:ascii="仿宋" w:hAnsi="仿宋" w:eastAsia="仿宋" w:cs="宋体"/>
                <w:color w:val="000000"/>
                <w:kern w:val="0"/>
              </w:rPr>
              <w:t>LO7</w:t>
            </w:r>
          </w:p>
          <w:p>
            <w:pPr>
              <w:adjustRightInd w:val="0"/>
              <w:snapToGrid w:val="0"/>
              <w:spacing w:line="264" w:lineRule="auto"/>
              <w:outlineLvl w:val="1"/>
              <w:rPr>
                <w:rFonts w:ascii="宋体" w:hAnsi="宋体"/>
                <w:color w:val="000000"/>
              </w:rPr>
            </w:pPr>
            <w:r>
              <w:rPr>
                <w:rFonts w:hint="eastAsia" w:ascii="宋体" w:hAnsi="宋体"/>
                <w:color w:val="000000"/>
              </w:rPr>
              <w:t>信息应用</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LO71 能够根据需要进行专业文献检索。</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olor w:val="000000"/>
              </w:rPr>
            </w:pPr>
            <w:r>
              <w:rPr>
                <w:rFonts w:hint="eastAsia" w:ascii="仿宋" w:hAnsi="仿宋" w:eastAsia="仿宋"/>
                <w:color w:val="000000"/>
              </w:rPr>
              <w:t>LO72 能够使用适合的工具来搜集信息，并对信息加以分析、鉴别、判断与整合。</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sz w:val="20"/>
                <w:szCs w:val="20"/>
              </w:rPr>
            </w:pPr>
            <w:r>
              <w:rPr>
                <w:rFonts w:ascii="仿宋" w:hAnsi="仿宋" w:eastAsia="仿宋" w:cs="宋体"/>
                <w:color w:val="000000"/>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宋体" w:hAnsi="宋体"/>
                <w:color w:val="000000"/>
              </w:rPr>
            </w:pPr>
            <w:r>
              <w:rPr>
                <w:rFonts w:hint="eastAsia" w:ascii="仿宋" w:hAnsi="仿宋" w:eastAsia="仿宋"/>
                <w:color w:val="000000"/>
              </w:rPr>
              <w:t>LO73 熟练使用计算机，掌握常用办公软件。</w:t>
            </w:r>
          </w:p>
        </w:tc>
        <w:tc>
          <w:tcPr>
            <w:tcW w:w="666" w:type="dxa"/>
            <w:tcBorders>
              <w:top w:val="single" w:color="auto" w:sz="4" w:space="0"/>
              <w:left w:val="single" w:color="auto" w:sz="4" w:space="0"/>
              <w:bottom w:val="single" w:color="auto" w:sz="4" w:space="0"/>
              <w:right w:val="single" w:color="auto" w:sz="4" w:space="0"/>
            </w:tcBorders>
          </w:tcPr>
          <w:p>
            <w:pPr>
              <w:adjustRightInd w:val="0"/>
              <w:snapToGrid w:val="0"/>
              <w:spacing w:line="264" w:lineRule="auto"/>
              <w:outlineLvl w:val="1"/>
              <w:rPr>
                <w:rFonts w:ascii="宋体" w:hAnsi="宋体"/>
                <w:color w:val="000000"/>
                <w:sz w:val="20"/>
                <w:szCs w:val="20"/>
              </w:rPr>
            </w:pPr>
            <w:r>
              <w:rPr>
                <w:rFonts w:ascii="仿宋" w:hAnsi="仿宋" w:eastAsia="仿宋" w:cs="宋体"/>
                <w:color w:val="000000"/>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s="宋体"/>
                <w:color w:val="000000"/>
                <w:kern w:val="0"/>
              </w:rPr>
            </w:pPr>
            <w:r>
              <w:rPr>
                <w:rFonts w:hint="eastAsia" w:ascii="仿宋" w:hAnsi="仿宋" w:eastAsia="仿宋" w:cs="宋体"/>
                <w:color w:val="000000"/>
                <w:kern w:val="0"/>
              </w:rPr>
              <w:t>LO8</w:t>
            </w:r>
          </w:p>
          <w:p>
            <w:pPr>
              <w:adjustRightInd w:val="0"/>
              <w:snapToGrid w:val="0"/>
              <w:spacing w:line="264" w:lineRule="auto"/>
              <w:outlineLvl w:val="1"/>
              <w:rPr>
                <w:rFonts w:ascii="宋体" w:hAnsi="宋体"/>
                <w:color w:val="000000"/>
              </w:rPr>
            </w:pPr>
            <w:r>
              <w:rPr>
                <w:rFonts w:hint="eastAsia" w:ascii="仿宋" w:hAnsi="仿宋" w:eastAsia="仿宋" w:cs="宋体"/>
                <w:color w:val="000000"/>
                <w:kern w:val="0"/>
              </w:rPr>
              <w:t>国际视野</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olor w:val="000000"/>
              </w:rPr>
            </w:pPr>
            <w:r>
              <w:rPr>
                <w:rFonts w:hint="eastAsia" w:ascii="仿宋" w:hAnsi="仿宋" w:eastAsia="仿宋"/>
                <w:color w:val="000000"/>
              </w:rPr>
              <w:t>LO81 具备外语表达沟通能力，达到本专业的要求。</w:t>
            </w:r>
          </w:p>
        </w:tc>
        <w:tc>
          <w:tcPr>
            <w:tcW w:w="666" w:type="dxa"/>
            <w:tcBorders>
              <w:top w:val="single" w:color="auto" w:sz="4" w:space="0"/>
              <w:left w:val="single" w:color="auto" w:sz="4" w:space="0"/>
              <w:bottom w:val="single" w:color="auto" w:sz="4" w:space="0"/>
              <w:right w:val="single" w:color="auto" w:sz="4" w:space="0"/>
            </w:tcBorders>
          </w:tcPr>
          <w:p>
            <w:pPr>
              <w:adjustRightInd w:val="0"/>
              <w:snapToGrid w:val="0"/>
              <w:spacing w:line="264" w:lineRule="auto"/>
              <w:outlineLvl w:val="1"/>
              <w:rPr>
                <w:rFonts w:ascii="宋体" w:hAnsi="宋体"/>
                <w:color w:val="000000"/>
                <w:sz w:val="20"/>
                <w:szCs w:val="20"/>
              </w:rPr>
            </w:pPr>
            <w:r>
              <w:rPr>
                <w:rFonts w:ascii="仿宋" w:hAnsi="仿宋" w:eastAsia="仿宋" w:cs="宋体"/>
                <w:color w:val="000000"/>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olor w:val="000000"/>
              </w:rPr>
            </w:pPr>
            <w:r>
              <w:rPr>
                <w:rFonts w:hint="eastAsia" w:ascii="仿宋" w:hAnsi="仿宋" w:eastAsia="仿宋"/>
                <w:color w:val="000000"/>
              </w:rPr>
              <w:t>LO82 理解其他国家历史文化，有跨文化交流能力。</w:t>
            </w:r>
          </w:p>
        </w:tc>
        <w:tc>
          <w:tcPr>
            <w:tcW w:w="666" w:type="dxa"/>
            <w:tcBorders>
              <w:top w:val="single" w:color="auto" w:sz="4" w:space="0"/>
              <w:left w:val="single" w:color="auto" w:sz="4" w:space="0"/>
              <w:bottom w:val="single" w:color="auto" w:sz="4" w:space="0"/>
              <w:right w:val="single" w:color="auto" w:sz="4" w:space="0"/>
            </w:tcBorders>
          </w:tcPr>
          <w:p>
            <w:pPr>
              <w:adjustRightInd w:val="0"/>
              <w:snapToGrid w:val="0"/>
              <w:spacing w:line="264" w:lineRule="auto"/>
              <w:outlineLvl w:val="1"/>
              <w:rPr>
                <w:rFonts w:ascii="宋体" w:hAnsi="宋体"/>
                <w:color w:val="000000"/>
                <w:sz w:val="20"/>
                <w:szCs w:val="20"/>
              </w:rPr>
            </w:pPr>
            <w:r>
              <w:rPr>
                <w:rFonts w:ascii="仿宋" w:hAnsi="仿宋" w:eastAsia="仿宋" w:cs="宋体"/>
                <w:color w:val="000000"/>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olor w:val="000000"/>
              </w:rPr>
            </w:pPr>
            <w:r>
              <w:rPr>
                <w:rFonts w:hint="eastAsia" w:ascii="仿宋" w:hAnsi="仿宋" w:eastAsia="仿宋"/>
                <w:color w:val="000000"/>
              </w:rPr>
              <w:t>LO83 有国际竞争与合作意识。</w:t>
            </w:r>
          </w:p>
        </w:tc>
        <w:tc>
          <w:tcPr>
            <w:tcW w:w="666" w:type="dxa"/>
            <w:tcBorders>
              <w:top w:val="single" w:color="auto" w:sz="4" w:space="0"/>
              <w:left w:val="single" w:color="auto" w:sz="4" w:space="0"/>
              <w:bottom w:val="single" w:color="auto" w:sz="4" w:space="0"/>
              <w:right w:val="single" w:color="auto" w:sz="4" w:space="0"/>
            </w:tcBorders>
          </w:tcPr>
          <w:p>
            <w:pPr>
              <w:adjustRightInd w:val="0"/>
              <w:snapToGrid w:val="0"/>
              <w:spacing w:line="264" w:lineRule="auto"/>
              <w:outlineLvl w:val="1"/>
              <w:rPr>
                <w:rFonts w:ascii="宋体" w:hAnsi="宋体"/>
                <w:color w:val="000000"/>
                <w:sz w:val="20"/>
                <w:szCs w:val="20"/>
              </w:rPr>
            </w:pPr>
            <w:r>
              <w:rPr>
                <w:rFonts w:ascii="仿宋" w:hAnsi="仿宋" w:eastAsia="仿宋" w:cs="宋体"/>
                <w:color w:val="000000"/>
                <w:kern w:val="0"/>
                <w:sz w:val="24"/>
                <w:szCs w:val="24"/>
              </w:rPr>
              <w:sym w:font="Wingdings 2" w:char="F098"/>
            </w:r>
          </w:p>
        </w:tc>
      </w:tr>
    </w:tbl>
    <w:p/>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sz w:val="20"/>
          <w:szCs w:val="20"/>
          <w:highlight w:val="yellow"/>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 xml:space="preserve">目标/课程预期学习成果 </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b/>
                <w:bCs/>
              </w:rPr>
            </w:pPr>
            <w:r>
              <w:rPr>
                <w:rFonts w:hint="eastAsia"/>
                <w:b/>
                <w:bCs/>
              </w:rPr>
              <w:t>序号</w:t>
            </w:r>
          </w:p>
        </w:tc>
        <w:tc>
          <w:tcPr>
            <w:tcW w:w="1175" w:type="dxa"/>
            <w:shd w:val="clear" w:color="auto" w:fill="auto"/>
          </w:tcPr>
          <w:p>
            <w:pPr>
              <w:rPr>
                <w:b/>
                <w:bCs/>
              </w:rPr>
            </w:pPr>
            <w:r>
              <w:rPr>
                <w:rFonts w:hint="eastAsia"/>
                <w:b/>
                <w:bCs/>
              </w:rPr>
              <w:t>课程预期</w:t>
            </w:r>
          </w:p>
          <w:p>
            <w:pPr>
              <w:rPr>
                <w:b/>
                <w:bCs/>
              </w:rPr>
            </w:pPr>
            <w:r>
              <w:rPr>
                <w:rFonts w:hint="eastAsia"/>
                <w:b/>
                <w:bCs/>
              </w:rPr>
              <w:t>学习成果</w:t>
            </w:r>
          </w:p>
        </w:tc>
        <w:tc>
          <w:tcPr>
            <w:tcW w:w="2470" w:type="dxa"/>
            <w:shd w:val="clear" w:color="auto" w:fill="auto"/>
            <w:vAlign w:val="center"/>
          </w:tcPr>
          <w:p>
            <w:pPr>
              <w:rPr>
                <w:b/>
                <w:bCs/>
              </w:rPr>
            </w:pPr>
            <w:r>
              <w:rPr>
                <w:rFonts w:hint="eastAsia"/>
                <w:b/>
                <w:bCs/>
              </w:rPr>
              <w:t>课程目标</w:t>
            </w:r>
          </w:p>
        </w:tc>
        <w:tc>
          <w:tcPr>
            <w:tcW w:w="2199" w:type="dxa"/>
            <w:shd w:val="clear" w:color="auto" w:fill="auto"/>
            <w:vAlign w:val="center"/>
          </w:tcPr>
          <w:p>
            <w:pPr>
              <w:rPr>
                <w:b/>
                <w:bCs/>
              </w:rPr>
            </w:pPr>
            <w:r>
              <w:rPr>
                <w:rFonts w:hint="eastAsia"/>
                <w:b/>
                <w:bCs/>
              </w:rPr>
              <w:t>教与学方式</w:t>
            </w:r>
          </w:p>
        </w:tc>
        <w:tc>
          <w:tcPr>
            <w:tcW w:w="1276" w:type="dxa"/>
            <w:shd w:val="clear" w:color="auto" w:fill="auto"/>
            <w:vAlign w:val="center"/>
          </w:tcPr>
          <w:p>
            <w:pPr>
              <w:rPr>
                <w:b/>
                <w:bCs/>
              </w:rPr>
            </w:pPr>
            <w:r>
              <w:rPr>
                <w:rFonts w:hint="eastAsia"/>
                <w:b/>
                <w:bCs/>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0" w:lineRule="exact"/>
              <w:rPr>
                <w:rFonts w:ascii="宋体" w:hAnsi="宋体" w:cs="仿宋"/>
                <w:bCs/>
                <w:sz w:val="20"/>
                <w:szCs w:val="20"/>
              </w:rPr>
            </w:pPr>
            <w:r>
              <w:rPr>
                <w:rFonts w:hint="eastAsia" w:ascii="宋体" w:hAnsi="宋体" w:cs="仿宋"/>
                <w:bCs/>
                <w:sz w:val="20"/>
                <w:szCs w:val="20"/>
              </w:rPr>
              <w:t>1</w:t>
            </w:r>
          </w:p>
        </w:tc>
        <w:tc>
          <w:tcPr>
            <w:tcW w:w="1175" w:type="dxa"/>
            <w:shd w:val="clear" w:color="auto" w:fill="auto"/>
            <w:vAlign w:val="center"/>
          </w:tcPr>
          <w:p>
            <w:pPr>
              <w:snapToGrid w:val="0"/>
              <w:spacing w:line="280" w:lineRule="exact"/>
              <w:rPr>
                <w:rFonts w:ascii="宋体" w:hAnsi="宋体" w:cs="仿宋"/>
                <w:bCs/>
                <w:sz w:val="20"/>
                <w:szCs w:val="20"/>
              </w:rPr>
            </w:pPr>
            <w:r>
              <w:rPr>
                <w:rFonts w:hint="eastAsia" w:ascii="宋体" w:hAnsi="宋体" w:cs="仿宋"/>
                <w:bCs/>
                <w:sz w:val="20"/>
                <w:szCs w:val="20"/>
              </w:rPr>
              <w:t>LO14</w:t>
            </w:r>
          </w:p>
        </w:tc>
        <w:tc>
          <w:tcPr>
            <w:tcW w:w="2470" w:type="dxa"/>
            <w:shd w:val="clear" w:color="auto" w:fill="auto"/>
          </w:tcPr>
          <w:p>
            <w:pPr>
              <w:snapToGrid w:val="0"/>
              <w:spacing w:line="280" w:lineRule="exact"/>
              <w:rPr>
                <w:rFonts w:ascii="宋体" w:hAnsi="宋体" w:cs="仿宋"/>
                <w:bCs/>
                <w:sz w:val="20"/>
                <w:szCs w:val="20"/>
              </w:rPr>
            </w:pPr>
            <w:r>
              <w:rPr>
                <w:rFonts w:hint="eastAsia" w:ascii="宋体" w:hAnsi="宋体" w:cs="仿宋"/>
                <w:bCs/>
                <w:sz w:val="20"/>
                <w:szCs w:val="20"/>
              </w:rPr>
              <w:t>帮助学生提高道德素质,形成健康的心理品质,树立法律意识,增强社会责任感和社会实践能力</w:t>
            </w:r>
          </w:p>
        </w:tc>
        <w:tc>
          <w:tcPr>
            <w:tcW w:w="2199" w:type="dxa"/>
            <w:shd w:val="clear" w:color="auto" w:fill="auto"/>
          </w:tcPr>
          <w:p>
            <w:pPr>
              <w:snapToGrid w:val="0"/>
              <w:spacing w:line="280" w:lineRule="exact"/>
              <w:rPr>
                <w:rFonts w:ascii="宋体" w:hAnsi="宋体" w:cs="仿宋"/>
                <w:bCs/>
                <w:sz w:val="20"/>
                <w:szCs w:val="20"/>
              </w:rPr>
            </w:pPr>
            <w:r>
              <w:rPr>
                <w:rFonts w:hint="eastAsia" w:ascii="宋体" w:hAnsi="宋体" w:cs="仿宋"/>
                <w:bCs/>
                <w:sz w:val="20"/>
                <w:szCs w:val="20"/>
              </w:rPr>
              <w:t>讲授</w:t>
            </w:r>
          </w:p>
          <w:p>
            <w:pPr>
              <w:snapToGrid w:val="0"/>
              <w:spacing w:line="280" w:lineRule="exact"/>
              <w:rPr>
                <w:rFonts w:ascii="宋体" w:hAnsi="宋体" w:cs="仿宋"/>
                <w:bCs/>
                <w:sz w:val="20"/>
                <w:szCs w:val="20"/>
              </w:rPr>
            </w:pPr>
            <w:r>
              <w:rPr>
                <w:rFonts w:hint="eastAsia" w:ascii="宋体" w:hAnsi="宋体" w:cs="仿宋"/>
                <w:bCs/>
                <w:sz w:val="20"/>
                <w:szCs w:val="20"/>
              </w:rPr>
              <w:t>小组讨论</w:t>
            </w:r>
          </w:p>
        </w:tc>
        <w:tc>
          <w:tcPr>
            <w:tcW w:w="1276" w:type="dxa"/>
            <w:shd w:val="clear" w:color="auto" w:fill="auto"/>
          </w:tcPr>
          <w:p>
            <w:pPr>
              <w:snapToGrid w:val="0"/>
              <w:spacing w:line="280" w:lineRule="exact"/>
              <w:rPr>
                <w:rFonts w:ascii="宋体" w:hAnsi="宋体" w:cs="仿宋"/>
                <w:bCs/>
                <w:sz w:val="20"/>
                <w:szCs w:val="20"/>
              </w:rPr>
            </w:pPr>
            <w:r>
              <w:rPr>
                <w:rFonts w:hint="eastAsia" w:ascii="宋体" w:hAnsi="宋体" w:cs="仿宋"/>
                <w:bCs/>
                <w:sz w:val="20"/>
                <w:szCs w:val="20"/>
              </w:rPr>
              <w:t>案例讨论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0" w:lineRule="exact"/>
              <w:rPr>
                <w:rFonts w:ascii="宋体" w:hAnsi="宋体" w:cs="仿宋"/>
                <w:bCs/>
                <w:sz w:val="20"/>
                <w:szCs w:val="20"/>
              </w:rPr>
            </w:pPr>
            <w:r>
              <w:rPr>
                <w:rFonts w:hint="eastAsia" w:ascii="宋体" w:hAnsi="宋体" w:cs="仿宋"/>
                <w:bCs/>
                <w:sz w:val="20"/>
                <w:szCs w:val="20"/>
              </w:rPr>
              <w:t>2</w:t>
            </w:r>
          </w:p>
        </w:tc>
        <w:tc>
          <w:tcPr>
            <w:tcW w:w="1175" w:type="dxa"/>
            <w:shd w:val="clear" w:color="auto" w:fill="auto"/>
          </w:tcPr>
          <w:p>
            <w:pPr>
              <w:snapToGrid w:val="0"/>
              <w:spacing w:line="280" w:lineRule="exact"/>
              <w:rPr>
                <w:rFonts w:ascii="宋体" w:hAnsi="宋体" w:cs="仿宋"/>
                <w:bCs/>
                <w:sz w:val="20"/>
                <w:szCs w:val="20"/>
              </w:rPr>
            </w:pPr>
            <w:r>
              <w:rPr>
                <w:rFonts w:hint="eastAsia" w:ascii="宋体" w:hAnsi="宋体" w:cs="仿宋"/>
                <w:bCs/>
                <w:sz w:val="20"/>
                <w:szCs w:val="20"/>
              </w:rPr>
              <w:t>LO25</w:t>
            </w:r>
          </w:p>
        </w:tc>
        <w:tc>
          <w:tcPr>
            <w:tcW w:w="2470" w:type="dxa"/>
            <w:shd w:val="clear" w:color="auto" w:fill="auto"/>
          </w:tcPr>
          <w:p>
            <w:pPr>
              <w:snapToGrid w:val="0"/>
              <w:spacing w:line="280" w:lineRule="exact"/>
              <w:rPr>
                <w:rFonts w:ascii="宋体" w:hAnsi="宋体" w:cs="仿宋"/>
                <w:bCs/>
                <w:sz w:val="20"/>
                <w:szCs w:val="20"/>
              </w:rPr>
            </w:pPr>
            <w:r>
              <w:rPr>
                <w:rFonts w:hint="eastAsia" w:ascii="宋体" w:hAnsi="宋体" w:cs="仿宋"/>
                <w:bCs/>
                <w:sz w:val="20"/>
                <w:szCs w:val="20"/>
              </w:rPr>
              <w:t>熟悉老年人福利政策和社会保障制度,能够为老年人提供相应的政策咨询和服务可为老年人提供健康经济保障的帮助。</w:t>
            </w:r>
          </w:p>
        </w:tc>
        <w:tc>
          <w:tcPr>
            <w:tcW w:w="2199" w:type="dxa"/>
            <w:shd w:val="clear" w:color="auto" w:fill="auto"/>
          </w:tcPr>
          <w:p>
            <w:pPr>
              <w:snapToGrid w:val="0"/>
              <w:spacing w:line="280" w:lineRule="exact"/>
              <w:rPr>
                <w:rFonts w:ascii="宋体" w:hAnsi="宋体" w:cs="仿宋"/>
                <w:bCs/>
                <w:sz w:val="20"/>
                <w:szCs w:val="20"/>
              </w:rPr>
            </w:pPr>
            <w:r>
              <w:rPr>
                <w:rFonts w:hint="eastAsia" w:ascii="宋体" w:hAnsi="宋体" w:cs="仿宋"/>
                <w:bCs/>
                <w:sz w:val="20"/>
                <w:szCs w:val="20"/>
              </w:rPr>
              <w:t>理论讲授</w:t>
            </w:r>
          </w:p>
          <w:p>
            <w:pPr>
              <w:snapToGrid w:val="0"/>
              <w:spacing w:line="280" w:lineRule="exact"/>
              <w:rPr>
                <w:rFonts w:ascii="宋体" w:hAnsi="宋体" w:cs="仿宋"/>
                <w:bCs/>
                <w:sz w:val="20"/>
                <w:szCs w:val="20"/>
              </w:rPr>
            </w:pPr>
            <w:r>
              <w:rPr>
                <w:rFonts w:hint="eastAsia" w:ascii="宋体" w:hAnsi="宋体" w:cs="仿宋"/>
                <w:bCs/>
                <w:sz w:val="20"/>
                <w:szCs w:val="20"/>
              </w:rPr>
              <w:t>案例分析</w:t>
            </w:r>
          </w:p>
          <w:p>
            <w:pPr>
              <w:snapToGrid w:val="0"/>
              <w:spacing w:line="280" w:lineRule="exact"/>
              <w:rPr>
                <w:rFonts w:ascii="宋体" w:hAnsi="宋体" w:cs="仿宋"/>
                <w:bCs/>
                <w:sz w:val="20"/>
                <w:szCs w:val="20"/>
              </w:rPr>
            </w:pPr>
            <w:r>
              <w:rPr>
                <w:rFonts w:hint="eastAsia" w:ascii="宋体" w:hAnsi="宋体" w:cs="仿宋"/>
                <w:bCs/>
                <w:sz w:val="20"/>
                <w:szCs w:val="20"/>
              </w:rPr>
              <w:t>小组讨论</w:t>
            </w:r>
          </w:p>
        </w:tc>
        <w:tc>
          <w:tcPr>
            <w:tcW w:w="1276" w:type="dxa"/>
            <w:shd w:val="clear" w:color="auto" w:fill="auto"/>
          </w:tcPr>
          <w:p>
            <w:pPr>
              <w:snapToGrid w:val="0"/>
              <w:spacing w:line="280" w:lineRule="exact"/>
              <w:rPr>
                <w:rFonts w:ascii="宋体" w:hAnsi="宋体" w:cs="仿宋"/>
                <w:bCs/>
                <w:sz w:val="20"/>
                <w:szCs w:val="20"/>
              </w:rPr>
            </w:pPr>
            <w:r>
              <w:rPr>
                <w:rFonts w:hint="eastAsia" w:ascii="宋体" w:hAnsi="宋体" w:cs="仿宋"/>
                <w:bCs/>
                <w:sz w:val="20"/>
                <w:szCs w:val="20"/>
              </w:rPr>
              <w:t>课堂测验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0" w:lineRule="exact"/>
              <w:rPr>
                <w:rFonts w:ascii="宋体" w:hAnsi="宋体" w:cs="仿宋"/>
                <w:bCs/>
                <w:sz w:val="20"/>
                <w:szCs w:val="20"/>
              </w:rPr>
            </w:pPr>
            <w:r>
              <w:rPr>
                <w:rFonts w:hint="eastAsia" w:ascii="宋体" w:hAnsi="宋体" w:cs="仿宋"/>
                <w:bCs/>
                <w:sz w:val="20"/>
                <w:szCs w:val="20"/>
              </w:rPr>
              <w:t>3</w:t>
            </w:r>
          </w:p>
        </w:tc>
        <w:tc>
          <w:tcPr>
            <w:tcW w:w="1175" w:type="dxa"/>
            <w:shd w:val="clear" w:color="auto" w:fill="auto"/>
          </w:tcPr>
          <w:p>
            <w:pPr>
              <w:snapToGrid w:val="0"/>
              <w:spacing w:line="280" w:lineRule="exact"/>
              <w:rPr>
                <w:rFonts w:ascii="宋体" w:hAnsi="宋体" w:cs="仿宋"/>
                <w:bCs/>
                <w:sz w:val="20"/>
                <w:szCs w:val="20"/>
              </w:rPr>
            </w:pPr>
            <w:r>
              <w:rPr>
                <w:rFonts w:hint="eastAsia" w:ascii="宋体" w:hAnsi="宋体" w:cs="仿宋"/>
                <w:bCs/>
                <w:sz w:val="20"/>
                <w:szCs w:val="20"/>
              </w:rPr>
              <w:t>LO26</w:t>
            </w:r>
          </w:p>
        </w:tc>
        <w:tc>
          <w:tcPr>
            <w:tcW w:w="2470" w:type="dxa"/>
            <w:shd w:val="clear" w:color="auto" w:fill="auto"/>
          </w:tcPr>
          <w:p>
            <w:pPr>
              <w:snapToGrid w:val="0"/>
              <w:spacing w:line="280" w:lineRule="exact"/>
              <w:rPr>
                <w:rFonts w:ascii="宋体" w:hAnsi="宋体" w:cs="仿宋"/>
                <w:bCs/>
                <w:sz w:val="20"/>
                <w:szCs w:val="20"/>
              </w:rPr>
            </w:pPr>
            <w:r>
              <w:rPr>
                <w:rFonts w:hint="eastAsia" w:ascii="宋体" w:hAnsi="宋体" w:cs="仿宋"/>
                <w:bCs/>
                <w:sz w:val="20"/>
                <w:szCs w:val="20"/>
              </w:rPr>
              <w:t>掌握对老年人个人或人群的健康风险因素进行全面管理的能力，开展老年活动或老年事务管理。</w:t>
            </w:r>
          </w:p>
        </w:tc>
        <w:tc>
          <w:tcPr>
            <w:tcW w:w="2199" w:type="dxa"/>
            <w:shd w:val="clear" w:color="auto" w:fill="auto"/>
          </w:tcPr>
          <w:p>
            <w:pPr>
              <w:snapToGrid w:val="0"/>
              <w:spacing w:line="280" w:lineRule="exact"/>
              <w:rPr>
                <w:rFonts w:ascii="宋体" w:hAnsi="宋体" w:cs="仿宋"/>
                <w:bCs/>
                <w:sz w:val="20"/>
                <w:szCs w:val="20"/>
              </w:rPr>
            </w:pPr>
            <w:r>
              <w:rPr>
                <w:rFonts w:hint="eastAsia" w:ascii="宋体" w:hAnsi="宋体" w:cs="仿宋"/>
                <w:bCs/>
                <w:sz w:val="20"/>
                <w:szCs w:val="20"/>
              </w:rPr>
              <w:t>理论讲授</w:t>
            </w:r>
          </w:p>
          <w:p>
            <w:pPr>
              <w:snapToGrid w:val="0"/>
              <w:spacing w:line="280" w:lineRule="exact"/>
              <w:rPr>
                <w:rFonts w:ascii="宋体" w:hAnsi="宋体" w:cs="仿宋"/>
                <w:bCs/>
                <w:sz w:val="20"/>
                <w:szCs w:val="20"/>
              </w:rPr>
            </w:pPr>
            <w:r>
              <w:rPr>
                <w:rFonts w:hint="eastAsia" w:ascii="宋体" w:hAnsi="宋体" w:cs="仿宋"/>
                <w:bCs/>
                <w:sz w:val="20"/>
                <w:szCs w:val="20"/>
              </w:rPr>
              <w:t>案例分析</w:t>
            </w:r>
          </w:p>
          <w:p>
            <w:pPr>
              <w:snapToGrid w:val="0"/>
              <w:spacing w:line="280" w:lineRule="exact"/>
              <w:rPr>
                <w:rFonts w:ascii="宋体" w:hAnsi="宋体" w:cs="仿宋"/>
                <w:bCs/>
                <w:sz w:val="20"/>
                <w:szCs w:val="20"/>
              </w:rPr>
            </w:pPr>
            <w:r>
              <w:rPr>
                <w:rFonts w:hint="eastAsia" w:ascii="宋体" w:hAnsi="宋体" w:cs="仿宋"/>
                <w:bCs/>
                <w:sz w:val="20"/>
                <w:szCs w:val="20"/>
              </w:rPr>
              <w:t>小组讨论</w:t>
            </w:r>
          </w:p>
        </w:tc>
        <w:tc>
          <w:tcPr>
            <w:tcW w:w="1276" w:type="dxa"/>
            <w:shd w:val="clear" w:color="auto" w:fill="auto"/>
          </w:tcPr>
          <w:p>
            <w:pPr>
              <w:snapToGrid w:val="0"/>
              <w:spacing w:line="280" w:lineRule="exact"/>
              <w:rPr>
                <w:rFonts w:ascii="宋体" w:hAnsi="宋体" w:cs="仿宋"/>
                <w:bCs/>
                <w:sz w:val="20"/>
                <w:szCs w:val="20"/>
              </w:rPr>
            </w:pPr>
            <w:r>
              <w:rPr>
                <w:rFonts w:hint="eastAsia" w:ascii="宋体" w:hAnsi="宋体" w:cs="仿宋"/>
                <w:bCs/>
                <w:sz w:val="20"/>
                <w:szCs w:val="20"/>
              </w:rPr>
              <w:t>案例讨论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0" w:lineRule="exact"/>
              <w:rPr>
                <w:rFonts w:ascii="宋体" w:hAnsi="宋体" w:cs="仿宋"/>
                <w:bCs/>
                <w:sz w:val="20"/>
                <w:szCs w:val="20"/>
              </w:rPr>
            </w:pPr>
            <w:r>
              <w:rPr>
                <w:rFonts w:hint="eastAsia" w:ascii="宋体" w:hAnsi="宋体" w:cs="仿宋"/>
                <w:bCs/>
                <w:sz w:val="20"/>
                <w:szCs w:val="20"/>
              </w:rPr>
              <w:t>4</w:t>
            </w:r>
          </w:p>
        </w:tc>
        <w:tc>
          <w:tcPr>
            <w:tcW w:w="1175" w:type="dxa"/>
            <w:shd w:val="clear" w:color="auto" w:fill="auto"/>
          </w:tcPr>
          <w:p>
            <w:pPr>
              <w:snapToGrid w:val="0"/>
              <w:spacing w:line="280" w:lineRule="exact"/>
              <w:rPr>
                <w:rFonts w:ascii="宋体" w:hAnsi="宋体" w:cs="仿宋"/>
                <w:bCs/>
                <w:sz w:val="20"/>
                <w:szCs w:val="20"/>
              </w:rPr>
            </w:pPr>
            <w:r>
              <w:rPr>
                <w:rFonts w:hint="eastAsia" w:ascii="宋体" w:hAnsi="宋体" w:cs="仿宋"/>
                <w:bCs/>
                <w:sz w:val="20"/>
                <w:szCs w:val="20"/>
              </w:rPr>
              <w:t>LO55</w:t>
            </w:r>
          </w:p>
        </w:tc>
        <w:tc>
          <w:tcPr>
            <w:tcW w:w="2470" w:type="dxa"/>
            <w:shd w:val="clear" w:color="auto" w:fill="auto"/>
          </w:tcPr>
          <w:p>
            <w:pPr>
              <w:snapToGrid w:val="0"/>
              <w:spacing w:line="280" w:lineRule="exact"/>
              <w:rPr>
                <w:rFonts w:ascii="宋体" w:hAnsi="宋体" w:cs="仿宋"/>
                <w:bCs/>
                <w:sz w:val="20"/>
                <w:szCs w:val="20"/>
              </w:rPr>
            </w:pPr>
            <w:r>
              <w:rPr>
                <w:rFonts w:hint="eastAsia" w:ascii="宋体" w:hAnsi="宋体" w:cs="仿宋"/>
                <w:bCs/>
                <w:sz w:val="20"/>
                <w:szCs w:val="20"/>
              </w:rPr>
              <w:t>理解循环经济、可持续发展、绿色GDP等基本概念，从全球角度比较不同的发展模式和发展道路产生的效果。</w:t>
            </w:r>
          </w:p>
        </w:tc>
        <w:tc>
          <w:tcPr>
            <w:tcW w:w="2199" w:type="dxa"/>
            <w:shd w:val="clear" w:color="auto" w:fill="auto"/>
          </w:tcPr>
          <w:p>
            <w:pPr>
              <w:snapToGrid w:val="0"/>
              <w:spacing w:line="280" w:lineRule="exact"/>
              <w:rPr>
                <w:rFonts w:ascii="宋体" w:hAnsi="宋体" w:cs="仿宋"/>
                <w:bCs/>
                <w:sz w:val="20"/>
                <w:szCs w:val="20"/>
              </w:rPr>
            </w:pPr>
            <w:r>
              <w:rPr>
                <w:rFonts w:hint="eastAsia" w:ascii="宋体" w:hAnsi="宋体" w:cs="仿宋"/>
                <w:bCs/>
                <w:sz w:val="20"/>
                <w:szCs w:val="20"/>
              </w:rPr>
              <w:t>理论讲授</w:t>
            </w:r>
          </w:p>
          <w:p>
            <w:pPr>
              <w:snapToGrid w:val="0"/>
              <w:spacing w:line="280" w:lineRule="exact"/>
              <w:rPr>
                <w:rFonts w:ascii="宋体" w:hAnsi="宋体" w:cs="仿宋"/>
                <w:bCs/>
                <w:sz w:val="20"/>
                <w:szCs w:val="20"/>
              </w:rPr>
            </w:pPr>
            <w:r>
              <w:rPr>
                <w:rFonts w:hint="eastAsia" w:ascii="宋体" w:hAnsi="宋体" w:cs="仿宋"/>
                <w:bCs/>
                <w:sz w:val="20"/>
                <w:szCs w:val="20"/>
              </w:rPr>
              <w:t>案例分析</w:t>
            </w:r>
          </w:p>
          <w:p>
            <w:pPr>
              <w:snapToGrid w:val="0"/>
              <w:spacing w:line="280" w:lineRule="exact"/>
              <w:rPr>
                <w:rFonts w:ascii="宋体" w:hAnsi="宋体" w:cs="仿宋"/>
                <w:bCs/>
                <w:sz w:val="20"/>
                <w:szCs w:val="20"/>
              </w:rPr>
            </w:pPr>
            <w:r>
              <w:rPr>
                <w:rFonts w:hint="eastAsia" w:ascii="宋体" w:hAnsi="宋体" w:cs="仿宋"/>
                <w:bCs/>
                <w:sz w:val="20"/>
                <w:szCs w:val="20"/>
              </w:rPr>
              <w:t>小组讨论</w:t>
            </w:r>
          </w:p>
        </w:tc>
        <w:tc>
          <w:tcPr>
            <w:tcW w:w="1276" w:type="dxa"/>
            <w:shd w:val="clear" w:color="auto" w:fill="auto"/>
          </w:tcPr>
          <w:p>
            <w:pPr>
              <w:snapToGrid w:val="0"/>
              <w:spacing w:line="280" w:lineRule="exact"/>
              <w:rPr>
                <w:rFonts w:ascii="宋体" w:hAnsi="宋体"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0" w:lineRule="exact"/>
              <w:rPr>
                <w:rFonts w:ascii="宋体" w:hAnsi="宋体" w:cs="仿宋"/>
                <w:bCs/>
                <w:sz w:val="20"/>
                <w:szCs w:val="20"/>
              </w:rPr>
            </w:pPr>
            <w:r>
              <w:rPr>
                <w:rFonts w:hint="eastAsia" w:ascii="宋体" w:hAnsi="宋体" w:cs="仿宋"/>
                <w:bCs/>
                <w:sz w:val="20"/>
                <w:szCs w:val="20"/>
              </w:rPr>
              <w:t>5</w:t>
            </w:r>
          </w:p>
        </w:tc>
        <w:tc>
          <w:tcPr>
            <w:tcW w:w="1175" w:type="dxa"/>
            <w:shd w:val="clear" w:color="auto" w:fill="auto"/>
          </w:tcPr>
          <w:p>
            <w:pPr>
              <w:snapToGrid w:val="0"/>
              <w:spacing w:line="280" w:lineRule="exact"/>
              <w:rPr>
                <w:rFonts w:ascii="宋体" w:hAnsi="宋体" w:cs="仿宋"/>
                <w:bCs/>
                <w:sz w:val="20"/>
                <w:szCs w:val="20"/>
              </w:rPr>
            </w:pPr>
            <w:r>
              <w:rPr>
                <w:rFonts w:hint="eastAsia" w:ascii="宋体" w:hAnsi="宋体" w:cs="仿宋"/>
                <w:bCs/>
                <w:sz w:val="20"/>
                <w:szCs w:val="20"/>
              </w:rPr>
              <w:t>LO72</w:t>
            </w:r>
          </w:p>
        </w:tc>
        <w:tc>
          <w:tcPr>
            <w:tcW w:w="2470" w:type="dxa"/>
            <w:shd w:val="clear" w:color="auto" w:fill="auto"/>
          </w:tcPr>
          <w:p>
            <w:pPr>
              <w:snapToGrid w:val="0"/>
              <w:spacing w:line="280" w:lineRule="exact"/>
              <w:rPr>
                <w:rFonts w:ascii="宋体" w:hAnsi="宋体" w:cs="仿宋"/>
                <w:bCs/>
                <w:sz w:val="20"/>
                <w:szCs w:val="20"/>
              </w:rPr>
            </w:pPr>
            <w:r>
              <w:rPr>
                <w:rFonts w:hint="eastAsia" w:ascii="宋体" w:hAnsi="宋体" w:cs="仿宋"/>
                <w:bCs/>
                <w:sz w:val="20"/>
                <w:szCs w:val="20"/>
              </w:rPr>
              <w:t>在社会学、政治学及经济学背景下，了解中国医疗保健提供制度的原理， 从而理解我国医疗保健政策本质；应用经济学理论与计量分析方法来探讨医疗保健市场相关部门的行为，以及政府健保政策对这些行为的影响效果</w:t>
            </w:r>
          </w:p>
        </w:tc>
        <w:tc>
          <w:tcPr>
            <w:tcW w:w="2199" w:type="dxa"/>
            <w:shd w:val="clear" w:color="auto" w:fill="auto"/>
          </w:tcPr>
          <w:p>
            <w:pPr>
              <w:snapToGrid w:val="0"/>
              <w:spacing w:line="280" w:lineRule="exact"/>
              <w:rPr>
                <w:rFonts w:ascii="宋体" w:hAnsi="宋体" w:cs="仿宋"/>
                <w:bCs/>
                <w:sz w:val="20"/>
                <w:szCs w:val="20"/>
              </w:rPr>
            </w:pPr>
            <w:r>
              <w:rPr>
                <w:rFonts w:hint="eastAsia" w:ascii="宋体" w:hAnsi="宋体" w:cs="仿宋"/>
                <w:bCs/>
                <w:sz w:val="20"/>
                <w:szCs w:val="20"/>
              </w:rPr>
              <w:t>理论讲授</w:t>
            </w:r>
          </w:p>
          <w:p>
            <w:pPr>
              <w:snapToGrid w:val="0"/>
              <w:spacing w:line="280" w:lineRule="exact"/>
              <w:rPr>
                <w:rFonts w:ascii="宋体" w:hAnsi="宋体" w:cs="仿宋"/>
                <w:bCs/>
                <w:sz w:val="20"/>
                <w:szCs w:val="20"/>
              </w:rPr>
            </w:pPr>
            <w:r>
              <w:rPr>
                <w:rFonts w:hint="eastAsia" w:ascii="宋体" w:hAnsi="宋体" w:cs="仿宋"/>
                <w:bCs/>
                <w:sz w:val="20"/>
                <w:szCs w:val="20"/>
              </w:rPr>
              <w:t>案例分析</w:t>
            </w:r>
          </w:p>
          <w:p>
            <w:pPr>
              <w:snapToGrid w:val="0"/>
              <w:spacing w:line="280" w:lineRule="exact"/>
              <w:rPr>
                <w:rFonts w:ascii="宋体" w:hAnsi="宋体" w:cs="仿宋"/>
                <w:bCs/>
                <w:sz w:val="20"/>
                <w:szCs w:val="20"/>
              </w:rPr>
            </w:pPr>
            <w:r>
              <w:rPr>
                <w:rFonts w:hint="eastAsia" w:ascii="宋体" w:hAnsi="宋体" w:cs="仿宋"/>
                <w:bCs/>
                <w:sz w:val="20"/>
                <w:szCs w:val="20"/>
              </w:rPr>
              <w:t>小组讨论</w:t>
            </w:r>
          </w:p>
        </w:tc>
        <w:tc>
          <w:tcPr>
            <w:tcW w:w="1276" w:type="dxa"/>
            <w:shd w:val="clear" w:color="auto" w:fill="auto"/>
          </w:tcPr>
          <w:p>
            <w:pPr>
              <w:snapToGrid w:val="0"/>
              <w:spacing w:line="280" w:lineRule="exact"/>
              <w:rPr>
                <w:rFonts w:ascii="宋体" w:hAnsi="宋体" w:cs="仿宋"/>
                <w:bCs/>
                <w:sz w:val="20"/>
                <w:szCs w:val="20"/>
              </w:rPr>
            </w:pPr>
          </w:p>
        </w:tc>
      </w:tr>
    </w:tbl>
    <w:p>
      <w:pPr>
        <w:snapToGrid w:val="0"/>
        <w:spacing w:line="280" w:lineRule="exact"/>
        <w:rPr>
          <w:rFonts w:ascii="宋体" w:hAnsi="宋体" w:cs="仿宋"/>
          <w:bCs/>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r>
        <w:rPr>
          <w:rFonts w:hint="eastAsia" w:ascii="黑体" w:hAnsi="宋体" w:eastAsia="黑体"/>
          <w:sz w:val="24"/>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572"/>
        <w:gridCol w:w="1701"/>
        <w:gridCol w:w="2086"/>
        <w:gridCol w:w="1367"/>
        <w:gridCol w:w="746"/>
        <w:gridCol w:w="456"/>
        <w:gridCol w:w="456"/>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周次</w:t>
            </w:r>
          </w:p>
        </w:tc>
        <w:tc>
          <w:tcPr>
            <w:tcW w:w="572" w:type="dxa"/>
            <w:noWrap/>
          </w:tcPr>
          <w:p>
            <w:pPr>
              <w:snapToGrid w:val="0"/>
              <w:spacing w:line="280" w:lineRule="exact"/>
              <w:rPr>
                <w:rFonts w:ascii="宋体" w:hAnsi="宋体" w:cs="仿宋"/>
                <w:bCs/>
                <w:sz w:val="20"/>
                <w:szCs w:val="20"/>
              </w:rPr>
            </w:pPr>
            <w:r>
              <w:rPr>
                <w:rFonts w:hint="eastAsia" w:ascii="宋体" w:hAnsi="宋体" w:cs="仿宋"/>
                <w:bCs/>
                <w:sz w:val="20"/>
                <w:szCs w:val="20"/>
              </w:rPr>
              <w:t>教学内容</w:t>
            </w:r>
          </w:p>
        </w:tc>
        <w:tc>
          <w:tcPr>
            <w:tcW w:w="1701" w:type="dxa"/>
            <w:noWrap/>
          </w:tcPr>
          <w:p>
            <w:pPr>
              <w:snapToGrid w:val="0"/>
              <w:spacing w:line="280" w:lineRule="exact"/>
              <w:rPr>
                <w:rFonts w:ascii="宋体" w:hAnsi="宋体" w:cs="仿宋"/>
                <w:bCs/>
                <w:sz w:val="20"/>
                <w:szCs w:val="20"/>
              </w:rPr>
            </w:pPr>
            <w:r>
              <w:rPr>
                <w:rFonts w:hint="eastAsia" w:ascii="宋体" w:hAnsi="宋体" w:cs="仿宋"/>
                <w:bCs/>
                <w:sz w:val="20"/>
                <w:szCs w:val="20"/>
              </w:rPr>
              <w:t>知识点</w:t>
            </w:r>
          </w:p>
        </w:tc>
        <w:tc>
          <w:tcPr>
            <w:tcW w:w="2086" w:type="dxa"/>
            <w:noWrap/>
          </w:tcPr>
          <w:p>
            <w:pPr>
              <w:snapToGrid w:val="0"/>
              <w:spacing w:line="280" w:lineRule="exact"/>
              <w:rPr>
                <w:rFonts w:ascii="宋体" w:hAnsi="宋体" w:cs="仿宋"/>
                <w:bCs/>
                <w:sz w:val="20"/>
                <w:szCs w:val="20"/>
              </w:rPr>
            </w:pPr>
            <w:r>
              <w:rPr>
                <w:rFonts w:hint="eastAsia" w:ascii="宋体" w:hAnsi="宋体" w:cs="仿宋"/>
                <w:bCs/>
                <w:sz w:val="20"/>
                <w:szCs w:val="20"/>
              </w:rPr>
              <w:t>能力目标</w:t>
            </w:r>
          </w:p>
        </w:tc>
        <w:tc>
          <w:tcPr>
            <w:tcW w:w="1367" w:type="dxa"/>
          </w:tcPr>
          <w:p>
            <w:pPr>
              <w:snapToGrid w:val="0"/>
              <w:spacing w:line="280" w:lineRule="exact"/>
              <w:rPr>
                <w:rFonts w:ascii="宋体" w:hAnsi="宋体" w:cs="仿宋"/>
                <w:bCs/>
                <w:sz w:val="20"/>
                <w:szCs w:val="20"/>
              </w:rPr>
            </w:pPr>
            <w:r>
              <w:rPr>
                <w:rFonts w:hint="eastAsia" w:ascii="宋体" w:hAnsi="宋体" w:cs="仿宋"/>
                <w:bCs/>
                <w:sz w:val="20"/>
                <w:szCs w:val="20"/>
              </w:rPr>
              <w:t>情感目标</w:t>
            </w:r>
          </w:p>
        </w:tc>
        <w:tc>
          <w:tcPr>
            <w:tcW w:w="746" w:type="dxa"/>
          </w:tcPr>
          <w:p>
            <w:pPr>
              <w:snapToGrid w:val="0"/>
              <w:spacing w:line="280" w:lineRule="exact"/>
              <w:rPr>
                <w:rFonts w:ascii="宋体" w:hAnsi="宋体" w:cs="仿宋"/>
                <w:bCs/>
                <w:sz w:val="20"/>
                <w:szCs w:val="20"/>
              </w:rPr>
            </w:pPr>
            <w:r>
              <w:rPr>
                <w:rFonts w:hint="eastAsia" w:ascii="宋体" w:hAnsi="宋体" w:cs="仿宋"/>
                <w:bCs/>
                <w:sz w:val="20"/>
                <w:szCs w:val="20"/>
              </w:rPr>
              <w:t>教学难点</w:t>
            </w: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理论课时</w:t>
            </w: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实践课时</w:t>
            </w:r>
          </w:p>
        </w:tc>
        <w:tc>
          <w:tcPr>
            <w:tcW w:w="456" w:type="dxa"/>
          </w:tcPr>
          <w:p>
            <w:pPr>
              <w:snapToGrid w:val="0"/>
              <w:spacing w:line="280" w:lineRule="exact"/>
              <w:rPr>
                <w:rFonts w:ascii="宋体" w:hAnsi="宋体" w:cs="仿宋"/>
                <w:bCs/>
                <w:sz w:val="20"/>
                <w:szCs w:val="20"/>
              </w:rPr>
            </w:pPr>
            <w:r>
              <w:rPr>
                <w:rFonts w:hint="eastAsia" w:ascii="宋体" w:hAnsi="宋体" w:cs="仿宋"/>
                <w:bCs/>
                <w:sz w:val="20"/>
                <w:szCs w:val="20"/>
              </w:rPr>
              <w:t>总课时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1</w:t>
            </w:r>
          </w:p>
        </w:tc>
        <w:tc>
          <w:tcPr>
            <w:tcW w:w="572" w:type="dxa"/>
            <w:noWrap/>
          </w:tcPr>
          <w:p>
            <w:pPr>
              <w:snapToGrid w:val="0"/>
              <w:spacing w:line="280" w:lineRule="exact"/>
              <w:rPr>
                <w:rFonts w:ascii="宋体" w:hAnsi="宋体" w:cs="仿宋"/>
                <w:bCs/>
                <w:sz w:val="20"/>
                <w:szCs w:val="20"/>
              </w:rPr>
            </w:pPr>
            <w:r>
              <w:rPr>
                <w:rFonts w:hint="eastAsia" w:ascii="宋体" w:hAnsi="宋体" w:cs="仿宋"/>
                <w:bCs/>
                <w:sz w:val="20"/>
                <w:szCs w:val="20"/>
              </w:rPr>
              <w:t>课程介绍及导论</w:t>
            </w:r>
          </w:p>
        </w:tc>
        <w:tc>
          <w:tcPr>
            <w:tcW w:w="1701" w:type="dxa"/>
          </w:tcPr>
          <w:p>
            <w:pPr>
              <w:snapToGrid w:val="0"/>
              <w:spacing w:line="280" w:lineRule="exact"/>
              <w:rPr>
                <w:rFonts w:ascii="宋体" w:hAnsi="宋体" w:cs="仿宋"/>
                <w:bCs/>
                <w:sz w:val="20"/>
                <w:szCs w:val="20"/>
              </w:rPr>
            </w:pPr>
            <w:r>
              <w:rPr>
                <w:rFonts w:hint="eastAsia" w:ascii="宋体" w:hAnsi="宋体" w:cs="仿宋"/>
                <w:bCs/>
                <w:sz w:val="20"/>
                <w:szCs w:val="20"/>
              </w:rPr>
              <w:t>健康概念界定及健康经济学发展意义</w:t>
            </w:r>
            <w:r>
              <w:rPr>
                <w:rFonts w:hint="eastAsia" w:ascii="宋体" w:hAnsi="宋体" w:cs="仿宋"/>
                <w:bCs/>
                <w:sz w:val="20"/>
                <w:szCs w:val="20"/>
              </w:rPr>
              <w:br w:type="textWrapping"/>
            </w:r>
            <w:r>
              <w:rPr>
                <w:rFonts w:hint="eastAsia" w:ascii="宋体" w:hAnsi="宋体" w:cs="仿宋"/>
                <w:bCs/>
                <w:sz w:val="20"/>
                <w:szCs w:val="20"/>
              </w:rPr>
              <w:t>健康经济学界定</w:t>
            </w:r>
            <w:r>
              <w:rPr>
                <w:rFonts w:hint="eastAsia" w:ascii="宋体" w:hAnsi="宋体" w:cs="仿宋"/>
                <w:bCs/>
                <w:sz w:val="20"/>
                <w:szCs w:val="20"/>
              </w:rPr>
              <w:br w:type="textWrapping"/>
            </w:r>
            <w:r>
              <w:rPr>
                <w:rFonts w:hint="eastAsia" w:ascii="宋体" w:hAnsi="宋体" w:cs="仿宋"/>
                <w:bCs/>
                <w:sz w:val="20"/>
                <w:szCs w:val="20"/>
              </w:rPr>
              <w:t>我国健康经济学发展</w:t>
            </w:r>
          </w:p>
        </w:tc>
        <w:tc>
          <w:tcPr>
            <w:tcW w:w="2086" w:type="dxa"/>
          </w:tcPr>
          <w:p>
            <w:pPr>
              <w:snapToGrid w:val="0"/>
              <w:spacing w:line="280" w:lineRule="exact"/>
              <w:rPr>
                <w:rFonts w:ascii="宋体" w:hAnsi="宋体" w:cs="仿宋"/>
                <w:bCs/>
                <w:sz w:val="20"/>
                <w:szCs w:val="20"/>
              </w:rPr>
            </w:pPr>
            <w:r>
              <w:rPr>
                <w:rFonts w:hint="eastAsia" w:ascii="宋体" w:hAnsi="宋体" w:cs="仿宋"/>
                <w:bCs/>
                <w:sz w:val="20"/>
                <w:szCs w:val="20"/>
              </w:rPr>
              <w:t>1.能够运用自己的语言阐述健康经济学的研究内容。</w:t>
            </w:r>
            <w:r>
              <w:rPr>
                <w:rFonts w:hint="eastAsia" w:ascii="宋体" w:hAnsi="宋体" w:cs="仿宋"/>
                <w:bCs/>
                <w:sz w:val="20"/>
                <w:szCs w:val="20"/>
              </w:rPr>
              <w:br w:type="textWrapping"/>
            </w:r>
            <w:r>
              <w:rPr>
                <w:rFonts w:hint="eastAsia" w:ascii="宋体" w:hAnsi="宋体" w:cs="仿宋"/>
                <w:bCs/>
                <w:sz w:val="20"/>
                <w:szCs w:val="20"/>
              </w:rPr>
              <w:t>2.能够分析健康中国战略下健康经济学应如何发展。</w:t>
            </w:r>
          </w:p>
        </w:tc>
        <w:tc>
          <w:tcPr>
            <w:tcW w:w="1367" w:type="dxa"/>
          </w:tcPr>
          <w:p>
            <w:pPr>
              <w:snapToGrid w:val="0"/>
              <w:spacing w:line="280" w:lineRule="exact"/>
              <w:rPr>
                <w:rFonts w:ascii="宋体" w:hAnsi="宋体" w:cs="仿宋"/>
                <w:bCs/>
                <w:sz w:val="20"/>
                <w:szCs w:val="20"/>
              </w:rPr>
            </w:pPr>
            <w:r>
              <w:rPr>
                <w:rFonts w:hint="eastAsia" w:ascii="宋体" w:hAnsi="宋体" w:cs="仿宋"/>
                <w:bCs/>
                <w:sz w:val="20"/>
                <w:szCs w:val="20"/>
              </w:rPr>
              <w:t>增进专业热情与兴趣，促使学生对专业未来发展进一步了解</w:t>
            </w:r>
          </w:p>
        </w:tc>
        <w:tc>
          <w:tcPr>
            <w:tcW w:w="746" w:type="dxa"/>
          </w:tcPr>
          <w:p>
            <w:pPr>
              <w:snapToGrid w:val="0"/>
              <w:spacing w:line="280" w:lineRule="exact"/>
              <w:rPr>
                <w:rFonts w:ascii="宋体" w:hAnsi="宋体" w:cs="仿宋"/>
                <w:bCs/>
                <w:sz w:val="20"/>
                <w:szCs w:val="20"/>
              </w:rPr>
            </w:pPr>
            <w:r>
              <w:rPr>
                <w:rFonts w:hint="eastAsia" w:ascii="宋体" w:hAnsi="宋体" w:cs="仿宋"/>
                <w:bCs/>
                <w:sz w:val="20"/>
                <w:szCs w:val="20"/>
              </w:rPr>
              <w:t>健康经济学与卫生经济学的区别</w:t>
            </w: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2</w:t>
            </w: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0</w:t>
            </w:r>
          </w:p>
          <w:p>
            <w:pPr>
              <w:snapToGrid w:val="0"/>
              <w:spacing w:line="280" w:lineRule="exact"/>
              <w:rPr>
                <w:rFonts w:ascii="宋体" w:hAnsi="宋体" w:cs="仿宋"/>
                <w:bCs/>
                <w:sz w:val="20"/>
                <w:szCs w:val="20"/>
              </w:rPr>
            </w:pPr>
          </w:p>
        </w:tc>
        <w:tc>
          <w:tcPr>
            <w:tcW w:w="456" w:type="dxa"/>
          </w:tcPr>
          <w:p>
            <w:pPr>
              <w:snapToGrid w:val="0"/>
              <w:spacing w:line="280" w:lineRule="exact"/>
              <w:rPr>
                <w:rFonts w:ascii="宋体" w:hAnsi="宋体" w:cs="仿宋"/>
                <w:bCs/>
                <w:sz w:val="20"/>
                <w:szCs w:val="20"/>
              </w:rPr>
            </w:pPr>
            <w:r>
              <w:rPr>
                <w:rFonts w:hint="eastAsia" w:ascii="宋体" w:hAnsi="宋体" w:cs="仿宋"/>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2</w:t>
            </w:r>
          </w:p>
        </w:tc>
        <w:tc>
          <w:tcPr>
            <w:tcW w:w="572" w:type="dxa"/>
            <w:noWrap/>
          </w:tcPr>
          <w:p>
            <w:pPr>
              <w:snapToGrid w:val="0"/>
              <w:spacing w:line="280" w:lineRule="exact"/>
              <w:rPr>
                <w:rFonts w:ascii="宋体" w:hAnsi="宋体" w:cs="仿宋"/>
                <w:bCs/>
                <w:sz w:val="20"/>
                <w:szCs w:val="20"/>
              </w:rPr>
            </w:pPr>
            <w:r>
              <w:rPr>
                <w:rFonts w:hint="eastAsia" w:ascii="宋体" w:hAnsi="宋体" w:cs="仿宋"/>
                <w:bCs/>
                <w:sz w:val="20"/>
                <w:szCs w:val="20"/>
              </w:rPr>
              <w:t xml:space="preserve">健康需求 </w:t>
            </w:r>
          </w:p>
        </w:tc>
        <w:tc>
          <w:tcPr>
            <w:tcW w:w="1701" w:type="dxa"/>
          </w:tcPr>
          <w:p>
            <w:pPr>
              <w:snapToGrid w:val="0"/>
              <w:spacing w:line="280" w:lineRule="exact"/>
              <w:rPr>
                <w:rFonts w:ascii="宋体" w:hAnsi="宋体" w:cs="仿宋"/>
                <w:bCs/>
                <w:sz w:val="20"/>
                <w:szCs w:val="20"/>
              </w:rPr>
            </w:pPr>
            <w:r>
              <w:rPr>
                <w:rFonts w:hint="eastAsia" w:ascii="宋体" w:hAnsi="宋体" w:cs="仿宋"/>
                <w:bCs/>
                <w:sz w:val="20"/>
                <w:szCs w:val="20"/>
              </w:rPr>
              <w:t>需求曲线及需求变化因素</w:t>
            </w:r>
            <w:r>
              <w:rPr>
                <w:rFonts w:hint="eastAsia" w:ascii="宋体" w:hAnsi="宋体" w:cs="仿宋"/>
                <w:bCs/>
                <w:sz w:val="20"/>
                <w:szCs w:val="20"/>
              </w:rPr>
              <w:br w:type="textWrapping"/>
            </w:r>
            <w:r>
              <w:rPr>
                <w:rFonts w:hint="eastAsia" w:ascii="宋体" w:hAnsi="宋体" w:cs="仿宋"/>
                <w:bCs/>
                <w:sz w:val="20"/>
                <w:szCs w:val="20"/>
              </w:rPr>
              <w:t>消费者行为理论：需求曲线的理论依据</w:t>
            </w:r>
          </w:p>
          <w:p>
            <w:pPr>
              <w:snapToGrid w:val="0"/>
              <w:spacing w:line="280" w:lineRule="exact"/>
              <w:rPr>
                <w:rFonts w:ascii="宋体" w:hAnsi="宋体" w:cs="仿宋"/>
                <w:bCs/>
                <w:sz w:val="20"/>
                <w:szCs w:val="20"/>
              </w:rPr>
            </w:pPr>
            <w:r>
              <w:rPr>
                <w:rFonts w:hint="eastAsia" w:ascii="宋体" w:hAnsi="宋体" w:cs="仿宋"/>
                <w:bCs/>
                <w:sz w:val="20"/>
                <w:szCs w:val="20"/>
              </w:rPr>
              <w:t>健康需求的弹性及模型</w:t>
            </w:r>
            <w:r>
              <w:rPr>
                <w:rFonts w:hint="eastAsia" w:ascii="宋体" w:hAnsi="宋体" w:cs="仿宋"/>
                <w:bCs/>
                <w:sz w:val="20"/>
                <w:szCs w:val="20"/>
              </w:rPr>
              <w:br w:type="textWrapping"/>
            </w:r>
            <w:r>
              <w:rPr>
                <w:rFonts w:hint="eastAsia" w:ascii="宋体" w:hAnsi="宋体" w:cs="仿宋"/>
                <w:bCs/>
                <w:sz w:val="20"/>
                <w:szCs w:val="20"/>
              </w:rPr>
              <w:t>健康需求与利用分析的相关模型</w:t>
            </w:r>
            <w:r>
              <w:rPr>
                <w:rFonts w:hint="eastAsia" w:ascii="宋体" w:hAnsi="宋体" w:cs="仿宋"/>
                <w:bCs/>
                <w:sz w:val="20"/>
                <w:szCs w:val="20"/>
              </w:rPr>
              <w:br w:type="textWrapping"/>
            </w:r>
            <w:r>
              <w:rPr>
                <w:rFonts w:hint="eastAsia" w:ascii="宋体" w:hAnsi="宋体" w:cs="仿宋"/>
                <w:bCs/>
                <w:sz w:val="20"/>
                <w:szCs w:val="20"/>
              </w:rPr>
              <w:t>健康需求研究现状及展望</w:t>
            </w:r>
          </w:p>
        </w:tc>
        <w:tc>
          <w:tcPr>
            <w:tcW w:w="2086" w:type="dxa"/>
          </w:tcPr>
          <w:p>
            <w:pPr>
              <w:snapToGrid w:val="0"/>
              <w:spacing w:line="280" w:lineRule="exact"/>
              <w:rPr>
                <w:rFonts w:ascii="宋体" w:hAnsi="宋体" w:cs="仿宋"/>
                <w:bCs/>
                <w:sz w:val="20"/>
                <w:szCs w:val="20"/>
              </w:rPr>
            </w:pPr>
            <w:r>
              <w:rPr>
                <w:rFonts w:hint="eastAsia" w:ascii="宋体" w:hAnsi="宋体" w:cs="仿宋"/>
                <w:bCs/>
                <w:sz w:val="20"/>
                <w:szCs w:val="20"/>
              </w:rPr>
              <w:t>1.能够对需求曲线进行分析</w:t>
            </w:r>
            <w:r>
              <w:rPr>
                <w:rFonts w:hint="eastAsia" w:ascii="宋体" w:hAnsi="宋体" w:cs="仿宋"/>
                <w:bCs/>
                <w:sz w:val="20"/>
                <w:szCs w:val="20"/>
              </w:rPr>
              <w:br w:type="textWrapping"/>
            </w:r>
            <w:r>
              <w:rPr>
                <w:rFonts w:hint="eastAsia" w:ascii="宋体" w:hAnsi="宋体" w:cs="仿宋"/>
                <w:bCs/>
                <w:sz w:val="20"/>
                <w:szCs w:val="20"/>
              </w:rPr>
              <w:t>2.能够分析消费者行为的变化规律</w:t>
            </w:r>
          </w:p>
          <w:p>
            <w:pPr>
              <w:snapToGrid w:val="0"/>
              <w:spacing w:line="280" w:lineRule="exact"/>
              <w:rPr>
                <w:rFonts w:ascii="宋体" w:hAnsi="宋体" w:cs="仿宋"/>
                <w:bCs/>
                <w:sz w:val="20"/>
                <w:szCs w:val="20"/>
              </w:rPr>
            </w:pPr>
            <w:r>
              <w:rPr>
                <w:rFonts w:hint="eastAsia" w:ascii="宋体" w:hAnsi="宋体" w:cs="仿宋"/>
                <w:bCs/>
                <w:sz w:val="20"/>
                <w:szCs w:val="20"/>
              </w:rPr>
              <w:t>3.熟悉不同健康需求模型</w:t>
            </w:r>
          </w:p>
          <w:p>
            <w:pPr>
              <w:snapToGrid w:val="0"/>
              <w:spacing w:line="280" w:lineRule="exact"/>
              <w:rPr>
                <w:rFonts w:ascii="宋体" w:hAnsi="宋体" w:cs="仿宋"/>
                <w:bCs/>
                <w:sz w:val="20"/>
                <w:szCs w:val="20"/>
              </w:rPr>
            </w:pPr>
            <w:r>
              <w:rPr>
                <w:rFonts w:hint="eastAsia" w:ascii="宋体" w:hAnsi="宋体" w:cs="仿宋"/>
                <w:bCs/>
                <w:sz w:val="20"/>
                <w:szCs w:val="20"/>
              </w:rPr>
              <w:t>4.探索健康需求的研究方向</w:t>
            </w:r>
          </w:p>
        </w:tc>
        <w:tc>
          <w:tcPr>
            <w:tcW w:w="1367" w:type="dxa"/>
          </w:tcPr>
          <w:p>
            <w:pPr>
              <w:snapToGrid w:val="0"/>
              <w:spacing w:line="280" w:lineRule="exact"/>
              <w:rPr>
                <w:rFonts w:ascii="宋体" w:hAnsi="宋体" w:cs="仿宋"/>
                <w:bCs/>
                <w:sz w:val="20"/>
                <w:szCs w:val="20"/>
              </w:rPr>
            </w:pPr>
            <w:r>
              <w:rPr>
                <w:rFonts w:hint="eastAsia" w:ascii="宋体" w:hAnsi="宋体" w:cs="仿宋"/>
                <w:bCs/>
                <w:sz w:val="20"/>
                <w:szCs w:val="20"/>
              </w:rPr>
              <w:t>掌握经济学基本知识原理，具备计量经济学分析工具基本技能。</w:t>
            </w:r>
          </w:p>
        </w:tc>
        <w:tc>
          <w:tcPr>
            <w:tcW w:w="746" w:type="dxa"/>
          </w:tcPr>
          <w:p>
            <w:pPr>
              <w:snapToGrid w:val="0"/>
              <w:spacing w:line="280" w:lineRule="exact"/>
              <w:rPr>
                <w:rFonts w:ascii="宋体" w:hAnsi="宋体" w:cs="仿宋"/>
                <w:bCs/>
                <w:sz w:val="20"/>
                <w:szCs w:val="20"/>
              </w:rPr>
            </w:pPr>
            <w:r>
              <w:rPr>
                <w:rFonts w:hint="eastAsia" w:ascii="宋体" w:hAnsi="宋体" w:cs="仿宋"/>
                <w:bCs/>
                <w:sz w:val="20"/>
                <w:szCs w:val="20"/>
              </w:rPr>
              <w:t>健康需求公式、图形的应用</w:t>
            </w: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2</w:t>
            </w: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2</w:t>
            </w:r>
          </w:p>
        </w:tc>
        <w:tc>
          <w:tcPr>
            <w:tcW w:w="456" w:type="dxa"/>
          </w:tcPr>
          <w:p>
            <w:pPr>
              <w:snapToGrid w:val="0"/>
              <w:spacing w:line="280" w:lineRule="exact"/>
              <w:rPr>
                <w:rFonts w:ascii="宋体" w:hAnsi="宋体" w:cs="仿宋"/>
                <w:bCs/>
                <w:sz w:val="20"/>
                <w:szCs w:val="20"/>
              </w:rPr>
            </w:pPr>
            <w:r>
              <w:rPr>
                <w:rFonts w:hint="eastAsia" w:ascii="宋体" w:hAnsi="宋体" w:cs="仿宋"/>
                <w:bCs/>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3</w:t>
            </w:r>
          </w:p>
        </w:tc>
        <w:tc>
          <w:tcPr>
            <w:tcW w:w="572" w:type="dxa"/>
            <w:noWrap/>
          </w:tcPr>
          <w:p>
            <w:pPr>
              <w:snapToGrid w:val="0"/>
              <w:spacing w:line="280" w:lineRule="exact"/>
              <w:rPr>
                <w:rFonts w:ascii="宋体" w:hAnsi="宋体" w:cs="仿宋"/>
                <w:bCs/>
                <w:sz w:val="20"/>
                <w:szCs w:val="20"/>
              </w:rPr>
            </w:pPr>
            <w:r>
              <w:rPr>
                <w:rFonts w:hint="eastAsia" w:ascii="宋体" w:hAnsi="宋体" w:cs="仿宋"/>
                <w:bCs/>
                <w:sz w:val="20"/>
                <w:szCs w:val="20"/>
              </w:rPr>
              <w:t>健康生产和供给理论</w:t>
            </w:r>
          </w:p>
        </w:tc>
        <w:tc>
          <w:tcPr>
            <w:tcW w:w="1701" w:type="dxa"/>
          </w:tcPr>
          <w:p>
            <w:pPr>
              <w:snapToGrid w:val="0"/>
              <w:spacing w:line="280" w:lineRule="exact"/>
              <w:rPr>
                <w:rFonts w:ascii="宋体" w:hAnsi="宋体" w:cs="仿宋"/>
                <w:bCs/>
                <w:sz w:val="20"/>
                <w:szCs w:val="20"/>
              </w:rPr>
            </w:pPr>
            <w:r>
              <w:rPr>
                <w:rFonts w:hint="eastAsia" w:ascii="宋体" w:hAnsi="宋体" w:cs="仿宋"/>
                <w:bCs/>
                <w:sz w:val="20"/>
                <w:szCs w:val="20"/>
              </w:rPr>
              <w:t>经济学供给理论</w:t>
            </w:r>
            <w:r>
              <w:rPr>
                <w:rFonts w:hint="eastAsia" w:ascii="宋体" w:hAnsi="宋体" w:cs="仿宋"/>
                <w:bCs/>
                <w:sz w:val="20"/>
                <w:szCs w:val="20"/>
              </w:rPr>
              <w:br w:type="textWrapping"/>
            </w:r>
            <w:r>
              <w:rPr>
                <w:rFonts w:hint="eastAsia" w:ascii="宋体" w:hAnsi="宋体" w:cs="仿宋"/>
                <w:bCs/>
                <w:sz w:val="20"/>
                <w:szCs w:val="20"/>
              </w:rPr>
              <w:t>健康生产函数</w:t>
            </w:r>
            <w:r>
              <w:rPr>
                <w:rFonts w:hint="eastAsia" w:ascii="宋体" w:hAnsi="宋体" w:cs="仿宋"/>
                <w:bCs/>
                <w:sz w:val="20"/>
                <w:szCs w:val="20"/>
              </w:rPr>
              <w:br w:type="textWrapping"/>
            </w:r>
            <w:r>
              <w:rPr>
                <w:rFonts w:hint="eastAsia" w:ascii="宋体" w:hAnsi="宋体" w:cs="仿宋"/>
                <w:bCs/>
                <w:sz w:val="20"/>
                <w:szCs w:val="20"/>
              </w:rPr>
              <w:t>健康供给与成本</w:t>
            </w:r>
            <w:r>
              <w:rPr>
                <w:rFonts w:hint="eastAsia" w:ascii="宋体" w:hAnsi="宋体" w:cs="仿宋"/>
                <w:bCs/>
                <w:sz w:val="20"/>
                <w:szCs w:val="20"/>
              </w:rPr>
              <w:br w:type="textWrapping"/>
            </w:r>
            <w:r>
              <w:rPr>
                <w:rFonts w:hint="eastAsia" w:ascii="宋体" w:hAnsi="宋体" w:cs="仿宋"/>
                <w:bCs/>
                <w:sz w:val="20"/>
                <w:szCs w:val="20"/>
              </w:rPr>
              <w:t>医师行为经济学</w:t>
            </w:r>
          </w:p>
        </w:tc>
        <w:tc>
          <w:tcPr>
            <w:tcW w:w="2086" w:type="dxa"/>
          </w:tcPr>
          <w:p>
            <w:pPr>
              <w:snapToGrid w:val="0"/>
              <w:spacing w:line="280" w:lineRule="exact"/>
              <w:rPr>
                <w:rFonts w:ascii="宋体" w:hAnsi="宋体" w:cs="仿宋"/>
                <w:bCs/>
                <w:sz w:val="20"/>
                <w:szCs w:val="20"/>
              </w:rPr>
            </w:pPr>
            <w:r>
              <w:rPr>
                <w:rFonts w:hint="eastAsia" w:ascii="宋体" w:hAnsi="宋体" w:cs="仿宋"/>
                <w:bCs/>
                <w:sz w:val="20"/>
                <w:szCs w:val="20"/>
              </w:rPr>
              <w:t>1.能够画出健康生产函数图形并进行分析</w:t>
            </w:r>
            <w:r>
              <w:rPr>
                <w:rFonts w:hint="eastAsia" w:ascii="宋体" w:hAnsi="宋体" w:cs="仿宋"/>
                <w:bCs/>
                <w:sz w:val="20"/>
                <w:szCs w:val="20"/>
              </w:rPr>
              <w:br w:type="textWrapping"/>
            </w:r>
            <w:r>
              <w:rPr>
                <w:rFonts w:hint="eastAsia" w:ascii="宋体" w:hAnsi="宋体" w:cs="仿宋"/>
                <w:bCs/>
                <w:sz w:val="20"/>
                <w:szCs w:val="20"/>
              </w:rPr>
              <w:t>2.理解医师行为经济学与健康生产的关系。</w:t>
            </w:r>
            <w:r>
              <w:rPr>
                <w:rFonts w:hint="eastAsia" w:ascii="宋体" w:hAnsi="宋体" w:cs="仿宋"/>
                <w:bCs/>
                <w:sz w:val="20"/>
                <w:szCs w:val="20"/>
              </w:rPr>
              <w:br w:type="textWrapping"/>
            </w:r>
            <w:r>
              <w:rPr>
                <w:rFonts w:hint="eastAsia" w:ascii="宋体" w:hAnsi="宋体" w:cs="仿宋"/>
                <w:bCs/>
                <w:sz w:val="20"/>
                <w:szCs w:val="20"/>
              </w:rPr>
              <w:t>3.评价技术进步给健康供给带来的影响。</w:t>
            </w:r>
          </w:p>
        </w:tc>
        <w:tc>
          <w:tcPr>
            <w:tcW w:w="1367" w:type="dxa"/>
          </w:tcPr>
          <w:p>
            <w:pPr>
              <w:snapToGrid w:val="0"/>
              <w:spacing w:line="280" w:lineRule="exact"/>
              <w:rPr>
                <w:rFonts w:ascii="宋体" w:hAnsi="宋体" w:cs="仿宋"/>
                <w:bCs/>
                <w:sz w:val="20"/>
                <w:szCs w:val="20"/>
              </w:rPr>
            </w:pPr>
            <w:r>
              <w:rPr>
                <w:rFonts w:hint="eastAsia" w:ascii="宋体" w:hAnsi="宋体" w:cs="仿宋"/>
                <w:bCs/>
                <w:sz w:val="20"/>
                <w:szCs w:val="20"/>
              </w:rPr>
              <w:t>学会回答基本健康经济学问题，提高实际操作技能。</w:t>
            </w:r>
          </w:p>
        </w:tc>
        <w:tc>
          <w:tcPr>
            <w:tcW w:w="746" w:type="dxa"/>
          </w:tcPr>
          <w:p>
            <w:pPr>
              <w:snapToGrid w:val="0"/>
              <w:spacing w:line="280" w:lineRule="exact"/>
              <w:rPr>
                <w:rFonts w:ascii="宋体" w:hAnsi="宋体" w:cs="仿宋"/>
                <w:bCs/>
                <w:sz w:val="20"/>
                <w:szCs w:val="20"/>
              </w:rPr>
            </w:pPr>
            <w:r>
              <w:rPr>
                <w:rFonts w:hint="eastAsia" w:ascii="宋体" w:hAnsi="宋体" w:cs="仿宋"/>
                <w:bCs/>
                <w:sz w:val="20"/>
                <w:szCs w:val="20"/>
              </w:rPr>
              <w:t>健康生产函数、健康替代弹性、医师供给的诱导需求分析、医师定价。</w:t>
            </w: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2</w:t>
            </w: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0</w:t>
            </w:r>
          </w:p>
        </w:tc>
        <w:tc>
          <w:tcPr>
            <w:tcW w:w="456" w:type="dxa"/>
          </w:tcPr>
          <w:p>
            <w:pPr>
              <w:snapToGrid w:val="0"/>
              <w:spacing w:line="280" w:lineRule="exact"/>
              <w:rPr>
                <w:rFonts w:ascii="宋体" w:hAnsi="宋体" w:cs="仿宋"/>
                <w:bCs/>
                <w:sz w:val="20"/>
                <w:szCs w:val="20"/>
              </w:rPr>
            </w:pPr>
            <w:r>
              <w:rPr>
                <w:rFonts w:hint="eastAsia" w:ascii="宋体" w:hAnsi="宋体" w:cs="仿宋"/>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4</w:t>
            </w:r>
          </w:p>
        </w:tc>
        <w:tc>
          <w:tcPr>
            <w:tcW w:w="572" w:type="dxa"/>
            <w:noWrap/>
          </w:tcPr>
          <w:p>
            <w:pPr>
              <w:snapToGrid w:val="0"/>
              <w:spacing w:line="280" w:lineRule="exact"/>
              <w:rPr>
                <w:rFonts w:ascii="宋体" w:hAnsi="宋体" w:cs="仿宋"/>
                <w:bCs/>
                <w:sz w:val="20"/>
                <w:szCs w:val="20"/>
              </w:rPr>
            </w:pPr>
            <w:r>
              <w:rPr>
                <w:rFonts w:hint="eastAsia" w:ascii="宋体" w:hAnsi="宋体" w:cs="仿宋"/>
                <w:bCs/>
                <w:sz w:val="20"/>
                <w:szCs w:val="20"/>
              </w:rPr>
              <w:t>医疗卫生市场</w:t>
            </w:r>
          </w:p>
        </w:tc>
        <w:tc>
          <w:tcPr>
            <w:tcW w:w="1701" w:type="dxa"/>
          </w:tcPr>
          <w:p>
            <w:pPr>
              <w:snapToGrid w:val="0"/>
              <w:spacing w:line="280" w:lineRule="exact"/>
              <w:rPr>
                <w:rFonts w:ascii="宋体" w:hAnsi="宋体" w:cs="仿宋"/>
                <w:bCs/>
                <w:sz w:val="20"/>
                <w:szCs w:val="20"/>
              </w:rPr>
            </w:pPr>
            <w:r>
              <w:rPr>
                <w:rFonts w:hint="eastAsia" w:ascii="宋体" w:hAnsi="宋体" w:cs="仿宋"/>
                <w:bCs/>
                <w:sz w:val="20"/>
                <w:szCs w:val="20"/>
              </w:rPr>
              <w:t>医疗卫生市场概述</w:t>
            </w:r>
            <w:r>
              <w:rPr>
                <w:rFonts w:hint="eastAsia" w:ascii="宋体" w:hAnsi="宋体" w:cs="仿宋"/>
                <w:bCs/>
                <w:sz w:val="20"/>
                <w:szCs w:val="20"/>
              </w:rPr>
              <w:br w:type="textWrapping"/>
            </w:r>
            <w:r>
              <w:rPr>
                <w:rFonts w:hint="eastAsia" w:ascii="宋体" w:hAnsi="宋体" w:cs="仿宋"/>
                <w:bCs/>
                <w:sz w:val="20"/>
                <w:szCs w:val="20"/>
              </w:rPr>
              <w:t>医疗卫生市场特征</w:t>
            </w:r>
            <w:r>
              <w:rPr>
                <w:rFonts w:hint="eastAsia" w:ascii="宋体" w:hAnsi="宋体" w:cs="仿宋"/>
                <w:bCs/>
                <w:sz w:val="20"/>
                <w:szCs w:val="20"/>
              </w:rPr>
              <w:br w:type="textWrapping"/>
            </w:r>
            <w:r>
              <w:rPr>
                <w:rFonts w:hint="eastAsia" w:ascii="宋体" w:hAnsi="宋体" w:cs="仿宋"/>
                <w:bCs/>
                <w:sz w:val="20"/>
                <w:szCs w:val="20"/>
              </w:rPr>
              <w:t>医疗卫生市场失灵</w:t>
            </w:r>
            <w:r>
              <w:rPr>
                <w:rFonts w:hint="eastAsia" w:ascii="宋体" w:hAnsi="宋体" w:cs="仿宋"/>
                <w:bCs/>
                <w:sz w:val="20"/>
                <w:szCs w:val="20"/>
              </w:rPr>
              <w:br w:type="textWrapping"/>
            </w:r>
            <w:r>
              <w:rPr>
                <w:rFonts w:hint="eastAsia" w:ascii="宋体" w:hAnsi="宋体" w:cs="仿宋"/>
                <w:bCs/>
                <w:sz w:val="20"/>
                <w:szCs w:val="20"/>
              </w:rPr>
              <w:t>医疗卫生市场政府作用</w:t>
            </w:r>
          </w:p>
        </w:tc>
        <w:tc>
          <w:tcPr>
            <w:tcW w:w="2086" w:type="dxa"/>
          </w:tcPr>
          <w:p>
            <w:pPr>
              <w:snapToGrid w:val="0"/>
              <w:spacing w:line="280" w:lineRule="exact"/>
              <w:rPr>
                <w:rFonts w:ascii="宋体" w:hAnsi="宋体" w:cs="仿宋"/>
                <w:bCs/>
                <w:sz w:val="20"/>
                <w:szCs w:val="20"/>
              </w:rPr>
            </w:pPr>
            <w:r>
              <w:rPr>
                <w:rFonts w:hint="eastAsia" w:ascii="宋体" w:hAnsi="宋体" w:cs="仿宋"/>
                <w:bCs/>
                <w:sz w:val="20"/>
                <w:szCs w:val="20"/>
              </w:rPr>
              <w:t>1.掌握医疗卫生市场的特 征; 医疗卫生市场政府干预形式。</w:t>
            </w:r>
            <w:r>
              <w:rPr>
                <w:rFonts w:hint="eastAsia" w:ascii="宋体" w:hAnsi="宋体" w:cs="仿宋"/>
                <w:bCs/>
                <w:sz w:val="20"/>
                <w:szCs w:val="20"/>
              </w:rPr>
              <w:br w:type="textWrapping"/>
            </w:r>
            <w:r>
              <w:rPr>
                <w:rFonts w:hint="eastAsia" w:ascii="宋体" w:hAnsi="宋体" w:cs="仿宋"/>
                <w:bCs/>
                <w:sz w:val="20"/>
                <w:szCs w:val="20"/>
              </w:rPr>
              <w:t>2.熟悉医疗卫生市场失灵的表现;医疗卫生市场外部性对资源配置的影响。</w:t>
            </w:r>
            <w:r>
              <w:rPr>
                <w:rFonts w:hint="eastAsia" w:ascii="宋体" w:hAnsi="宋体" w:cs="仿宋"/>
                <w:bCs/>
                <w:sz w:val="20"/>
                <w:szCs w:val="20"/>
              </w:rPr>
              <w:br w:type="textWrapping"/>
            </w:r>
            <w:r>
              <w:rPr>
                <w:rFonts w:hint="eastAsia" w:ascii="宋体" w:hAnsi="宋体" w:cs="仿宋"/>
                <w:bCs/>
                <w:sz w:val="20"/>
                <w:szCs w:val="20"/>
              </w:rPr>
              <w:t>3.了解医疗卫生服务产品划分；医疗卫生市场政府失灵。</w:t>
            </w:r>
          </w:p>
        </w:tc>
        <w:tc>
          <w:tcPr>
            <w:tcW w:w="1367" w:type="dxa"/>
          </w:tcPr>
          <w:p>
            <w:pPr>
              <w:snapToGrid w:val="0"/>
              <w:spacing w:line="280" w:lineRule="exact"/>
              <w:rPr>
                <w:rFonts w:ascii="宋体" w:hAnsi="宋体" w:cs="仿宋"/>
                <w:bCs/>
                <w:sz w:val="20"/>
                <w:szCs w:val="20"/>
              </w:rPr>
            </w:pPr>
            <w:r>
              <w:rPr>
                <w:rFonts w:hint="eastAsia" w:ascii="宋体" w:hAnsi="宋体" w:cs="仿宋"/>
                <w:bCs/>
                <w:sz w:val="20"/>
                <w:szCs w:val="20"/>
              </w:rPr>
              <w:t>培养学生理解和分析各种大众医患关系现象,医疗文化的能力。</w:t>
            </w:r>
          </w:p>
        </w:tc>
        <w:tc>
          <w:tcPr>
            <w:tcW w:w="746" w:type="dxa"/>
          </w:tcPr>
          <w:p>
            <w:pPr>
              <w:snapToGrid w:val="0"/>
              <w:spacing w:line="280" w:lineRule="exact"/>
              <w:rPr>
                <w:rFonts w:ascii="宋体" w:hAnsi="宋体" w:cs="仿宋"/>
                <w:bCs/>
                <w:sz w:val="20"/>
                <w:szCs w:val="20"/>
              </w:rPr>
            </w:pPr>
            <w:r>
              <w:rPr>
                <w:rFonts w:hint="eastAsia" w:ascii="宋体" w:hAnsi="宋体" w:cs="仿宋"/>
                <w:bCs/>
                <w:sz w:val="20"/>
                <w:szCs w:val="20"/>
              </w:rPr>
              <w:t>医疗卫生市场特征、医疗卫生市场失灵的表现、医疗卫生市场政府失灵与矫正。</w:t>
            </w: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2</w:t>
            </w: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0</w:t>
            </w:r>
          </w:p>
        </w:tc>
        <w:tc>
          <w:tcPr>
            <w:tcW w:w="456" w:type="dxa"/>
          </w:tcPr>
          <w:p>
            <w:pPr>
              <w:snapToGrid w:val="0"/>
              <w:spacing w:line="280" w:lineRule="exact"/>
              <w:rPr>
                <w:rFonts w:ascii="宋体" w:hAnsi="宋体" w:cs="仿宋"/>
                <w:bCs/>
                <w:sz w:val="20"/>
                <w:szCs w:val="20"/>
              </w:rPr>
            </w:pPr>
            <w:r>
              <w:rPr>
                <w:rFonts w:hint="eastAsia" w:ascii="宋体" w:hAnsi="宋体" w:cs="仿宋"/>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5</w:t>
            </w:r>
          </w:p>
        </w:tc>
        <w:tc>
          <w:tcPr>
            <w:tcW w:w="572" w:type="dxa"/>
            <w:noWrap/>
          </w:tcPr>
          <w:p>
            <w:pPr>
              <w:snapToGrid w:val="0"/>
              <w:spacing w:line="280" w:lineRule="exact"/>
              <w:rPr>
                <w:rFonts w:ascii="宋体" w:hAnsi="宋体" w:cs="仿宋"/>
                <w:bCs/>
                <w:sz w:val="20"/>
                <w:szCs w:val="20"/>
              </w:rPr>
            </w:pPr>
            <w:r>
              <w:rPr>
                <w:rFonts w:hint="eastAsia" w:ascii="宋体" w:hAnsi="宋体" w:cs="仿宋"/>
                <w:bCs/>
                <w:sz w:val="20"/>
                <w:szCs w:val="20"/>
              </w:rPr>
              <w:t>健康产业</w:t>
            </w:r>
          </w:p>
        </w:tc>
        <w:tc>
          <w:tcPr>
            <w:tcW w:w="1701" w:type="dxa"/>
          </w:tcPr>
          <w:p>
            <w:pPr>
              <w:snapToGrid w:val="0"/>
              <w:spacing w:line="280" w:lineRule="exact"/>
              <w:rPr>
                <w:rFonts w:ascii="宋体" w:hAnsi="宋体" w:cs="仿宋"/>
                <w:bCs/>
                <w:sz w:val="20"/>
                <w:szCs w:val="20"/>
              </w:rPr>
            </w:pPr>
            <w:r>
              <w:rPr>
                <w:rFonts w:hint="eastAsia" w:ascii="宋体" w:hAnsi="宋体" w:cs="仿宋"/>
                <w:bCs/>
                <w:sz w:val="20"/>
                <w:szCs w:val="20"/>
              </w:rPr>
              <w:t>健康产业概述</w:t>
            </w:r>
            <w:r>
              <w:rPr>
                <w:rFonts w:hint="eastAsia" w:ascii="宋体" w:hAnsi="宋体" w:cs="仿宋"/>
                <w:bCs/>
                <w:sz w:val="20"/>
                <w:szCs w:val="20"/>
              </w:rPr>
              <w:br w:type="textWrapping"/>
            </w:r>
            <w:r>
              <w:rPr>
                <w:rFonts w:hint="eastAsia" w:ascii="宋体" w:hAnsi="宋体" w:cs="仿宋"/>
                <w:bCs/>
                <w:sz w:val="20"/>
                <w:szCs w:val="20"/>
              </w:rPr>
              <w:t>医疗卫生服务业</w:t>
            </w:r>
            <w:r>
              <w:rPr>
                <w:rFonts w:hint="eastAsia" w:ascii="宋体" w:hAnsi="宋体" w:cs="仿宋"/>
                <w:bCs/>
                <w:sz w:val="20"/>
                <w:szCs w:val="20"/>
              </w:rPr>
              <w:br w:type="textWrapping"/>
            </w:r>
            <w:r>
              <w:rPr>
                <w:rFonts w:hint="eastAsia" w:ascii="宋体" w:hAnsi="宋体" w:cs="仿宋"/>
                <w:bCs/>
                <w:sz w:val="20"/>
                <w:szCs w:val="20"/>
              </w:rPr>
              <w:t>健康促进服务</w:t>
            </w:r>
            <w:r>
              <w:rPr>
                <w:rFonts w:hint="eastAsia" w:ascii="宋体" w:hAnsi="宋体" w:cs="仿宋"/>
                <w:bCs/>
                <w:sz w:val="20"/>
                <w:szCs w:val="20"/>
              </w:rPr>
              <w:br w:type="textWrapping"/>
            </w:r>
            <w:r>
              <w:rPr>
                <w:rFonts w:hint="eastAsia" w:ascii="宋体" w:hAnsi="宋体" w:cs="仿宋"/>
                <w:bCs/>
                <w:sz w:val="20"/>
                <w:szCs w:val="20"/>
              </w:rPr>
              <w:t>医疗制造业</w:t>
            </w:r>
            <w:r>
              <w:rPr>
                <w:rFonts w:hint="eastAsia" w:ascii="宋体" w:hAnsi="宋体" w:cs="仿宋"/>
                <w:bCs/>
                <w:sz w:val="20"/>
                <w:szCs w:val="20"/>
              </w:rPr>
              <w:br w:type="textWrapping"/>
            </w:r>
            <w:r>
              <w:rPr>
                <w:rFonts w:hint="eastAsia" w:ascii="宋体" w:hAnsi="宋体" w:cs="仿宋"/>
                <w:bCs/>
                <w:sz w:val="20"/>
                <w:szCs w:val="20"/>
              </w:rPr>
              <w:t>医疗仪器设备及器械制造业</w:t>
            </w:r>
            <w:r>
              <w:rPr>
                <w:rFonts w:hint="eastAsia" w:ascii="宋体" w:hAnsi="宋体" w:cs="仿宋"/>
                <w:bCs/>
                <w:sz w:val="20"/>
                <w:szCs w:val="20"/>
              </w:rPr>
              <w:br w:type="textWrapping"/>
            </w:r>
            <w:r>
              <w:rPr>
                <w:rFonts w:hint="eastAsia" w:ascii="宋体" w:hAnsi="宋体" w:cs="仿宋"/>
                <w:bCs/>
                <w:sz w:val="20"/>
                <w:szCs w:val="20"/>
              </w:rPr>
              <w:t>我国健康产业新业态</w:t>
            </w:r>
          </w:p>
        </w:tc>
        <w:tc>
          <w:tcPr>
            <w:tcW w:w="2086" w:type="dxa"/>
          </w:tcPr>
          <w:p>
            <w:pPr>
              <w:snapToGrid w:val="0"/>
              <w:spacing w:line="280" w:lineRule="exact"/>
              <w:rPr>
                <w:rFonts w:ascii="宋体" w:hAnsi="宋体" w:cs="仿宋"/>
                <w:bCs/>
                <w:sz w:val="20"/>
                <w:szCs w:val="20"/>
              </w:rPr>
            </w:pPr>
            <w:r>
              <w:rPr>
                <w:rFonts w:hint="eastAsia" w:ascii="宋体" w:hAnsi="宋体" w:cs="仿宋"/>
                <w:bCs/>
                <w:sz w:val="20"/>
                <w:szCs w:val="20"/>
              </w:rPr>
              <w:t>1.掌握健康产业和产业经济学的定 义;医疗卫生服务业、我国社会办医的定义:健康养老服务内涵;健康管理服务内涵。</w:t>
            </w:r>
            <w:r>
              <w:rPr>
                <w:rFonts w:hint="eastAsia" w:ascii="宋体" w:hAnsi="宋体" w:cs="仿宋"/>
                <w:bCs/>
                <w:sz w:val="20"/>
                <w:szCs w:val="20"/>
              </w:rPr>
              <w:br w:type="textWrapping"/>
            </w:r>
            <w:r>
              <w:rPr>
                <w:rFonts w:hint="eastAsia" w:ascii="宋体" w:hAnsi="宋体" w:cs="仿宋"/>
                <w:bCs/>
                <w:sz w:val="20"/>
                <w:szCs w:val="20"/>
              </w:rPr>
              <w:t>2.熟悉国内外社会办医发展模式;健康产业和健康事业的不同分类;健康促进服务分类:健康管理服务与医学服务的区别:医药制造业分类，医疗仪器设备及器械制造业分类;与健康产业新业态相关的概念。</w:t>
            </w:r>
            <w:r>
              <w:rPr>
                <w:rFonts w:hint="eastAsia" w:ascii="宋体" w:hAnsi="宋体" w:cs="仿宋"/>
                <w:bCs/>
                <w:sz w:val="20"/>
                <w:szCs w:val="20"/>
              </w:rPr>
              <w:br w:type="textWrapping"/>
            </w:r>
            <w:r>
              <w:rPr>
                <w:rFonts w:hint="eastAsia" w:ascii="宋体" w:hAnsi="宋体" w:cs="仿宋"/>
                <w:bCs/>
                <w:sz w:val="20"/>
                <w:szCs w:val="20"/>
              </w:rPr>
              <w:t>3.了解我国医药制造业发展特征与产业政策;我国社会办医政策与监管框架;我国医药制造业发展特征与产业政策;我国医疗仪器设备及器械制造业发展特征;我国健康产业新业态发展状况。</w:t>
            </w:r>
          </w:p>
        </w:tc>
        <w:tc>
          <w:tcPr>
            <w:tcW w:w="1367" w:type="dxa"/>
          </w:tcPr>
          <w:p>
            <w:pPr>
              <w:snapToGrid w:val="0"/>
              <w:spacing w:line="280" w:lineRule="exact"/>
              <w:rPr>
                <w:rFonts w:ascii="宋体" w:hAnsi="宋体" w:cs="仿宋"/>
                <w:bCs/>
                <w:sz w:val="20"/>
                <w:szCs w:val="20"/>
              </w:rPr>
            </w:pPr>
            <w:r>
              <w:rPr>
                <w:rFonts w:hint="eastAsia" w:ascii="宋体" w:hAnsi="宋体" w:cs="仿宋"/>
                <w:bCs/>
                <w:sz w:val="20"/>
                <w:szCs w:val="20"/>
              </w:rPr>
              <w:t>帮助学生梳理正确的学习态度价值观，深入理解大健康背景下健康经济学理论与政策发展。</w:t>
            </w:r>
          </w:p>
        </w:tc>
        <w:tc>
          <w:tcPr>
            <w:tcW w:w="746" w:type="dxa"/>
          </w:tcPr>
          <w:p>
            <w:pPr>
              <w:snapToGrid w:val="0"/>
              <w:spacing w:line="280" w:lineRule="exact"/>
              <w:rPr>
                <w:rFonts w:ascii="宋体" w:hAnsi="宋体" w:cs="仿宋"/>
                <w:bCs/>
                <w:sz w:val="20"/>
                <w:szCs w:val="20"/>
              </w:rPr>
            </w:pPr>
            <w:r>
              <w:rPr>
                <w:rFonts w:hint="eastAsia" w:ascii="宋体" w:hAnsi="宋体" w:cs="仿宋"/>
                <w:bCs/>
                <w:sz w:val="20"/>
                <w:szCs w:val="20"/>
              </w:rPr>
              <w:t>健康产业和产业经济学的定义、范畴</w:t>
            </w:r>
            <w:r>
              <w:rPr>
                <w:rFonts w:hint="eastAsia" w:ascii="宋体" w:hAnsi="宋体" w:cs="仿宋"/>
                <w:bCs/>
                <w:sz w:val="20"/>
                <w:szCs w:val="20"/>
              </w:rPr>
              <w:br w:type="textWrapping"/>
            </w:r>
            <w:r>
              <w:rPr>
                <w:rFonts w:hint="eastAsia" w:ascii="宋体" w:hAnsi="宋体" w:cs="仿宋"/>
                <w:bCs/>
                <w:sz w:val="20"/>
                <w:szCs w:val="20"/>
              </w:rPr>
              <w:t>医疗卫生服务业、社会办医、健康促进服务的发展概况。</w:t>
            </w: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0</w:t>
            </w: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2</w:t>
            </w:r>
          </w:p>
        </w:tc>
        <w:tc>
          <w:tcPr>
            <w:tcW w:w="456" w:type="dxa"/>
          </w:tcPr>
          <w:p>
            <w:pPr>
              <w:snapToGrid w:val="0"/>
              <w:spacing w:line="280" w:lineRule="exact"/>
              <w:rPr>
                <w:rFonts w:ascii="宋体" w:hAnsi="宋体" w:cs="仿宋"/>
                <w:bCs/>
                <w:sz w:val="20"/>
                <w:szCs w:val="20"/>
              </w:rPr>
            </w:pPr>
            <w:r>
              <w:rPr>
                <w:rFonts w:hint="eastAsia" w:ascii="宋体" w:hAnsi="宋体" w:cs="仿宋"/>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6</w:t>
            </w:r>
          </w:p>
        </w:tc>
        <w:tc>
          <w:tcPr>
            <w:tcW w:w="572" w:type="dxa"/>
            <w:noWrap/>
          </w:tcPr>
          <w:p>
            <w:pPr>
              <w:snapToGrid w:val="0"/>
              <w:spacing w:line="280" w:lineRule="exact"/>
              <w:rPr>
                <w:rFonts w:ascii="宋体" w:hAnsi="宋体" w:cs="仿宋"/>
                <w:bCs/>
                <w:sz w:val="20"/>
                <w:szCs w:val="20"/>
              </w:rPr>
            </w:pPr>
            <w:r>
              <w:rPr>
                <w:rFonts w:hint="eastAsia" w:ascii="宋体" w:hAnsi="宋体" w:cs="仿宋"/>
                <w:bCs/>
                <w:sz w:val="20"/>
                <w:szCs w:val="20"/>
              </w:rPr>
              <w:t>健康与宏观经济</w:t>
            </w:r>
          </w:p>
        </w:tc>
        <w:tc>
          <w:tcPr>
            <w:tcW w:w="1701" w:type="dxa"/>
          </w:tcPr>
          <w:p>
            <w:pPr>
              <w:snapToGrid w:val="0"/>
              <w:spacing w:line="280" w:lineRule="exact"/>
              <w:rPr>
                <w:rFonts w:ascii="宋体" w:hAnsi="宋体" w:cs="仿宋"/>
                <w:bCs/>
                <w:sz w:val="20"/>
                <w:szCs w:val="20"/>
              </w:rPr>
            </w:pPr>
            <w:r>
              <w:rPr>
                <w:rFonts w:hint="eastAsia" w:ascii="宋体" w:hAnsi="宋体" w:cs="仿宋"/>
                <w:bCs/>
                <w:sz w:val="20"/>
                <w:szCs w:val="20"/>
              </w:rPr>
              <w:t>健康与人口</w:t>
            </w:r>
            <w:r>
              <w:rPr>
                <w:rFonts w:hint="eastAsia" w:ascii="宋体" w:hAnsi="宋体" w:cs="仿宋"/>
                <w:bCs/>
                <w:sz w:val="20"/>
                <w:szCs w:val="20"/>
              </w:rPr>
              <w:br w:type="textWrapping"/>
            </w:r>
            <w:r>
              <w:rPr>
                <w:rFonts w:hint="eastAsia" w:ascii="宋体" w:hAnsi="宋体" w:cs="仿宋"/>
                <w:bCs/>
                <w:sz w:val="20"/>
                <w:szCs w:val="20"/>
              </w:rPr>
              <w:t>健康支出与国民经济收入</w:t>
            </w:r>
            <w:r>
              <w:rPr>
                <w:rFonts w:hint="eastAsia" w:ascii="宋体" w:hAnsi="宋体" w:cs="仿宋"/>
                <w:bCs/>
                <w:sz w:val="20"/>
                <w:szCs w:val="20"/>
              </w:rPr>
              <w:br w:type="textWrapping"/>
            </w:r>
            <w:r>
              <w:rPr>
                <w:rFonts w:hint="eastAsia" w:ascii="宋体" w:hAnsi="宋体" w:cs="仿宋"/>
                <w:bCs/>
                <w:sz w:val="20"/>
                <w:szCs w:val="20"/>
              </w:rPr>
              <w:t>健康与国民收入分配</w:t>
            </w:r>
            <w:r>
              <w:rPr>
                <w:rFonts w:hint="eastAsia" w:ascii="宋体" w:hAnsi="宋体" w:cs="仿宋"/>
                <w:bCs/>
                <w:sz w:val="20"/>
                <w:szCs w:val="20"/>
              </w:rPr>
              <w:br w:type="textWrapping"/>
            </w:r>
            <w:r>
              <w:rPr>
                <w:rFonts w:hint="eastAsia" w:ascii="宋体" w:hAnsi="宋体" w:cs="仿宋"/>
                <w:bCs/>
                <w:sz w:val="20"/>
                <w:szCs w:val="20"/>
              </w:rPr>
              <w:t>健康与经济增长</w:t>
            </w:r>
          </w:p>
        </w:tc>
        <w:tc>
          <w:tcPr>
            <w:tcW w:w="2086" w:type="dxa"/>
          </w:tcPr>
          <w:p>
            <w:pPr>
              <w:snapToGrid w:val="0"/>
              <w:spacing w:line="280" w:lineRule="exact"/>
              <w:rPr>
                <w:rFonts w:ascii="宋体" w:hAnsi="宋体" w:cs="仿宋"/>
                <w:bCs/>
                <w:sz w:val="20"/>
                <w:szCs w:val="20"/>
              </w:rPr>
            </w:pPr>
            <w:r>
              <w:rPr>
                <w:rFonts w:hint="eastAsia" w:ascii="宋体" w:hAnsi="宋体" w:cs="仿宋"/>
                <w:bCs/>
                <w:sz w:val="20"/>
                <w:szCs w:val="20"/>
              </w:rPr>
              <w:t>1.掌握人力资本;人口老龄化:健康支出系数;国民收入分配:劳动生产率;健康投资</w:t>
            </w:r>
            <w:r>
              <w:rPr>
                <w:rFonts w:hint="eastAsia" w:ascii="宋体" w:hAnsi="宋体" w:cs="仿宋"/>
                <w:bCs/>
                <w:sz w:val="20"/>
                <w:szCs w:val="20"/>
              </w:rPr>
              <w:br w:type="textWrapping"/>
            </w:r>
            <w:r>
              <w:rPr>
                <w:rFonts w:hint="eastAsia" w:ascii="宋体" w:hAnsi="宋体" w:cs="仿宋"/>
                <w:bCs/>
                <w:sz w:val="20"/>
                <w:szCs w:val="20"/>
              </w:rPr>
              <w:t>2.熟悉人口老龄化的经济效应;健康支出系数的变化;健康的初次分配和再分配效应;健康投资的经济效应。</w:t>
            </w:r>
            <w:r>
              <w:rPr>
                <w:rFonts w:hint="eastAsia" w:ascii="宋体" w:hAnsi="宋体" w:cs="仿宋"/>
                <w:bCs/>
                <w:sz w:val="20"/>
                <w:szCs w:val="20"/>
              </w:rPr>
              <w:br w:type="textWrapping"/>
            </w:r>
            <w:r>
              <w:rPr>
                <w:rFonts w:hint="eastAsia" w:ascii="宋体" w:hAnsi="宋体" w:cs="仿宋"/>
                <w:bCs/>
                <w:sz w:val="20"/>
                <w:szCs w:val="20"/>
              </w:rPr>
              <w:t>3.了解中国优化健康投资结构的基本思路。</w:t>
            </w:r>
          </w:p>
        </w:tc>
        <w:tc>
          <w:tcPr>
            <w:tcW w:w="1367" w:type="dxa"/>
          </w:tcPr>
          <w:p>
            <w:pPr>
              <w:snapToGrid w:val="0"/>
              <w:spacing w:line="280" w:lineRule="exact"/>
              <w:rPr>
                <w:rFonts w:ascii="宋体" w:hAnsi="宋体" w:cs="仿宋"/>
                <w:bCs/>
                <w:sz w:val="20"/>
                <w:szCs w:val="20"/>
              </w:rPr>
            </w:pPr>
            <w:r>
              <w:rPr>
                <w:rFonts w:hint="eastAsia" w:ascii="宋体" w:hAnsi="宋体" w:cs="仿宋"/>
                <w:bCs/>
                <w:sz w:val="20"/>
                <w:szCs w:val="20"/>
              </w:rPr>
              <w:t>帮助学生梳理正确的学习态度价值观，深入理解大健康背景下健康经济学理论与政策发展。</w:t>
            </w:r>
          </w:p>
        </w:tc>
        <w:tc>
          <w:tcPr>
            <w:tcW w:w="746" w:type="dxa"/>
          </w:tcPr>
          <w:p>
            <w:pPr>
              <w:snapToGrid w:val="0"/>
              <w:spacing w:line="280" w:lineRule="exact"/>
              <w:rPr>
                <w:rFonts w:ascii="宋体" w:hAnsi="宋体" w:cs="仿宋"/>
                <w:bCs/>
                <w:sz w:val="20"/>
                <w:szCs w:val="20"/>
              </w:rPr>
            </w:pPr>
            <w:r>
              <w:rPr>
                <w:rFonts w:hint="eastAsia" w:ascii="宋体" w:hAnsi="宋体" w:cs="仿宋"/>
                <w:bCs/>
                <w:sz w:val="20"/>
                <w:szCs w:val="20"/>
              </w:rPr>
              <w:t>人力资本、人口老龄化及其经济效应、健康支出系数、健康分配、健康投资的经济效应。</w:t>
            </w: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2</w:t>
            </w: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0</w:t>
            </w:r>
          </w:p>
        </w:tc>
        <w:tc>
          <w:tcPr>
            <w:tcW w:w="456" w:type="dxa"/>
          </w:tcPr>
          <w:p>
            <w:pPr>
              <w:snapToGrid w:val="0"/>
              <w:spacing w:line="280" w:lineRule="exact"/>
              <w:rPr>
                <w:rFonts w:ascii="宋体" w:hAnsi="宋体" w:cs="仿宋"/>
                <w:bCs/>
                <w:sz w:val="20"/>
                <w:szCs w:val="20"/>
              </w:rPr>
            </w:pPr>
            <w:r>
              <w:rPr>
                <w:rFonts w:hint="eastAsia" w:ascii="宋体" w:hAnsi="宋体" w:cs="仿宋"/>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7</w:t>
            </w:r>
          </w:p>
        </w:tc>
        <w:tc>
          <w:tcPr>
            <w:tcW w:w="572" w:type="dxa"/>
            <w:noWrap/>
          </w:tcPr>
          <w:p>
            <w:pPr>
              <w:snapToGrid w:val="0"/>
              <w:spacing w:line="280" w:lineRule="exact"/>
              <w:rPr>
                <w:rFonts w:ascii="宋体" w:hAnsi="宋体" w:cs="仿宋"/>
                <w:bCs/>
                <w:sz w:val="20"/>
                <w:szCs w:val="20"/>
              </w:rPr>
            </w:pPr>
            <w:r>
              <w:rPr>
                <w:rFonts w:hint="eastAsia" w:ascii="宋体" w:hAnsi="宋体" w:cs="仿宋"/>
                <w:bCs/>
                <w:sz w:val="20"/>
                <w:szCs w:val="20"/>
              </w:rPr>
              <w:t>政府行为和健康政策</w:t>
            </w:r>
          </w:p>
        </w:tc>
        <w:tc>
          <w:tcPr>
            <w:tcW w:w="1701" w:type="dxa"/>
          </w:tcPr>
          <w:p>
            <w:pPr>
              <w:snapToGrid w:val="0"/>
              <w:spacing w:line="280" w:lineRule="exact"/>
              <w:rPr>
                <w:rFonts w:ascii="宋体" w:hAnsi="宋体" w:cs="仿宋"/>
                <w:bCs/>
                <w:sz w:val="20"/>
                <w:szCs w:val="20"/>
              </w:rPr>
            </w:pPr>
            <w:r>
              <w:rPr>
                <w:rFonts w:hint="eastAsia" w:ascii="宋体" w:hAnsi="宋体" w:cs="仿宋"/>
                <w:bCs/>
                <w:sz w:val="20"/>
                <w:szCs w:val="20"/>
              </w:rPr>
              <w:t>健康领域政府行为的理论基础</w:t>
            </w:r>
            <w:r>
              <w:rPr>
                <w:rFonts w:hint="eastAsia" w:ascii="宋体" w:hAnsi="宋体" w:cs="仿宋"/>
                <w:bCs/>
                <w:sz w:val="20"/>
                <w:szCs w:val="20"/>
              </w:rPr>
              <w:br w:type="textWrapping"/>
            </w:r>
            <w:r>
              <w:rPr>
                <w:rFonts w:hint="eastAsia" w:ascii="宋体" w:hAnsi="宋体" w:cs="仿宋"/>
                <w:bCs/>
                <w:sz w:val="20"/>
                <w:szCs w:val="20"/>
              </w:rPr>
              <w:t>健康资源配置</w:t>
            </w:r>
            <w:r>
              <w:rPr>
                <w:rFonts w:hint="eastAsia" w:ascii="宋体" w:hAnsi="宋体" w:cs="仿宋"/>
                <w:bCs/>
                <w:sz w:val="20"/>
                <w:szCs w:val="20"/>
              </w:rPr>
              <w:br w:type="textWrapping"/>
            </w:r>
            <w:r>
              <w:rPr>
                <w:rFonts w:hint="eastAsia" w:ascii="宋体" w:hAnsi="宋体" w:cs="仿宋"/>
                <w:bCs/>
                <w:sz w:val="20"/>
                <w:szCs w:val="20"/>
              </w:rPr>
              <w:t>健康政策</w:t>
            </w:r>
          </w:p>
        </w:tc>
        <w:tc>
          <w:tcPr>
            <w:tcW w:w="2086" w:type="dxa"/>
          </w:tcPr>
          <w:p>
            <w:pPr>
              <w:snapToGrid w:val="0"/>
              <w:spacing w:line="280" w:lineRule="exact"/>
              <w:rPr>
                <w:rFonts w:ascii="宋体" w:hAnsi="宋体" w:cs="仿宋"/>
                <w:bCs/>
                <w:sz w:val="20"/>
                <w:szCs w:val="20"/>
              </w:rPr>
            </w:pPr>
            <w:r>
              <w:rPr>
                <w:rFonts w:hint="eastAsia" w:ascii="宋体" w:hAnsi="宋体" w:cs="仿宋"/>
                <w:bCs/>
                <w:sz w:val="20"/>
                <w:szCs w:val="20"/>
              </w:rPr>
              <w:t>1.掌握健康领域公平相关概念;基本健康资源配置方法。</w:t>
            </w:r>
            <w:r>
              <w:rPr>
                <w:rFonts w:hint="eastAsia" w:ascii="宋体" w:hAnsi="宋体" w:cs="仿宋"/>
                <w:bCs/>
                <w:sz w:val="20"/>
                <w:szCs w:val="20"/>
              </w:rPr>
              <w:br w:type="textWrapping"/>
            </w:r>
            <w:r>
              <w:rPr>
                <w:rFonts w:hint="eastAsia" w:ascii="宋体" w:hAnsi="宋体" w:cs="仿宋"/>
                <w:bCs/>
                <w:sz w:val="20"/>
                <w:szCs w:val="20"/>
              </w:rPr>
              <w:t>2.熟悉健康规划的基本内容;健康领域政府行为的理论基础。</w:t>
            </w:r>
            <w:r>
              <w:rPr>
                <w:rFonts w:hint="eastAsia" w:ascii="宋体" w:hAnsi="宋体" w:cs="仿宋"/>
                <w:bCs/>
                <w:sz w:val="20"/>
                <w:szCs w:val="20"/>
              </w:rPr>
              <w:br w:type="textWrapping"/>
            </w:r>
            <w:r>
              <w:rPr>
                <w:rFonts w:hint="eastAsia" w:ascii="宋体" w:hAnsi="宋体" w:cs="仿宋"/>
                <w:bCs/>
                <w:sz w:val="20"/>
                <w:szCs w:val="20"/>
              </w:rPr>
              <w:t>3.了解国内外健康资源配置和规划体系。</w:t>
            </w:r>
          </w:p>
        </w:tc>
        <w:tc>
          <w:tcPr>
            <w:tcW w:w="1367" w:type="dxa"/>
          </w:tcPr>
          <w:p>
            <w:pPr>
              <w:snapToGrid w:val="0"/>
              <w:spacing w:line="280" w:lineRule="exact"/>
              <w:rPr>
                <w:rFonts w:ascii="宋体" w:hAnsi="宋体" w:cs="仿宋"/>
                <w:bCs/>
                <w:sz w:val="20"/>
                <w:szCs w:val="20"/>
              </w:rPr>
            </w:pPr>
            <w:r>
              <w:rPr>
                <w:rFonts w:hint="eastAsia" w:ascii="宋体" w:hAnsi="宋体" w:cs="仿宋"/>
                <w:bCs/>
                <w:sz w:val="20"/>
                <w:szCs w:val="20"/>
              </w:rPr>
              <w:t>帮助学生梳理正确的学习态度价值观，深入理解大健康背景下健康经济学理论与政策发展。</w:t>
            </w:r>
          </w:p>
        </w:tc>
        <w:tc>
          <w:tcPr>
            <w:tcW w:w="746" w:type="dxa"/>
          </w:tcPr>
          <w:p>
            <w:pPr>
              <w:snapToGrid w:val="0"/>
              <w:spacing w:line="280" w:lineRule="exact"/>
              <w:rPr>
                <w:rFonts w:ascii="宋体" w:hAnsi="宋体" w:cs="仿宋"/>
                <w:bCs/>
                <w:sz w:val="20"/>
                <w:szCs w:val="20"/>
              </w:rPr>
            </w:pPr>
            <w:r>
              <w:rPr>
                <w:rFonts w:hint="eastAsia" w:ascii="宋体" w:hAnsi="宋体" w:cs="仿宋"/>
                <w:bCs/>
                <w:sz w:val="20"/>
                <w:szCs w:val="20"/>
              </w:rPr>
              <w:t>效率与公平理论在健康领域的应用、</w:t>
            </w:r>
            <w:r>
              <w:rPr>
                <w:rFonts w:hint="eastAsia" w:ascii="宋体" w:hAnsi="宋体" w:cs="仿宋"/>
                <w:bCs/>
                <w:sz w:val="20"/>
                <w:szCs w:val="20"/>
              </w:rPr>
              <w:br w:type="textWrapping"/>
            </w:r>
            <w:r>
              <w:rPr>
                <w:rFonts w:hint="eastAsia" w:ascii="宋体" w:hAnsi="宋体" w:cs="仿宋"/>
                <w:bCs/>
                <w:sz w:val="20"/>
                <w:szCs w:val="20"/>
              </w:rPr>
              <w:t>健康资源配置方法：需要法、需求法、服务目标法。</w:t>
            </w: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2</w:t>
            </w: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0</w:t>
            </w:r>
          </w:p>
        </w:tc>
        <w:tc>
          <w:tcPr>
            <w:tcW w:w="456" w:type="dxa"/>
          </w:tcPr>
          <w:p>
            <w:pPr>
              <w:snapToGrid w:val="0"/>
              <w:spacing w:line="280" w:lineRule="exact"/>
              <w:rPr>
                <w:rFonts w:ascii="宋体" w:hAnsi="宋体" w:cs="仿宋"/>
                <w:bCs/>
                <w:sz w:val="20"/>
                <w:szCs w:val="20"/>
              </w:rPr>
            </w:pPr>
            <w:r>
              <w:rPr>
                <w:rFonts w:hint="eastAsia" w:ascii="宋体" w:hAnsi="宋体" w:cs="仿宋"/>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8</w:t>
            </w:r>
          </w:p>
        </w:tc>
        <w:tc>
          <w:tcPr>
            <w:tcW w:w="572" w:type="dxa"/>
            <w:noWrap/>
          </w:tcPr>
          <w:p>
            <w:pPr>
              <w:snapToGrid w:val="0"/>
              <w:spacing w:line="280" w:lineRule="exact"/>
              <w:rPr>
                <w:rFonts w:ascii="宋体" w:hAnsi="宋体" w:cs="仿宋"/>
                <w:bCs/>
                <w:sz w:val="20"/>
                <w:szCs w:val="20"/>
              </w:rPr>
            </w:pPr>
            <w:r>
              <w:rPr>
                <w:rFonts w:hint="eastAsia" w:ascii="宋体" w:hAnsi="宋体" w:cs="仿宋"/>
                <w:bCs/>
                <w:sz w:val="20"/>
                <w:szCs w:val="20"/>
              </w:rPr>
              <w:t>健康保障</w:t>
            </w:r>
          </w:p>
        </w:tc>
        <w:tc>
          <w:tcPr>
            <w:tcW w:w="1701" w:type="dxa"/>
          </w:tcPr>
          <w:p>
            <w:pPr>
              <w:snapToGrid w:val="0"/>
              <w:spacing w:line="280" w:lineRule="exact"/>
              <w:rPr>
                <w:rFonts w:ascii="宋体" w:hAnsi="宋体" w:cs="仿宋"/>
                <w:bCs/>
                <w:sz w:val="20"/>
                <w:szCs w:val="20"/>
              </w:rPr>
            </w:pPr>
            <w:r>
              <w:rPr>
                <w:rFonts w:hint="eastAsia" w:ascii="宋体" w:hAnsi="宋体" w:cs="仿宋"/>
                <w:bCs/>
                <w:sz w:val="20"/>
                <w:szCs w:val="20"/>
              </w:rPr>
              <w:t>健康保障概述</w:t>
            </w:r>
            <w:r>
              <w:rPr>
                <w:rFonts w:hint="eastAsia" w:ascii="宋体" w:hAnsi="宋体" w:cs="仿宋"/>
                <w:bCs/>
                <w:sz w:val="20"/>
                <w:szCs w:val="20"/>
              </w:rPr>
              <w:br w:type="textWrapping"/>
            </w:r>
            <w:r>
              <w:rPr>
                <w:rFonts w:hint="eastAsia" w:ascii="宋体" w:hAnsi="宋体" w:cs="仿宋"/>
                <w:bCs/>
                <w:sz w:val="20"/>
                <w:szCs w:val="20"/>
              </w:rPr>
              <w:t>健康保险</w:t>
            </w:r>
          </w:p>
          <w:p>
            <w:pPr>
              <w:snapToGrid w:val="0"/>
              <w:spacing w:line="280" w:lineRule="exact"/>
              <w:rPr>
                <w:rFonts w:ascii="宋体" w:hAnsi="宋体" w:cs="仿宋"/>
                <w:bCs/>
                <w:sz w:val="20"/>
                <w:szCs w:val="20"/>
              </w:rPr>
            </w:pPr>
            <w:r>
              <w:rPr>
                <w:rFonts w:hint="eastAsia" w:ascii="宋体" w:hAnsi="宋体" w:cs="仿宋"/>
                <w:bCs/>
                <w:sz w:val="20"/>
                <w:szCs w:val="20"/>
              </w:rPr>
              <w:t>健康保障制度的典型模式</w:t>
            </w:r>
            <w:r>
              <w:rPr>
                <w:rFonts w:hint="eastAsia" w:ascii="宋体" w:hAnsi="宋体" w:cs="仿宋"/>
                <w:bCs/>
                <w:sz w:val="20"/>
                <w:szCs w:val="20"/>
              </w:rPr>
              <w:br w:type="textWrapping"/>
            </w:r>
            <w:r>
              <w:rPr>
                <w:rFonts w:hint="eastAsia" w:ascii="宋体" w:hAnsi="宋体" w:cs="仿宋"/>
                <w:bCs/>
                <w:sz w:val="20"/>
                <w:szCs w:val="20"/>
              </w:rPr>
              <w:t>我国健康保障体系建设与实践</w:t>
            </w:r>
          </w:p>
        </w:tc>
        <w:tc>
          <w:tcPr>
            <w:tcW w:w="2086" w:type="dxa"/>
          </w:tcPr>
          <w:p>
            <w:pPr>
              <w:snapToGrid w:val="0"/>
              <w:spacing w:line="280" w:lineRule="exact"/>
              <w:rPr>
                <w:rFonts w:ascii="宋体" w:hAnsi="宋体" w:cs="仿宋"/>
                <w:bCs/>
                <w:sz w:val="20"/>
                <w:szCs w:val="20"/>
              </w:rPr>
            </w:pPr>
            <w:r>
              <w:rPr>
                <w:rFonts w:hint="eastAsia" w:ascii="宋体" w:hAnsi="宋体" w:cs="仿宋"/>
                <w:bCs/>
                <w:sz w:val="20"/>
                <w:szCs w:val="20"/>
              </w:rPr>
              <w:t>1.掌握健康保障的概念;健康保险的需求与供给。</w:t>
            </w:r>
          </w:p>
          <w:p>
            <w:pPr>
              <w:snapToGrid w:val="0"/>
              <w:spacing w:line="280" w:lineRule="exact"/>
              <w:rPr>
                <w:rFonts w:ascii="宋体" w:hAnsi="宋体" w:cs="仿宋"/>
                <w:bCs/>
                <w:sz w:val="20"/>
                <w:szCs w:val="20"/>
              </w:rPr>
            </w:pPr>
            <w:r>
              <w:rPr>
                <w:rFonts w:hint="eastAsia" w:ascii="宋体" w:hAnsi="宋体" w:cs="仿宋"/>
                <w:bCs/>
                <w:sz w:val="20"/>
                <w:szCs w:val="20"/>
              </w:rPr>
              <w:t>2.熟悉健康保险的需求与供给的影响因素;我国基本医疗保障体系的构成。</w:t>
            </w:r>
            <w:r>
              <w:rPr>
                <w:rFonts w:hint="eastAsia" w:ascii="宋体" w:hAnsi="宋体" w:cs="仿宋"/>
                <w:bCs/>
                <w:sz w:val="20"/>
                <w:szCs w:val="20"/>
              </w:rPr>
              <w:br w:type="textWrapping"/>
            </w:r>
            <w:r>
              <w:rPr>
                <w:rFonts w:hint="eastAsia" w:ascii="宋体" w:hAnsi="宋体" w:cs="仿宋"/>
                <w:bCs/>
                <w:sz w:val="20"/>
                <w:szCs w:val="20"/>
              </w:rPr>
              <w:t>3.了解世界典型国家医疗保障制度。</w:t>
            </w:r>
          </w:p>
        </w:tc>
        <w:tc>
          <w:tcPr>
            <w:tcW w:w="1367" w:type="dxa"/>
          </w:tcPr>
          <w:p>
            <w:pPr>
              <w:snapToGrid w:val="0"/>
              <w:spacing w:line="280" w:lineRule="exact"/>
              <w:rPr>
                <w:rFonts w:ascii="宋体" w:hAnsi="宋体" w:cs="仿宋"/>
                <w:bCs/>
                <w:sz w:val="20"/>
                <w:szCs w:val="20"/>
              </w:rPr>
            </w:pPr>
            <w:r>
              <w:rPr>
                <w:rFonts w:hint="eastAsia" w:ascii="宋体" w:hAnsi="宋体" w:cs="仿宋"/>
                <w:bCs/>
                <w:sz w:val="20"/>
                <w:szCs w:val="20"/>
              </w:rPr>
              <w:t>带领学生理解不同国家文化背景下的保障制度，了解体会不同价值观，增强国际视野。</w:t>
            </w:r>
          </w:p>
        </w:tc>
        <w:tc>
          <w:tcPr>
            <w:tcW w:w="746" w:type="dxa"/>
          </w:tcPr>
          <w:p>
            <w:pPr>
              <w:snapToGrid w:val="0"/>
              <w:spacing w:line="280" w:lineRule="exact"/>
              <w:rPr>
                <w:rFonts w:ascii="宋体" w:hAnsi="宋体" w:cs="仿宋"/>
                <w:bCs/>
                <w:sz w:val="20"/>
                <w:szCs w:val="20"/>
              </w:rPr>
            </w:pPr>
            <w:r>
              <w:rPr>
                <w:rFonts w:hint="eastAsia" w:ascii="宋体" w:hAnsi="宋体" w:cs="仿宋"/>
                <w:bCs/>
                <w:sz w:val="20"/>
                <w:szCs w:val="20"/>
              </w:rPr>
              <w:t>不同医疗保障制度优缺点分析</w:t>
            </w: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2</w:t>
            </w: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2</w:t>
            </w:r>
          </w:p>
        </w:tc>
        <w:tc>
          <w:tcPr>
            <w:tcW w:w="456" w:type="dxa"/>
          </w:tcPr>
          <w:p>
            <w:pPr>
              <w:snapToGrid w:val="0"/>
              <w:spacing w:line="280" w:lineRule="exact"/>
              <w:rPr>
                <w:rFonts w:ascii="宋体" w:hAnsi="宋体" w:cs="仿宋"/>
                <w:bCs/>
                <w:sz w:val="20"/>
                <w:szCs w:val="20"/>
              </w:rPr>
            </w:pPr>
            <w:r>
              <w:rPr>
                <w:rFonts w:hint="eastAsia" w:ascii="宋体" w:hAnsi="宋体" w:cs="仿宋"/>
                <w:bCs/>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9</w:t>
            </w:r>
          </w:p>
        </w:tc>
        <w:tc>
          <w:tcPr>
            <w:tcW w:w="572" w:type="dxa"/>
            <w:noWrap/>
          </w:tcPr>
          <w:p>
            <w:pPr>
              <w:snapToGrid w:val="0"/>
              <w:spacing w:line="280" w:lineRule="exact"/>
              <w:rPr>
                <w:rFonts w:ascii="宋体" w:hAnsi="宋体" w:cs="仿宋"/>
                <w:bCs/>
                <w:sz w:val="20"/>
                <w:szCs w:val="20"/>
              </w:rPr>
            </w:pPr>
            <w:r>
              <w:rPr>
                <w:rFonts w:hint="eastAsia" w:ascii="宋体" w:hAnsi="宋体" w:cs="仿宋"/>
                <w:bCs/>
                <w:sz w:val="20"/>
                <w:szCs w:val="20"/>
              </w:rPr>
              <w:t>卫生费用与评价</w:t>
            </w:r>
          </w:p>
        </w:tc>
        <w:tc>
          <w:tcPr>
            <w:tcW w:w="1701" w:type="dxa"/>
          </w:tcPr>
          <w:p>
            <w:pPr>
              <w:snapToGrid w:val="0"/>
              <w:spacing w:line="280" w:lineRule="exact"/>
              <w:rPr>
                <w:rFonts w:ascii="宋体" w:hAnsi="宋体" w:cs="仿宋"/>
                <w:bCs/>
                <w:sz w:val="20"/>
                <w:szCs w:val="20"/>
              </w:rPr>
            </w:pPr>
            <w:r>
              <w:rPr>
                <w:rFonts w:hint="eastAsia" w:ascii="宋体" w:hAnsi="宋体" w:cs="仿宋"/>
                <w:bCs/>
                <w:sz w:val="20"/>
                <w:szCs w:val="20"/>
              </w:rPr>
              <w:t>卫生费用概述</w:t>
            </w:r>
            <w:r>
              <w:rPr>
                <w:rFonts w:hint="eastAsia" w:ascii="宋体" w:hAnsi="宋体" w:cs="仿宋"/>
                <w:bCs/>
                <w:sz w:val="20"/>
                <w:szCs w:val="20"/>
              </w:rPr>
              <w:br w:type="textWrapping"/>
            </w:r>
            <w:r>
              <w:rPr>
                <w:rFonts w:hint="eastAsia" w:ascii="宋体" w:hAnsi="宋体" w:cs="仿宋"/>
                <w:bCs/>
                <w:sz w:val="20"/>
                <w:szCs w:val="20"/>
              </w:rPr>
              <w:t>卫生费用核算</w:t>
            </w:r>
            <w:r>
              <w:rPr>
                <w:rFonts w:hint="eastAsia" w:ascii="宋体" w:hAnsi="宋体" w:cs="仿宋"/>
                <w:bCs/>
                <w:sz w:val="20"/>
                <w:szCs w:val="20"/>
              </w:rPr>
              <w:br w:type="textWrapping"/>
            </w:r>
            <w:r>
              <w:rPr>
                <w:rFonts w:hint="eastAsia" w:ascii="宋体" w:hAnsi="宋体" w:cs="仿宋"/>
                <w:bCs/>
                <w:sz w:val="20"/>
                <w:szCs w:val="20"/>
              </w:rPr>
              <w:t>卫生费用分析</w:t>
            </w:r>
          </w:p>
        </w:tc>
        <w:tc>
          <w:tcPr>
            <w:tcW w:w="2086" w:type="dxa"/>
          </w:tcPr>
          <w:p>
            <w:pPr>
              <w:snapToGrid w:val="0"/>
              <w:spacing w:line="280" w:lineRule="exact"/>
              <w:rPr>
                <w:rFonts w:ascii="宋体" w:hAnsi="宋体" w:cs="仿宋"/>
                <w:bCs/>
                <w:sz w:val="20"/>
                <w:szCs w:val="20"/>
              </w:rPr>
            </w:pPr>
            <w:r>
              <w:rPr>
                <w:rFonts w:hint="eastAsia" w:ascii="宋体" w:hAnsi="宋体" w:cs="仿宋"/>
                <w:bCs/>
                <w:sz w:val="20"/>
                <w:szCs w:val="20"/>
              </w:rPr>
              <w:t>1. 掌握卫生费用的基本概念与特点。</w:t>
            </w:r>
            <w:r>
              <w:rPr>
                <w:rFonts w:hint="eastAsia" w:ascii="宋体" w:hAnsi="宋体" w:cs="仿宋"/>
                <w:bCs/>
                <w:sz w:val="20"/>
                <w:szCs w:val="20"/>
              </w:rPr>
              <w:br w:type="textWrapping"/>
            </w:r>
            <w:r>
              <w:rPr>
                <w:rFonts w:hint="eastAsia" w:ascii="宋体" w:hAnsi="宋体" w:cs="仿宋"/>
                <w:bCs/>
                <w:sz w:val="20"/>
                <w:szCs w:val="20"/>
              </w:rPr>
              <w:t>2. 熟悉卫生费用分析要点与研究意义。</w:t>
            </w:r>
            <w:r>
              <w:rPr>
                <w:rFonts w:hint="eastAsia" w:ascii="宋体" w:hAnsi="宋体" w:cs="仿宋"/>
                <w:bCs/>
                <w:sz w:val="20"/>
                <w:szCs w:val="20"/>
              </w:rPr>
              <w:br w:type="textWrapping"/>
            </w:r>
            <w:r>
              <w:rPr>
                <w:rFonts w:hint="eastAsia" w:ascii="宋体" w:hAnsi="宋体" w:cs="仿宋"/>
                <w:bCs/>
                <w:sz w:val="20"/>
                <w:szCs w:val="20"/>
              </w:rPr>
              <w:t>3.了解卫生费用发展历程、核算方法与政策应用。</w:t>
            </w:r>
          </w:p>
        </w:tc>
        <w:tc>
          <w:tcPr>
            <w:tcW w:w="1367" w:type="dxa"/>
          </w:tcPr>
          <w:p>
            <w:pPr>
              <w:snapToGrid w:val="0"/>
              <w:spacing w:line="280" w:lineRule="exact"/>
              <w:rPr>
                <w:rFonts w:ascii="宋体" w:hAnsi="宋体" w:cs="仿宋"/>
                <w:bCs/>
                <w:sz w:val="20"/>
                <w:szCs w:val="20"/>
              </w:rPr>
            </w:pPr>
            <w:r>
              <w:rPr>
                <w:rFonts w:hint="eastAsia" w:ascii="宋体" w:hAnsi="宋体" w:cs="仿宋"/>
                <w:bCs/>
                <w:sz w:val="20"/>
                <w:szCs w:val="20"/>
              </w:rPr>
              <w:t>帮助学生梳理正确的学习态度价值观，深入理解大健康背景下健康经济学理论与政策发展。</w:t>
            </w:r>
          </w:p>
        </w:tc>
        <w:tc>
          <w:tcPr>
            <w:tcW w:w="746" w:type="dxa"/>
          </w:tcPr>
          <w:p>
            <w:pPr>
              <w:snapToGrid w:val="0"/>
              <w:spacing w:line="280" w:lineRule="exact"/>
              <w:rPr>
                <w:rFonts w:ascii="宋体" w:hAnsi="宋体" w:cs="仿宋"/>
                <w:bCs/>
                <w:sz w:val="20"/>
                <w:szCs w:val="20"/>
              </w:rPr>
            </w:pPr>
            <w:r>
              <w:rPr>
                <w:rFonts w:hint="eastAsia" w:ascii="宋体" w:hAnsi="宋体" w:cs="仿宋"/>
                <w:bCs/>
                <w:sz w:val="20"/>
                <w:szCs w:val="20"/>
              </w:rPr>
              <w:t>卫生费用的概念、特点、核算方法。</w:t>
            </w: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2</w:t>
            </w: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0</w:t>
            </w:r>
          </w:p>
        </w:tc>
        <w:tc>
          <w:tcPr>
            <w:tcW w:w="456" w:type="dxa"/>
          </w:tcPr>
          <w:p>
            <w:pPr>
              <w:snapToGrid w:val="0"/>
              <w:spacing w:line="280" w:lineRule="exact"/>
              <w:rPr>
                <w:rFonts w:ascii="宋体" w:hAnsi="宋体" w:cs="仿宋"/>
                <w:bCs/>
                <w:sz w:val="20"/>
                <w:szCs w:val="20"/>
              </w:rPr>
            </w:pPr>
            <w:r>
              <w:rPr>
                <w:rFonts w:hint="eastAsia" w:ascii="宋体" w:hAnsi="宋体" w:cs="仿宋"/>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10</w:t>
            </w:r>
          </w:p>
        </w:tc>
        <w:tc>
          <w:tcPr>
            <w:tcW w:w="572" w:type="dxa"/>
            <w:noWrap/>
          </w:tcPr>
          <w:p>
            <w:pPr>
              <w:snapToGrid w:val="0"/>
              <w:spacing w:line="280" w:lineRule="exact"/>
              <w:rPr>
                <w:rFonts w:ascii="宋体" w:hAnsi="宋体" w:cs="仿宋"/>
                <w:bCs/>
                <w:sz w:val="20"/>
                <w:szCs w:val="20"/>
              </w:rPr>
            </w:pPr>
            <w:r>
              <w:rPr>
                <w:rFonts w:hint="eastAsia" w:ascii="宋体" w:hAnsi="宋体" w:cs="仿宋"/>
                <w:bCs/>
                <w:sz w:val="20"/>
                <w:szCs w:val="20"/>
              </w:rPr>
              <w:t>公立医院经济运营</w:t>
            </w:r>
          </w:p>
        </w:tc>
        <w:tc>
          <w:tcPr>
            <w:tcW w:w="1701" w:type="dxa"/>
          </w:tcPr>
          <w:p>
            <w:pPr>
              <w:snapToGrid w:val="0"/>
              <w:spacing w:line="280" w:lineRule="exact"/>
              <w:rPr>
                <w:rFonts w:ascii="宋体" w:hAnsi="宋体" w:cs="仿宋"/>
                <w:bCs/>
                <w:sz w:val="20"/>
                <w:szCs w:val="20"/>
              </w:rPr>
            </w:pPr>
            <w:r>
              <w:rPr>
                <w:rFonts w:hint="eastAsia" w:ascii="宋体" w:hAnsi="宋体" w:cs="仿宋"/>
                <w:bCs/>
                <w:sz w:val="20"/>
                <w:szCs w:val="20"/>
              </w:rPr>
              <w:t>公立医院经济运营概述</w:t>
            </w:r>
            <w:r>
              <w:rPr>
                <w:rFonts w:hint="eastAsia" w:ascii="宋体" w:hAnsi="宋体" w:cs="仿宋"/>
                <w:bCs/>
                <w:sz w:val="20"/>
                <w:szCs w:val="20"/>
              </w:rPr>
              <w:br w:type="textWrapping"/>
            </w:r>
            <w:r>
              <w:rPr>
                <w:rFonts w:hint="eastAsia" w:ascii="宋体" w:hAnsi="宋体" w:cs="仿宋"/>
                <w:bCs/>
                <w:sz w:val="20"/>
                <w:szCs w:val="20"/>
              </w:rPr>
              <w:t>公立医院服务补偿与经济政策</w:t>
            </w:r>
            <w:r>
              <w:rPr>
                <w:rFonts w:hint="eastAsia" w:ascii="宋体" w:hAnsi="宋体" w:cs="仿宋"/>
                <w:bCs/>
                <w:sz w:val="20"/>
                <w:szCs w:val="20"/>
              </w:rPr>
              <w:br w:type="textWrapping"/>
            </w:r>
            <w:r>
              <w:rPr>
                <w:rFonts w:hint="eastAsia" w:ascii="宋体" w:hAnsi="宋体" w:cs="仿宋"/>
                <w:bCs/>
                <w:sz w:val="20"/>
                <w:szCs w:val="20"/>
              </w:rPr>
              <w:t>公立医院经济运营效率</w:t>
            </w:r>
          </w:p>
        </w:tc>
        <w:tc>
          <w:tcPr>
            <w:tcW w:w="2086" w:type="dxa"/>
          </w:tcPr>
          <w:p>
            <w:pPr>
              <w:snapToGrid w:val="0"/>
              <w:spacing w:line="280" w:lineRule="exact"/>
              <w:rPr>
                <w:rFonts w:ascii="宋体" w:hAnsi="宋体" w:cs="仿宋"/>
                <w:bCs/>
                <w:sz w:val="20"/>
                <w:szCs w:val="20"/>
              </w:rPr>
            </w:pPr>
            <w:r>
              <w:rPr>
                <w:rFonts w:hint="eastAsia" w:ascii="宋体" w:hAnsi="宋体" w:cs="仿宋"/>
                <w:bCs/>
                <w:sz w:val="20"/>
                <w:szCs w:val="20"/>
              </w:rPr>
              <w:t>1.掌握政府举办的公立医院的社会责任;公立医院主要管理制度与运行机制;公立医院的政府定价和补偿机制。</w:t>
            </w:r>
            <w:r>
              <w:rPr>
                <w:rFonts w:hint="eastAsia" w:ascii="宋体" w:hAnsi="宋体" w:cs="仿宋"/>
                <w:bCs/>
                <w:sz w:val="20"/>
                <w:szCs w:val="20"/>
              </w:rPr>
              <w:br w:type="textWrapping"/>
            </w:r>
            <w:r>
              <w:rPr>
                <w:rFonts w:hint="eastAsia" w:ascii="宋体" w:hAnsi="宋体" w:cs="仿宋"/>
                <w:bCs/>
                <w:sz w:val="20"/>
                <w:szCs w:val="20"/>
              </w:rPr>
              <w:t>2.熟悉医疗服务质量与医院经济运营的关系;成本控制与医院的经济运营。</w:t>
            </w:r>
            <w:r>
              <w:rPr>
                <w:rFonts w:hint="eastAsia" w:ascii="宋体" w:hAnsi="宋体" w:cs="仿宋"/>
                <w:bCs/>
                <w:sz w:val="20"/>
                <w:szCs w:val="20"/>
              </w:rPr>
              <w:br w:type="textWrapping"/>
            </w:r>
            <w:r>
              <w:rPr>
                <w:rFonts w:hint="eastAsia" w:ascii="宋体" w:hAnsi="宋体" w:cs="仿宋"/>
                <w:bCs/>
                <w:sz w:val="20"/>
                <w:szCs w:val="20"/>
              </w:rPr>
              <w:t>3.了解公立医院经济运营评价指标。</w:t>
            </w:r>
          </w:p>
        </w:tc>
        <w:tc>
          <w:tcPr>
            <w:tcW w:w="1367" w:type="dxa"/>
          </w:tcPr>
          <w:p>
            <w:pPr>
              <w:snapToGrid w:val="0"/>
              <w:spacing w:line="280" w:lineRule="exact"/>
              <w:rPr>
                <w:rFonts w:ascii="宋体" w:hAnsi="宋体" w:cs="仿宋"/>
                <w:bCs/>
                <w:sz w:val="20"/>
                <w:szCs w:val="20"/>
              </w:rPr>
            </w:pPr>
            <w:r>
              <w:rPr>
                <w:rFonts w:hint="eastAsia" w:ascii="宋体" w:hAnsi="宋体" w:cs="仿宋"/>
                <w:bCs/>
                <w:sz w:val="20"/>
                <w:szCs w:val="20"/>
              </w:rPr>
              <w:t>培养学生理解和分析各种大众医患关系现象,医疗文化的能力。</w:t>
            </w:r>
          </w:p>
        </w:tc>
        <w:tc>
          <w:tcPr>
            <w:tcW w:w="746" w:type="dxa"/>
          </w:tcPr>
          <w:p>
            <w:pPr>
              <w:snapToGrid w:val="0"/>
              <w:spacing w:line="280" w:lineRule="exact"/>
              <w:rPr>
                <w:rFonts w:ascii="宋体" w:hAnsi="宋体" w:cs="仿宋"/>
                <w:bCs/>
                <w:sz w:val="20"/>
                <w:szCs w:val="20"/>
              </w:rPr>
            </w:pPr>
            <w:r>
              <w:rPr>
                <w:rFonts w:hint="eastAsia" w:ascii="宋体" w:hAnsi="宋体" w:cs="仿宋"/>
                <w:bCs/>
                <w:sz w:val="20"/>
                <w:szCs w:val="20"/>
              </w:rPr>
              <w:t>公立医院的人事制度、运行机制、医务管理制度。</w:t>
            </w:r>
            <w:r>
              <w:rPr>
                <w:rFonts w:hint="eastAsia" w:ascii="宋体" w:hAnsi="宋体" w:cs="仿宋"/>
                <w:bCs/>
                <w:sz w:val="20"/>
                <w:szCs w:val="20"/>
              </w:rPr>
              <w:br w:type="textWrapping"/>
            </w:r>
            <w:r>
              <w:rPr>
                <w:rFonts w:hint="eastAsia" w:ascii="宋体" w:hAnsi="宋体" w:cs="仿宋"/>
                <w:bCs/>
                <w:sz w:val="20"/>
                <w:szCs w:val="20"/>
              </w:rPr>
              <w:t>政府投入补偿、医疗服务价格补偿。</w:t>
            </w: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2</w:t>
            </w: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0</w:t>
            </w:r>
          </w:p>
        </w:tc>
        <w:tc>
          <w:tcPr>
            <w:tcW w:w="456" w:type="dxa"/>
          </w:tcPr>
          <w:p>
            <w:pPr>
              <w:snapToGrid w:val="0"/>
              <w:spacing w:line="280" w:lineRule="exact"/>
              <w:rPr>
                <w:rFonts w:ascii="宋体" w:hAnsi="宋体" w:cs="仿宋"/>
                <w:bCs/>
                <w:sz w:val="20"/>
                <w:szCs w:val="20"/>
              </w:rPr>
            </w:pPr>
            <w:r>
              <w:rPr>
                <w:rFonts w:hint="eastAsia" w:ascii="宋体" w:hAnsi="宋体" w:cs="仿宋"/>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11</w:t>
            </w:r>
          </w:p>
        </w:tc>
        <w:tc>
          <w:tcPr>
            <w:tcW w:w="572" w:type="dxa"/>
            <w:noWrap/>
          </w:tcPr>
          <w:p>
            <w:pPr>
              <w:snapToGrid w:val="0"/>
              <w:spacing w:line="280" w:lineRule="exact"/>
              <w:rPr>
                <w:rFonts w:ascii="宋体" w:hAnsi="宋体" w:cs="仿宋"/>
                <w:bCs/>
                <w:sz w:val="20"/>
                <w:szCs w:val="20"/>
              </w:rPr>
            </w:pPr>
            <w:r>
              <w:rPr>
                <w:rFonts w:hint="eastAsia" w:ascii="宋体" w:hAnsi="宋体" w:cs="仿宋"/>
                <w:bCs/>
                <w:sz w:val="20"/>
                <w:szCs w:val="20"/>
              </w:rPr>
              <w:t>健康测量与评估</w:t>
            </w:r>
          </w:p>
        </w:tc>
        <w:tc>
          <w:tcPr>
            <w:tcW w:w="1701" w:type="dxa"/>
          </w:tcPr>
          <w:p>
            <w:pPr>
              <w:snapToGrid w:val="0"/>
              <w:spacing w:line="280" w:lineRule="exact"/>
              <w:rPr>
                <w:rFonts w:ascii="宋体" w:hAnsi="宋体" w:cs="仿宋"/>
                <w:bCs/>
                <w:sz w:val="20"/>
                <w:szCs w:val="20"/>
              </w:rPr>
            </w:pPr>
            <w:r>
              <w:rPr>
                <w:rFonts w:hint="eastAsia" w:ascii="宋体" w:hAnsi="宋体" w:cs="仿宋"/>
                <w:bCs/>
                <w:sz w:val="20"/>
                <w:szCs w:val="20"/>
              </w:rPr>
              <w:t>健康测量与评估概述</w:t>
            </w:r>
            <w:r>
              <w:rPr>
                <w:rFonts w:hint="eastAsia" w:ascii="宋体" w:hAnsi="宋体" w:cs="仿宋"/>
                <w:bCs/>
                <w:sz w:val="20"/>
                <w:szCs w:val="20"/>
              </w:rPr>
              <w:br w:type="textWrapping"/>
            </w:r>
            <w:r>
              <w:rPr>
                <w:rFonts w:hint="eastAsia" w:ascii="宋体" w:hAnsi="宋体" w:cs="仿宋"/>
                <w:bCs/>
                <w:sz w:val="20"/>
                <w:szCs w:val="20"/>
              </w:rPr>
              <w:t>健康测量与评估的指标和应用原则</w:t>
            </w:r>
            <w:r>
              <w:rPr>
                <w:rFonts w:hint="eastAsia" w:ascii="宋体" w:hAnsi="宋体" w:cs="仿宋"/>
                <w:bCs/>
                <w:sz w:val="20"/>
                <w:szCs w:val="20"/>
              </w:rPr>
              <w:br w:type="textWrapping"/>
            </w:r>
            <w:r>
              <w:rPr>
                <w:rFonts w:hint="eastAsia" w:ascii="宋体" w:hAnsi="宋体" w:cs="仿宋"/>
                <w:bCs/>
                <w:sz w:val="20"/>
                <w:szCs w:val="20"/>
              </w:rPr>
              <w:t>健康技术评估</w:t>
            </w:r>
          </w:p>
        </w:tc>
        <w:tc>
          <w:tcPr>
            <w:tcW w:w="2086" w:type="dxa"/>
          </w:tcPr>
          <w:p>
            <w:pPr>
              <w:snapToGrid w:val="0"/>
              <w:spacing w:line="280" w:lineRule="exact"/>
              <w:rPr>
                <w:rFonts w:ascii="宋体" w:hAnsi="宋体" w:cs="仿宋"/>
                <w:bCs/>
                <w:sz w:val="20"/>
                <w:szCs w:val="20"/>
              </w:rPr>
            </w:pPr>
            <w:r>
              <w:rPr>
                <w:rFonts w:hint="eastAsia" w:ascii="宋体" w:hAnsi="宋体" w:cs="仿宋"/>
                <w:bCs/>
                <w:sz w:val="20"/>
                <w:szCs w:val="20"/>
              </w:rPr>
              <w:t>1.掌握健康测量与评估的定义及意义:健康测量与评估的指标体系;健康技术评估的内容。</w:t>
            </w:r>
            <w:r>
              <w:rPr>
                <w:rFonts w:hint="eastAsia" w:ascii="宋体" w:hAnsi="宋体" w:cs="仿宋"/>
                <w:bCs/>
                <w:sz w:val="20"/>
                <w:szCs w:val="20"/>
              </w:rPr>
              <w:br w:type="textWrapping"/>
            </w:r>
            <w:r>
              <w:rPr>
                <w:rFonts w:hint="eastAsia" w:ascii="宋体" w:hAnsi="宋体" w:cs="仿宋"/>
                <w:bCs/>
                <w:sz w:val="20"/>
                <w:szCs w:val="20"/>
              </w:rPr>
              <w:t>2.熟悉健康测量与评估指标的应用原则;健康技术评估的方法;健康技术评估的价值。</w:t>
            </w:r>
            <w:r>
              <w:rPr>
                <w:rFonts w:hint="eastAsia" w:ascii="宋体" w:hAnsi="宋体" w:cs="仿宋"/>
                <w:bCs/>
                <w:sz w:val="20"/>
                <w:szCs w:val="20"/>
              </w:rPr>
              <w:br w:type="textWrapping"/>
            </w:r>
            <w:r>
              <w:rPr>
                <w:rFonts w:hint="eastAsia" w:ascii="宋体" w:hAnsi="宋体" w:cs="仿宋"/>
                <w:bCs/>
                <w:sz w:val="20"/>
                <w:szCs w:val="20"/>
              </w:rPr>
              <w:t>3.了解传统健康测量指标向整体健康测量指标的转变;健康技术评估在国际的发展和目前面临的问题。</w:t>
            </w:r>
          </w:p>
        </w:tc>
        <w:tc>
          <w:tcPr>
            <w:tcW w:w="1367" w:type="dxa"/>
          </w:tcPr>
          <w:p>
            <w:pPr>
              <w:snapToGrid w:val="0"/>
              <w:spacing w:line="280" w:lineRule="exact"/>
              <w:rPr>
                <w:rFonts w:ascii="宋体" w:hAnsi="宋体" w:cs="仿宋"/>
                <w:bCs/>
                <w:sz w:val="20"/>
                <w:szCs w:val="20"/>
              </w:rPr>
            </w:pPr>
            <w:r>
              <w:rPr>
                <w:rFonts w:hint="eastAsia" w:ascii="宋体" w:hAnsi="宋体" w:cs="仿宋"/>
                <w:bCs/>
                <w:sz w:val="20"/>
                <w:szCs w:val="20"/>
              </w:rPr>
              <w:t>培养学生热爱医学事业，具备良好的职业道德、尊重生命的职业操守</w:t>
            </w:r>
          </w:p>
        </w:tc>
        <w:tc>
          <w:tcPr>
            <w:tcW w:w="746" w:type="dxa"/>
          </w:tcPr>
          <w:p>
            <w:pPr>
              <w:snapToGrid w:val="0"/>
              <w:spacing w:line="280" w:lineRule="exact"/>
              <w:rPr>
                <w:rFonts w:ascii="宋体" w:hAnsi="宋体" w:cs="仿宋"/>
                <w:bCs/>
                <w:sz w:val="20"/>
                <w:szCs w:val="20"/>
              </w:rPr>
            </w:pPr>
            <w:r>
              <w:rPr>
                <w:rFonts w:hint="eastAsia" w:ascii="宋体" w:hAnsi="宋体" w:cs="仿宋"/>
                <w:bCs/>
                <w:sz w:val="20"/>
                <w:szCs w:val="20"/>
              </w:rPr>
              <w:t>健康测量预评估的指标体系、健康技术评估的内容。</w:t>
            </w: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0</w:t>
            </w: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2</w:t>
            </w:r>
          </w:p>
        </w:tc>
        <w:tc>
          <w:tcPr>
            <w:tcW w:w="456" w:type="dxa"/>
          </w:tcPr>
          <w:p>
            <w:pPr>
              <w:snapToGrid w:val="0"/>
              <w:spacing w:line="280" w:lineRule="exact"/>
              <w:rPr>
                <w:rFonts w:ascii="宋体" w:hAnsi="宋体" w:cs="仿宋"/>
                <w:bCs/>
                <w:sz w:val="20"/>
                <w:szCs w:val="20"/>
              </w:rPr>
            </w:pPr>
            <w:r>
              <w:rPr>
                <w:rFonts w:hint="eastAsia" w:ascii="宋体" w:hAnsi="宋体" w:cs="仿宋"/>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12</w:t>
            </w:r>
          </w:p>
        </w:tc>
        <w:tc>
          <w:tcPr>
            <w:tcW w:w="572" w:type="dxa"/>
            <w:noWrap/>
          </w:tcPr>
          <w:p>
            <w:pPr>
              <w:snapToGrid w:val="0"/>
              <w:spacing w:line="280" w:lineRule="exact"/>
              <w:rPr>
                <w:rFonts w:ascii="宋体" w:hAnsi="宋体" w:cs="仿宋"/>
                <w:bCs/>
                <w:sz w:val="20"/>
                <w:szCs w:val="20"/>
              </w:rPr>
            </w:pPr>
            <w:r>
              <w:rPr>
                <w:rFonts w:hint="eastAsia" w:ascii="宋体" w:hAnsi="宋体" w:cs="仿宋"/>
                <w:bCs/>
                <w:sz w:val="20"/>
                <w:szCs w:val="20"/>
              </w:rPr>
              <w:t>药物经济学与药物政策</w:t>
            </w:r>
          </w:p>
        </w:tc>
        <w:tc>
          <w:tcPr>
            <w:tcW w:w="1701" w:type="dxa"/>
          </w:tcPr>
          <w:p>
            <w:pPr>
              <w:snapToGrid w:val="0"/>
              <w:spacing w:line="280" w:lineRule="exact"/>
              <w:rPr>
                <w:rFonts w:ascii="宋体" w:hAnsi="宋体" w:cs="仿宋"/>
                <w:bCs/>
                <w:sz w:val="20"/>
                <w:szCs w:val="20"/>
              </w:rPr>
            </w:pPr>
            <w:r>
              <w:rPr>
                <w:rFonts w:hint="eastAsia" w:ascii="宋体" w:hAnsi="宋体" w:cs="仿宋"/>
                <w:bCs/>
                <w:sz w:val="20"/>
                <w:szCs w:val="20"/>
              </w:rPr>
              <w:t>药物经济学概述</w:t>
            </w:r>
            <w:r>
              <w:rPr>
                <w:rFonts w:hint="eastAsia" w:ascii="宋体" w:hAnsi="宋体" w:cs="仿宋"/>
                <w:bCs/>
                <w:sz w:val="20"/>
                <w:szCs w:val="20"/>
              </w:rPr>
              <w:br w:type="textWrapping"/>
            </w:r>
            <w:r>
              <w:rPr>
                <w:rFonts w:hint="eastAsia" w:ascii="宋体" w:hAnsi="宋体" w:cs="仿宋"/>
                <w:bCs/>
                <w:sz w:val="20"/>
                <w:szCs w:val="20"/>
              </w:rPr>
              <w:t>国家药物政策概述</w:t>
            </w:r>
            <w:r>
              <w:rPr>
                <w:rFonts w:hint="eastAsia" w:ascii="宋体" w:hAnsi="宋体" w:cs="仿宋"/>
                <w:bCs/>
                <w:sz w:val="20"/>
                <w:szCs w:val="20"/>
              </w:rPr>
              <w:br w:type="textWrapping"/>
            </w:r>
            <w:r>
              <w:rPr>
                <w:rFonts w:hint="eastAsia" w:ascii="宋体" w:hAnsi="宋体" w:cs="仿宋"/>
                <w:bCs/>
                <w:sz w:val="20"/>
                <w:szCs w:val="20"/>
              </w:rPr>
              <w:t>药物经济学与国家药物政策</w:t>
            </w:r>
            <w:r>
              <w:rPr>
                <w:rFonts w:hint="eastAsia" w:ascii="宋体" w:hAnsi="宋体" w:cs="仿宋"/>
                <w:bCs/>
                <w:sz w:val="20"/>
                <w:szCs w:val="20"/>
              </w:rPr>
              <w:br w:type="textWrapping"/>
            </w:r>
            <w:r>
              <w:rPr>
                <w:rFonts w:hint="eastAsia" w:ascii="宋体" w:hAnsi="宋体" w:cs="仿宋"/>
                <w:bCs/>
                <w:sz w:val="20"/>
                <w:szCs w:val="20"/>
              </w:rPr>
              <w:t>药物政策检测与评价</w:t>
            </w:r>
          </w:p>
        </w:tc>
        <w:tc>
          <w:tcPr>
            <w:tcW w:w="2086" w:type="dxa"/>
          </w:tcPr>
          <w:p>
            <w:pPr>
              <w:snapToGrid w:val="0"/>
              <w:spacing w:line="280" w:lineRule="exact"/>
              <w:rPr>
                <w:rFonts w:ascii="宋体" w:hAnsi="宋体" w:cs="仿宋"/>
                <w:bCs/>
                <w:sz w:val="20"/>
                <w:szCs w:val="20"/>
              </w:rPr>
            </w:pPr>
            <w:r>
              <w:rPr>
                <w:rFonts w:hint="eastAsia" w:ascii="宋体" w:hAnsi="宋体" w:cs="仿宋"/>
                <w:bCs/>
                <w:sz w:val="20"/>
                <w:szCs w:val="20"/>
              </w:rPr>
              <w:t>1.掌握药物经济学定义;药物经济学的应用:国家基本药物政策;药物经济学评价的原则。</w:t>
            </w:r>
            <w:r>
              <w:rPr>
                <w:rFonts w:hint="eastAsia" w:ascii="宋体" w:hAnsi="宋体" w:cs="仿宋"/>
                <w:bCs/>
                <w:sz w:val="20"/>
                <w:szCs w:val="20"/>
              </w:rPr>
              <w:br w:type="textWrapping"/>
            </w:r>
            <w:r>
              <w:rPr>
                <w:rFonts w:hint="eastAsia" w:ascii="宋体" w:hAnsi="宋体" w:cs="仿宋"/>
                <w:bCs/>
                <w:sz w:val="20"/>
                <w:szCs w:val="20"/>
              </w:rPr>
              <w:t>2.熟悉药物经济学的评价方法;国家药物政策的关键要素与目标。</w:t>
            </w:r>
            <w:r>
              <w:rPr>
                <w:rFonts w:hint="eastAsia" w:ascii="宋体" w:hAnsi="宋体" w:cs="仿宋"/>
                <w:bCs/>
                <w:sz w:val="20"/>
                <w:szCs w:val="20"/>
              </w:rPr>
              <w:br w:type="textWrapping"/>
            </w:r>
            <w:r>
              <w:rPr>
                <w:rFonts w:hint="eastAsia" w:ascii="宋体" w:hAnsi="宋体" w:cs="仿宋"/>
                <w:bCs/>
                <w:sz w:val="20"/>
                <w:szCs w:val="20"/>
              </w:rPr>
              <w:t>3.了解国家药物政策监测的指标;药物经济学的发展过程。</w:t>
            </w:r>
          </w:p>
        </w:tc>
        <w:tc>
          <w:tcPr>
            <w:tcW w:w="1367" w:type="dxa"/>
          </w:tcPr>
          <w:p>
            <w:pPr>
              <w:snapToGrid w:val="0"/>
              <w:spacing w:line="280" w:lineRule="exact"/>
              <w:rPr>
                <w:rFonts w:ascii="宋体" w:hAnsi="宋体" w:cs="仿宋"/>
                <w:bCs/>
                <w:sz w:val="20"/>
                <w:szCs w:val="20"/>
              </w:rPr>
            </w:pPr>
            <w:r>
              <w:rPr>
                <w:rFonts w:hint="eastAsia" w:ascii="宋体" w:hAnsi="宋体" w:cs="仿宋"/>
                <w:bCs/>
                <w:sz w:val="20"/>
                <w:szCs w:val="20"/>
              </w:rPr>
              <w:t>帮助学生梳理正确的学习态度价值观，深入理解大健康背景下健康经济学理论与政策发展。</w:t>
            </w:r>
          </w:p>
        </w:tc>
        <w:tc>
          <w:tcPr>
            <w:tcW w:w="746" w:type="dxa"/>
          </w:tcPr>
          <w:p>
            <w:pPr>
              <w:snapToGrid w:val="0"/>
              <w:spacing w:line="280" w:lineRule="exact"/>
              <w:rPr>
                <w:rFonts w:ascii="宋体" w:hAnsi="宋体" w:cs="仿宋"/>
                <w:bCs/>
                <w:sz w:val="20"/>
                <w:szCs w:val="20"/>
              </w:rPr>
            </w:pPr>
            <w:r>
              <w:rPr>
                <w:rFonts w:hint="eastAsia" w:ascii="宋体" w:hAnsi="宋体" w:cs="仿宋"/>
                <w:bCs/>
                <w:sz w:val="20"/>
                <w:szCs w:val="20"/>
              </w:rPr>
              <w:t>药物经济学的评价方法、国家基本药物政策。</w:t>
            </w: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2</w:t>
            </w: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0</w:t>
            </w:r>
          </w:p>
        </w:tc>
        <w:tc>
          <w:tcPr>
            <w:tcW w:w="456" w:type="dxa"/>
          </w:tcPr>
          <w:p>
            <w:pPr>
              <w:snapToGrid w:val="0"/>
              <w:spacing w:line="280" w:lineRule="exact"/>
              <w:rPr>
                <w:rFonts w:ascii="宋体" w:hAnsi="宋体" w:cs="仿宋"/>
                <w:bCs/>
                <w:sz w:val="20"/>
                <w:szCs w:val="20"/>
              </w:rPr>
            </w:pPr>
            <w:r>
              <w:rPr>
                <w:rFonts w:hint="eastAsia" w:ascii="宋体" w:hAnsi="宋体" w:cs="仿宋"/>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13</w:t>
            </w:r>
          </w:p>
        </w:tc>
        <w:tc>
          <w:tcPr>
            <w:tcW w:w="572" w:type="dxa"/>
            <w:noWrap/>
          </w:tcPr>
          <w:p>
            <w:pPr>
              <w:snapToGrid w:val="0"/>
              <w:spacing w:line="280" w:lineRule="exact"/>
              <w:rPr>
                <w:rFonts w:ascii="宋体" w:hAnsi="宋体" w:cs="仿宋"/>
                <w:bCs/>
                <w:sz w:val="20"/>
                <w:szCs w:val="20"/>
              </w:rPr>
            </w:pPr>
            <w:r>
              <w:rPr>
                <w:rFonts w:hint="eastAsia" w:ascii="宋体" w:hAnsi="宋体" w:cs="仿宋"/>
                <w:bCs/>
                <w:sz w:val="20"/>
                <w:szCs w:val="20"/>
              </w:rPr>
              <w:t>健康中国建设发展</w:t>
            </w:r>
          </w:p>
        </w:tc>
        <w:tc>
          <w:tcPr>
            <w:tcW w:w="1701" w:type="dxa"/>
          </w:tcPr>
          <w:p>
            <w:pPr>
              <w:snapToGrid w:val="0"/>
              <w:spacing w:line="280" w:lineRule="exact"/>
              <w:rPr>
                <w:rFonts w:ascii="宋体" w:hAnsi="宋体" w:cs="仿宋"/>
                <w:bCs/>
                <w:sz w:val="20"/>
                <w:szCs w:val="20"/>
              </w:rPr>
            </w:pPr>
            <w:r>
              <w:rPr>
                <w:rFonts w:hint="eastAsia" w:ascii="宋体" w:hAnsi="宋体" w:cs="仿宋"/>
                <w:bCs/>
                <w:sz w:val="20"/>
                <w:szCs w:val="20"/>
              </w:rPr>
              <w:t>健康中国建设背景</w:t>
            </w:r>
            <w:r>
              <w:rPr>
                <w:rFonts w:hint="eastAsia" w:ascii="宋体" w:hAnsi="宋体" w:cs="仿宋"/>
                <w:bCs/>
                <w:sz w:val="20"/>
                <w:szCs w:val="20"/>
              </w:rPr>
              <w:br w:type="textWrapping"/>
            </w:r>
            <w:r>
              <w:rPr>
                <w:rFonts w:hint="eastAsia" w:ascii="宋体" w:hAnsi="宋体" w:cs="仿宋"/>
                <w:bCs/>
                <w:sz w:val="20"/>
                <w:szCs w:val="20"/>
              </w:rPr>
              <w:t>健康中国2030</w:t>
            </w:r>
            <w:r>
              <w:rPr>
                <w:rFonts w:hint="eastAsia" w:ascii="宋体" w:hAnsi="宋体" w:cs="仿宋"/>
                <w:bCs/>
                <w:sz w:val="20"/>
                <w:szCs w:val="20"/>
              </w:rPr>
              <w:br w:type="textWrapping"/>
            </w:r>
            <w:r>
              <w:rPr>
                <w:rFonts w:hint="eastAsia" w:ascii="宋体" w:hAnsi="宋体" w:cs="仿宋"/>
                <w:bCs/>
                <w:sz w:val="20"/>
                <w:szCs w:val="20"/>
              </w:rPr>
              <w:t>健康中国相关专题</w:t>
            </w:r>
          </w:p>
        </w:tc>
        <w:tc>
          <w:tcPr>
            <w:tcW w:w="2086" w:type="dxa"/>
          </w:tcPr>
          <w:p>
            <w:pPr>
              <w:snapToGrid w:val="0"/>
              <w:spacing w:line="280" w:lineRule="exact"/>
              <w:rPr>
                <w:rFonts w:ascii="宋体" w:hAnsi="宋体" w:cs="仿宋"/>
                <w:bCs/>
                <w:sz w:val="20"/>
                <w:szCs w:val="20"/>
              </w:rPr>
            </w:pPr>
            <w:r>
              <w:rPr>
                <w:rFonts w:hint="eastAsia" w:ascii="宋体" w:hAnsi="宋体" w:cs="仿宋"/>
                <w:bCs/>
                <w:sz w:val="20"/>
                <w:szCs w:val="20"/>
              </w:rPr>
              <w:t>1.掌握健康中国建设上升为国家战略的经济社会、人口社会和居民疾病健康特征及其时代必然性:健康中国建设的理论与实践依据。</w:t>
            </w:r>
            <w:r>
              <w:rPr>
                <w:rFonts w:hint="eastAsia" w:ascii="宋体" w:hAnsi="宋体" w:cs="仿宋"/>
                <w:bCs/>
                <w:sz w:val="20"/>
                <w:szCs w:val="20"/>
              </w:rPr>
              <w:br w:type="textWrapping"/>
            </w:r>
            <w:r>
              <w:rPr>
                <w:rFonts w:hint="eastAsia" w:ascii="宋体" w:hAnsi="宋体" w:cs="仿宋"/>
                <w:bCs/>
                <w:sz w:val="20"/>
                <w:szCs w:val="20"/>
              </w:rPr>
              <w:t>2. 熟悉《“健康中国2030”规划纲要》的主题与目标，及其“普及健康生活”“优化健康服务"“完善健康保障”“建设健康环境”和“发展健康产业”五大任务内涵。</w:t>
            </w:r>
            <w:r>
              <w:rPr>
                <w:rFonts w:hint="eastAsia" w:ascii="宋体" w:hAnsi="宋体" w:cs="仿宋"/>
                <w:bCs/>
                <w:sz w:val="20"/>
                <w:szCs w:val="20"/>
              </w:rPr>
              <w:br w:type="textWrapping"/>
            </w:r>
            <w:r>
              <w:rPr>
                <w:rFonts w:hint="eastAsia" w:ascii="宋体" w:hAnsi="宋体" w:cs="仿宋"/>
                <w:bCs/>
                <w:sz w:val="20"/>
                <w:szCs w:val="20"/>
              </w:rPr>
              <w:t>3.了解“互联网+”、健康大数据、“一带一路”医疗健康合作等相关涵义，及其在健康中国建设战略实施中的特殊意义。</w:t>
            </w:r>
          </w:p>
        </w:tc>
        <w:tc>
          <w:tcPr>
            <w:tcW w:w="1367" w:type="dxa"/>
          </w:tcPr>
          <w:p>
            <w:pPr>
              <w:snapToGrid w:val="0"/>
              <w:spacing w:line="280" w:lineRule="exact"/>
              <w:rPr>
                <w:rFonts w:ascii="宋体" w:hAnsi="宋体" w:cs="仿宋"/>
                <w:bCs/>
                <w:sz w:val="20"/>
                <w:szCs w:val="20"/>
              </w:rPr>
            </w:pPr>
            <w:r>
              <w:rPr>
                <w:rFonts w:hint="eastAsia" w:ascii="宋体" w:hAnsi="宋体" w:cs="仿宋"/>
                <w:bCs/>
                <w:sz w:val="20"/>
                <w:szCs w:val="20"/>
              </w:rPr>
              <w:t>促使学生参与关注“健康中国”，培养对社会健康发展的意识。</w:t>
            </w:r>
          </w:p>
        </w:tc>
        <w:tc>
          <w:tcPr>
            <w:tcW w:w="746" w:type="dxa"/>
          </w:tcPr>
          <w:p>
            <w:pPr>
              <w:snapToGrid w:val="0"/>
              <w:spacing w:line="280" w:lineRule="exact"/>
              <w:rPr>
                <w:rFonts w:ascii="宋体" w:hAnsi="宋体" w:cs="仿宋"/>
                <w:bCs/>
                <w:sz w:val="20"/>
                <w:szCs w:val="20"/>
              </w:rPr>
            </w:pPr>
            <w:r>
              <w:rPr>
                <w:rFonts w:hint="eastAsia" w:ascii="宋体" w:hAnsi="宋体" w:cs="仿宋"/>
                <w:bCs/>
                <w:sz w:val="20"/>
                <w:szCs w:val="20"/>
              </w:rPr>
              <w:t>未来可能的大健康产业的发展趋势，寻找有何机遇。</w:t>
            </w: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2</w:t>
            </w: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0</w:t>
            </w:r>
          </w:p>
        </w:tc>
        <w:tc>
          <w:tcPr>
            <w:tcW w:w="456" w:type="dxa"/>
          </w:tcPr>
          <w:p>
            <w:pPr>
              <w:snapToGrid w:val="0"/>
              <w:spacing w:line="280" w:lineRule="exact"/>
              <w:rPr>
                <w:rFonts w:ascii="宋体" w:hAnsi="宋体" w:cs="仿宋"/>
                <w:bCs/>
                <w:sz w:val="20"/>
                <w:szCs w:val="20"/>
              </w:rPr>
            </w:pPr>
            <w:r>
              <w:rPr>
                <w:rFonts w:hint="eastAsia" w:ascii="宋体" w:hAnsi="宋体" w:cs="仿宋"/>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14</w:t>
            </w:r>
          </w:p>
        </w:tc>
        <w:tc>
          <w:tcPr>
            <w:tcW w:w="572" w:type="dxa"/>
            <w:noWrap/>
          </w:tcPr>
          <w:p>
            <w:pPr>
              <w:snapToGrid w:val="0"/>
              <w:spacing w:line="280" w:lineRule="exact"/>
              <w:rPr>
                <w:rFonts w:hint="default" w:ascii="宋体" w:hAnsi="宋体" w:cs="仿宋"/>
                <w:bCs/>
                <w:sz w:val="20"/>
                <w:szCs w:val="20"/>
                <w:lang w:val="en-US" w:eastAsia="zh-Hans"/>
              </w:rPr>
            </w:pPr>
            <w:r>
              <w:rPr>
                <w:rFonts w:hint="eastAsia" w:ascii="宋体" w:hAnsi="宋体" w:cs="仿宋"/>
                <w:bCs/>
                <w:sz w:val="20"/>
                <w:szCs w:val="20"/>
                <w:lang w:val="en-US" w:eastAsia="zh-Hans"/>
              </w:rPr>
              <w:t>随堂测验</w:t>
            </w:r>
          </w:p>
        </w:tc>
        <w:tc>
          <w:tcPr>
            <w:tcW w:w="1701" w:type="dxa"/>
          </w:tcPr>
          <w:p>
            <w:pPr>
              <w:snapToGrid w:val="0"/>
              <w:spacing w:line="280" w:lineRule="exact"/>
              <w:rPr>
                <w:rFonts w:ascii="宋体" w:hAnsi="宋体" w:cs="仿宋"/>
                <w:bCs/>
                <w:sz w:val="20"/>
                <w:szCs w:val="20"/>
                <w:lang w:eastAsia="zh-Hans"/>
              </w:rPr>
            </w:pPr>
            <w:r>
              <w:rPr>
                <w:rFonts w:hint="eastAsia" w:ascii="宋体" w:hAnsi="宋体" w:cs="仿宋"/>
                <w:bCs/>
                <w:sz w:val="20"/>
                <w:szCs w:val="20"/>
                <w:lang w:eastAsia="zh-Hans"/>
              </w:rPr>
              <w:t>考查</w:t>
            </w:r>
          </w:p>
        </w:tc>
        <w:tc>
          <w:tcPr>
            <w:tcW w:w="2086" w:type="dxa"/>
            <w:vAlign w:val="center"/>
          </w:tcPr>
          <w:p>
            <w:pPr>
              <w:snapToGrid w:val="0"/>
              <w:spacing w:line="280" w:lineRule="exact"/>
              <w:rPr>
                <w:rFonts w:ascii="宋体" w:hAnsi="宋体" w:cs="仿宋"/>
                <w:bCs/>
                <w:sz w:val="20"/>
                <w:szCs w:val="20"/>
              </w:rPr>
            </w:pPr>
            <w:r>
              <w:rPr>
                <w:rFonts w:hint="eastAsia" w:ascii="宋体" w:hAnsi="宋体" w:cs="仿宋"/>
                <w:bCs/>
                <w:sz w:val="20"/>
                <w:szCs w:val="20"/>
              </w:rPr>
              <w:t>综合运用所学知识和技能，对健康议题进行分析，并对其案例做出合理评价。</w:t>
            </w:r>
          </w:p>
        </w:tc>
        <w:tc>
          <w:tcPr>
            <w:tcW w:w="1367" w:type="dxa"/>
            <w:vAlign w:val="center"/>
          </w:tcPr>
          <w:p>
            <w:pPr>
              <w:snapToGrid w:val="0"/>
              <w:spacing w:line="280" w:lineRule="exact"/>
              <w:rPr>
                <w:rFonts w:ascii="宋体" w:hAnsi="宋体" w:cs="仿宋"/>
                <w:bCs/>
                <w:sz w:val="20"/>
                <w:szCs w:val="20"/>
              </w:rPr>
            </w:pPr>
            <w:r>
              <w:rPr>
                <w:rFonts w:hint="eastAsia" w:ascii="宋体" w:hAnsi="宋体" w:cs="仿宋"/>
                <w:bCs/>
                <w:sz w:val="20"/>
                <w:szCs w:val="20"/>
              </w:rPr>
              <w:t>。</w:t>
            </w:r>
          </w:p>
        </w:tc>
        <w:tc>
          <w:tcPr>
            <w:tcW w:w="746" w:type="dxa"/>
          </w:tcPr>
          <w:p>
            <w:pPr>
              <w:snapToGrid w:val="0"/>
              <w:spacing w:line="280" w:lineRule="exact"/>
              <w:rPr>
                <w:rFonts w:ascii="宋体" w:hAnsi="宋体" w:cs="仿宋"/>
                <w:bCs/>
                <w:sz w:val="20"/>
                <w:szCs w:val="20"/>
              </w:rPr>
            </w:pP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2</w:t>
            </w: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0</w:t>
            </w:r>
          </w:p>
        </w:tc>
        <w:tc>
          <w:tcPr>
            <w:tcW w:w="456" w:type="dxa"/>
          </w:tcPr>
          <w:p>
            <w:pPr>
              <w:snapToGrid w:val="0"/>
              <w:spacing w:line="280" w:lineRule="exact"/>
              <w:rPr>
                <w:rFonts w:ascii="宋体" w:hAnsi="宋体" w:cs="仿宋"/>
                <w:bCs/>
                <w:sz w:val="20"/>
                <w:szCs w:val="20"/>
              </w:rPr>
            </w:pPr>
            <w:r>
              <w:rPr>
                <w:rFonts w:hint="eastAsia" w:ascii="宋体" w:hAnsi="宋体" w:cs="仿宋"/>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总计</w:t>
            </w:r>
          </w:p>
        </w:tc>
        <w:tc>
          <w:tcPr>
            <w:tcW w:w="572" w:type="dxa"/>
            <w:noWrap/>
          </w:tcPr>
          <w:p>
            <w:pPr>
              <w:snapToGrid w:val="0"/>
              <w:spacing w:line="280" w:lineRule="exact"/>
              <w:rPr>
                <w:rFonts w:ascii="宋体" w:hAnsi="宋体" w:cs="仿宋"/>
                <w:bCs/>
                <w:sz w:val="20"/>
                <w:szCs w:val="20"/>
              </w:rPr>
            </w:pPr>
          </w:p>
        </w:tc>
        <w:tc>
          <w:tcPr>
            <w:tcW w:w="1701" w:type="dxa"/>
          </w:tcPr>
          <w:p>
            <w:pPr>
              <w:snapToGrid w:val="0"/>
              <w:spacing w:line="280" w:lineRule="exact"/>
              <w:rPr>
                <w:rFonts w:ascii="宋体" w:hAnsi="宋体" w:cs="仿宋"/>
                <w:bCs/>
                <w:sz w:val="20"/>
                <w:szCs w:val="20"/>
              </w:rPr>
            </w:pPr>
          </w:p>
        </w:tc>
        <w:tc>
          <w:tcPr>
            <w:tcW w:w="2086" w:type="dxa"/>
          </w:tcPr>
          <w:p>
            <w:pPr>
              <w:snapToGrid w:val="0"/>
              <w:spacing w:line="280" w:lineRule="exact"/>
              <w:rPr>
                <w:rFonts w:ascii="宋体" w:hAnsi="宋体" w:cs="仿宋"/>
                <w:bCs/>
                <w:sz w:val="20"/>
                <w:szCs w:val="20"/>
              </w:rPr>
            </w:pPr>
          </w:p>
        </w:tc>
        <w:tc>
          <w:tcPr>
            <w:tcW w:w="1367" w:type="dxa"/>
          </w:tcPr>
          <w:p>
            <w:pPr>
              <w:snapToGrid w:val="0"/>
              <w:spacing w:line="280" w:lineRule="exact"/>
              <w:rPr>
                <w:rFonts w:ascii="宋体" w:hAnsi="宋体" w:cs="仿宋"/>
                <w:bCs/>
                <w:sz w:val="20"/>
                <w:szCs w:val="20"/>
              </w:rPr>
            </w:pPr>
          </w:p>
        </w:tc>
        <w:tc>
          <w:tcPr>
            <w:tcW w:w="746" w:type="dxa"/>
          </w:tcPr>
          <w:p>
            <w:pPr>
              <w:snapToGrid w:val="0"/>
              <w:spacing w:line="280" w:lineRule="exact"/>
              <w:rPr>
                <w:rFonts w:ascii="宋体" w:hAnsi="宋体" w:cs="仿宋"/>
                <w:bCs/>
                <w:sz w:val="20"/>
                <w:szCs w:val="20"/>
              </w:rPr>
            </w:pP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24</w:t>
            </w:r>
          </w:p>
        </w:tc>
        <w:tc>
          <w:tcPr>
            <w:tcW w:w="456" w:type="dxa"/>
            <w:noWrap/>
          </w:tcPr>
          <w:p>
            <w:pPr>
              <w:snapToGrid w:val="0"/>
              <w:spacing w:line="280" w:lineRule="exact"/>
              <w:rPr>
                <w:rFonts w:ascii="宋体" w:hAnsi="宋体" w:cs="仿宋"/>
                <w:bCs/>
                <w:sz w:val="20"/>
                <w:szCs w:val="20"/>
              </w:rPr>
            </w:pPr>
            <w:r>
              <w:rPr>
                <w:rFonts w:hint="eastAsia" w:ascii="宋体" w:hAnsi="宋体" w:cs="仿宋"/>
                <w:bCs/>
                <w:sz w:val="20"/>
                <w:szCs w:val="20"/>
              </w:rPr>
              <w:t>8</w:t>
            </w:r>
          </w:p>
        </w:tc>
        <w:tc>
          <w:tcPr>
            <w:tcW w:w="456" w:type="dxa"/>
          </w:tcPr>
          <w:p>
            <w:pPr>
              <w:snapToGrid w:val="0"/>
              <w:spacing w:line="280" w:lineRule="exact"/>
              <w:rPr>
                <w:rFonts w:ascii="宋体" w:hAnsi="宋体" w:cs="仿宋"/>
                <w:bCs/>
                <w:sz w:val="20"/>
                <w:szCs w:val="20"/>
              </w:rPr>
            </w:pPr>
            <w:r>
              <w:rPr>
                <w:rFonts w:hint="eastAsia" w:ascii="宋体" w:hAnsi="宋体" w:cs="仿宋"/>
                <w:bCs/>
                <w:sz w:val="20"/>
                <w:szCs w:val="20"/>
              </w:rPr>
              <w:t>32</w:t>
            </w:r>
          </w:p>
        </w:tc>
      </w:tr>
    </w:tbl>
    <w:p>
      <w:pPr>
        <w:snapToGrid w:val="0"/>
        <w:spacing w:line="288" w:lineRule="auto"/>
        <w:rPr>
          <w:rFonts w:ascii="宋体" w:hAnsi="宋体"/>
          <w:sz w:val="20"/>
          <w:szCs w:val="20"/>
        </w:rPr>
      </w:pP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p>
      <w:pPr>
        <w:snapToGrid w:val="0"/>
        <w:spacing w:line="288" w:lineRule="auto"/>
        <w:ind w:right="26"/>
        <w:rPr>
          <w:sz w:val="20"/>
          <w:szCs w:val="20"/>
        </w:rPr>
      </w:pP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706"/>
        <w:gridCol w:w="2943"/>
        <w:gridCol w:w="1197"/>
        <w:gridCol w:w="1242"/>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4"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ascii="宋体"/>
                <w:sz w:val="20"/>
                <w:szCs w:val="20"/>
              </w:rPr>
            </w:pPr>
            <w:r>
              <w:rPr>
                <w:rFonts w:hint="eastAsia" w:ascii="宋体" w:hAnsi="宋体"/>
                <w:sz w:val="20"/>
                <w:szCs w:val="20"/>
              </w:rPr>
              <w:t>序号</w:t>
            </w:r>
          </w:p>
        </w:tc>
        <w:tc>
          <w:tcPr>
            <w:tcW w:w="1706"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ascii="宋体"/>
                <w:sz w:val="20"/>
                <w:szCs w:val="20"/>
              </w:rPr>
            </w:pPr>
            <w:r>
              <w:rPr>
                <w:rFonts w:hint="eastAsia" w:ascii="宋体" w:hAnsi="宋体"/>
                <w:sz w:val="20"/>
                <w:szCs w:val="20"/>
              </w:rPr>
              <w:t>实验名称</w:t>
            </w:r>
          </w:p>
        </w:tc>
        <w:tc>
          <w:tcPr>
            <w:tcW w:w="2943"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ascii="宋体"/>
                <w:sz w:val="20"/>
                <w:szCs w:val="20"/>
              </w:rPr>
            </w:pPr>
            <w:r>
              <w:rPr>
                <w:rFonts w:hint="eastAsia" w:ascii="宋体" w:hAnsi="宋体"/>
                <w:sz w:val="20"/>
                <w:szCs w:val="20"/>
              </w:rPr>
              <w:t>主要内容</w:t>
            </w:r>
          </w:p>
        </w:tc>
        <w:tc>
          <w:tcPr>
            <w:tcW w:w="1197"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242" w:type="dxa"/>
            <w:tcBorders>
              <w:top w:val="single" w:color="auto" w:sz="4" w:space="0"/>
              <w:left w:val="single" w:color="auto" w:sz="4" w:space="0"/>
              <w:right w:val="single" w:color="auto" w:sz="4" w:space="0"/>
            </w:tcBorders>
            <w:shd w:val="clear" w:color="auto" w:fill="auto"/>
          </w:tcPr>
          <w:p>
            <w:pPr>
              <w:snapToGrid w:val="0"/>
              <w:jc w:val="center"/>
              <w:rPr>
                <w:rFonts w:ascii="宋体"/>
                <w:sz w:val="20"/>
                <w:szCs w:val="20"/>
              </w:rPr>
            </w:pPr>
            <w:r>
              <w:rPr>
                <w:rFonts w:hint="eastAsia" w:ascii="宋体"/>
                <w:sz w:val="20"/>
                <w:szCs w:val="20"/>
              </w:rPr>
              <w:t>实验类型</w:t>
            </w:r>
          </w:p>
        </w:tc>
        <w:tc>
          <w:tcPr>
            <w:tcW w:w="1530" w:type="dxa"/>
            <w:tcBorders>
              <w:top w:val="single" w:color="auto" w:sz="4" w:space="0"/>
              <w:left w:val="single" w:color="auto" w:sz="4" w:space="0"/>
              <w:right w:val="single" w:color="auto" w:sz="4" w:space="0"/>
            </w:tcBorders>
            <w:shd w:val="clear" w:color="auto" w:fill="auto"/>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exact"/>
        </w:trPr>
        <w:tc>
          <w:tcPr>
            <w:tcW w:w="45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w:t>
            </w:r>
          </w:p>
        </w:tc>
        <w:tc>
          <w:tcPr>
            <w:tcW w:w="1706"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知名医疗卫生企业介绍</w:t>
            </w:r>
          </w:p>
        </w:tc>
        <w:tc>
          <w:tcPr>
            <w:tcW w:w="2943"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寻找医疗、健康、养老等领域典型或小众企业，就营运模式、产品/服务功能、创新特色等进行讨论分析</w:t>
            </w:r>
          </w:p>
        </w:tc>
        <w:tc>
          <w:tcPr>
            <w:tcW w:w="119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2</w:t>
            </w:r>
          </w:p>
        </w:tc>
        <w:tc>
          <w:tcPr>
            <w:tcW w:w="1242" w:type="dxa"/>
            <w:tcBorders>
              <w:left w:val="single" w:color="auto" w:sz="4" w:space="0"/>
              <w:right w:val="single" w:color="auto" w:sz="4" w:space="0"/>
            </w:tcBorders>
            <w:shd w:val="clear" w:color="auto" w:fill="auto"/>
          </w:tcPr>
          <w:p>
            <w:pPr>
              <w:snapToGrid w:val="0"/>
              <w:spacing w:before="156" w:beforeLines="50" w:after="156" w:afterLines="50" w:line="288" w:lineRule="auto"/>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综合型</w:t>
            </w:r>
          </w:p>
        </w:tc>
        <w:tc>
          <w:tcPr>
            <w:tcW w:w="1530" w:type="dxa"/>
            <w:tcBorders>
              <w:left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trPr>
        <w:tc>
          <w:tcPr>
            <w:tcW w:w="45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w:t>
            </w:r>
          </w:p>
        </w:tc>
        <w:tc>
          <w:tcPr>
            <w:tcW w:w="1706"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健康需求</w:t>
            </w:r>
          </w:p>
        </w:tc>
        <w:tc>
          <w:tcPr>
            <w:tcW w:w="2943"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根据提供案例，进行经济学角度分析</w:t>
            </w:r>
          </w:p>
        </w:tc>
        <w:tc>
          <w:tcPr>
            <w:tcW w:w="119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2</w:t>
            </w:r>
          </w:p>
        </w:tc>
        <w:tc>
          <w:tcPr>
            <w:tcW w:w="1242" w:type="dxa"/>
            <w:tcBorders>
              <w:left w:val="single" w:color="auto" w:sz="4" w:space="0"/>
              <w:right w:val="single" w:color="auto" w:sz="4" w:space="0"/>
            </w:tcBorders>
            <w:shd w:val="clear" w:color="auto" w:fill="auto"/>
          </w:tcPr>
          <w:p>
            <w:pPr>
              <w:snapToGrid w:val="0"/>
              <w:spacing w:before="156" w:beforeLines="50" w:after="156" w:afterLines="50" w:line="288" w:lineRule="auto"/>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综合性</w:t>
            </w:r>
          </w:p>
        </w:tc>
        <w:tc>
          <w:tcPr>
            <w:tcW w:w="1530" w:type="dxa"/>
            <w:tcBorders>
              <w:left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trPr>
        <w:tc>
          <w:tcPr>
            <w:tcW w:w="45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w:t>
            </w:r>
          </w:p>
        </w:tc>
        <w:tc>
          <w:tcPr>
            <w:tcW w:w="1706"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健康保障</w:t>
            </w:r>
          </w:p>
        </w:tc>
        <w:tc>
          <w:tcPr>
            <w:tcW w:w="2943"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分析现有保险产品，进行产品设计</w:t>
            </w:r>
          </w:p>
        </w:tc>
        <w:tc>
          <w:tcPr>
            <w:tcW w:w="119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2</w:t>
            </w:r>
          </w:p>
        </w:tc>
        <w:tc>
          <w:tcPr>
            <w:tcW w:w="1242" w:type="dxa"/>
            <w:tcBorders>
              <w:left w:val="single" w:color="auto" w:sz="4" w:space="0"/>
              <w:right w:val="single" w:color="auto" w:sz="4" w:space="0"/>
            </w:tcBorders>
            <w:shd w:val="clear" w:color="auto" w:fill="auto"/>
          </w:tcPr>
          <w:p>
            <w:pPr>
              <w:snapToGrid w:val="0"/>
              <w:spacing w:before="156" w:beforeLines="50" w:after="156" w:afterLines="50" w:line="288" w:lineRule="auto"/>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设计型</w:t>
            </w:r>
          </w:p>
        </w:tc>
        <w:tc>
          <w:tcPr>
            <w:tcW w:w="1530" w:type="dxa"/>
            <w:tcBorders>
              <w:left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trPr>
        <w:tc>
          <w:tcPr>
            <w:tcW w:w="45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w:t>
            </w:r>
          </w:p>
        </w:tc>
        <w:tc>
          <w:tcPr>
            <w:tcW w:w="1706"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健康评估</w:t>
            </w:r>
          </w:p>
        </w:tc>
        <w:tc>
          <w:tcPr>
            <w:tcW w:w="2943"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认识常见评估工具，进行测试</w:t>
            </w:r>
          </w:p>
        </w:tc>
        <w:tc>
          <w:tcPr>
            <w:tcW w:w="119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w:t>
            </w:r>
          </w:p>
        </w:tc>
        <w:tc>
          <w:tcPr>
            <w:tcW w:w="1242" w:type="dxa"/>
            <w:tcBorders>
              <w:left w:val="single" w:color="auto" w:sz="4" w:space="0"/>
              <w:right w:val="single" w:color="auto" w:sz="4" w:space="0"/>
            </w:tcBorders>
            <w:shd w:val="clear" w:color="auto" w:fill="auto"/>
          </w:tcPr>
          <w:p>
            <w:pPr>
              <w:snapToGrid w:val="0"/>
              <w:spacing w:before="156" w:beforeLines="50" w:after="156" w:afterLines="50" w:line="288" w:lineRule="auto"/>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演示型</w:t>
            </w:r>
          </w:p>
        </w:tc>
        <w:tc>
          <w:tcPr>
            <w:tcW w:w="1530" w:type="dxa"/>
            <w:tcBorders>
              <w:left w:val="single" w:color="auto" w:sz="4" w:space="0"/>
              <w:right w:val="single" w:color="auto" w:sz="4" w:space="0"/>
            </w:tcBorders>
            <w:shd w:val="clear" w:color="auto" w:fill="auto"/>
          </w:tcPr>
          <w:p>
            <w:pPr>
              <w:snapToGrid w:val="0"/>
              <w:spacing w:before="156" w:beforeLines="50" w:after="156" w:afterLines="50" w:line="288" w:lineRule="auto"/>
              <w:jc w:val="center"/>
              <w:rPr>
                <w:rFonts w:cs="宋体" w:asciiTheme="minorEastAsia" w:hAnsiTheme="minorEastAsia" w:eastAsiaTheme="minorEastAsia"/>
                <w:color w:val="000000"/>
                <w:kern w:val="0"/>
                <w:sz w:val="20"/>
                <w:szCs w:val="20"/>
              </w:rPr>
            </w:pPr>
          </w:p>
        </w:tc>
      </w:tr>
    </w:tbl>
    <w:p>
      <w:pPr>
        <w:snapToGrid w:val="0"/>
        <w:spacing w:line="288" w:lineRule="auto"/>
        <w:ind w:right="2520" w:firstLine="400" w:firstLineChars="200"/>
        <w:rPr>
          <w:sz w:val="20"/>
          <w:szCs w:val="20"/>
        </w:rPr>
      </w:pPr>
    </w:p>
    <w:p>
      <w:pPr>
        <w:snapToGrid w:val="0"/>
        <w:spacing w:line="288" w:lineRule="auto"/>
        <w:ind w:right="2520"/>
        <w:rPr>
          <w:rFonts w:ascii="黑体" w:hAnsi="宋体" w:eastAsia="黑体"/>
          <w:sz w:val="24"/>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4"/>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hint="eastAsia" w:ascii="黑体" w:hAnsi="黑体" w:eastAsia="黑体"/>
                <w:bCs/>
                <w:color w:val="000000"/>
                <w:szCs w:val="20"/>
                <w:lang w:eastAsia="zh-CN"/>
              </w:rPr>
            </w:pPr>
            <w:r>
              <w:rPr>
                <w:rFonts w:hint="eastAsia" w:ascii="黑体" w:hAnsi="黑体" w:eastAsia="黑体"/>
                <w:bCs/>
                <w:color w:val="000000"/>
                <w:szCs w:val="20"/>
              </w:rPr>
              <w:t>总评构成</w:t>
            </w:r>
            <w:r>
              <w:rPr>
                <w:rFonts w:hint="eastAsia" w:ascii="黑体" w:hAnsi="黑体" w:eastAsia="黑体"/>
                <w:bCs/>
                <w:color w:val="000000"/>
                <w:szCs w:val="20"/>
                <w:lang w:eastAsia="zh-CN"/>
              </w:rPr>
              <w:t>（</w:t>
            </w:r>
            <w:r>
              <w:rPr>
                <w:rFonts w:hint="eastAsia" w:ascii="黑体" w:hAnsi="黑体" w:eastAsia="黑体"/>
                <w:bCs/>
                <w:color w:val="000000"/>
                <w:szCs w:val="20"/>
                <w:lang w:val="en-US" w:eastAsia="zh-CN"/>
              </w:rPr>
              <w:t>全X</w:t>
            </w:r>
            <w:r>
              <w:rPr>
                <w:rFonts w:hint="eastAsia" w:ascii="黑体" w:hAnsi="黑体" w:eastAsia="黑体"/>
                <w:bCs/>
                <w:color w:val="000000"/>
                <w:szCs w:val="20"/>
                <w:lang w:eastAsia="zh-CN"/>
              </w:rPr>
              <w:t>）</w:t>
            </w:r>
          </w:p>
        </w:tc>
        <w:tc>
          <w:tcPr>
            <w:tcW w:w="5103" w:type="dxa"/>
            <w:shd w:val="clear" w:color="auto" w:fill="auto"/>
          </w:tcPr>
          <w:p>
            <w:pPr>
              <w:snapToGrid w:val="0"/>
              <w:spacing w:before="156" w:beforeLines="50" w:after="156" w:afterLines="50"/>
              <w:jc w:val="center"/>
              <w:rPr>
                <w:rFonts w:ascii="黑体" w:hAnsi="黑体" w:eastAsia="黑体"/>
                <w:bCs/>
                <w:color w:val="000000"/>
                <w:szCs w:val="20"/>
              </w:rPr>
            </w:pPr>
            <w:r>
              <w:rPr>
                <w:rFonts w:hint="eastAsia" w:ascii="黑体" w:hAnsi="黑体" w:eastAsia="黑体"/>
                <w:bCs/>
                <w:color w:val="000000"/>
                <w:szCs w:val="20"/>
              </w:rPr>
              <w:t>评价方式</w:t>
            </w:r>
          </w:p>
        </w:tc>
        <w:tc>
          <w:tcPr>
            <w:tcW w:w="2127" w:type="dxa"/>
            <w:shd w:val="clear" w:color="auto" w:fill="auto"/>
          </w:tcPr>
          <w:p>
            <w:pPr>
              <w:snapToGrid w:val="0"/>
              <w:spacing w:before="156" w:beforeLines="50" w:after="156" w:afterLines="50"/>
              <w:jc w:val="center"/>
              <w:rPr>
                <w:rFonts w:ascii="黑体" w:hAnsi="黑体" w:eastAsia="黑体"/>
                <w:bCs/>
                <w:color w:val="000000"/>
                <w:szCs w:val="20"/>
              </w:rPr>
            </w:pPr>
            <w:r>
              <w:rPr>
                <w:rFonts w:hint="eastAsia" w:ascii="黑体" w:hAnsi="黑体" w:eastAsia="黑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tabs>
                <w:tab w:val="left" w:pos="532"/>
              </w:tabs>
              <w:spacing w:line="340" w:lineRule="exact"/>
              <w:jc w:val="left"/>
              <w:rPr>
                <w:rFonts w:ascii="宋体" w:hAnsi="宋体"/>
              </w:rPr>
            </w:pPr>
            <w:r>
              <w:rPr>
                <w:rFonts w:hint="eastAsia" w:ascii="宋体" w:hAnsi="宋体"/>
              </w:rPr>
              <w:t>X1</w:t>
            </w:r>
          </w:p>
        </w:tc>
        <w:tc>
          <w:tcPr>
            <w:tcW w:w="5103" w:type="dxa"/>
            <w:shd w:val="clear" w:color="auto" w:fill="auto"/>
          </w:tcPr>
          <w:p>
            <w:pPr>
              <w:tabs>
                <w:tab w:val="left" w:pos="532"/>
              </w:tabs>
              <w:spacing w:line="340" w:lineRule="exact"/>
              <w:jc w:val="left"/>
              <w:rPr>
                <w:rFonts w:hint="default" w:ascii="宋体" w:hAnsi="宋体"/>
                <w:lang w:val="en-US" w:eastAsia="zh-Hans"/>
              </w:rPr>
            </w:pPr>
            <w:r>
              <w:rPr>
                <w:rFonts w:hint="eastAsia" w:ascii="宋体" w:hAnsi="宋体"/>
                <w:lang w:val="en-US" w:eastAsia="zh-Hans"/>
              </w:rPr>
              <w:t>随堂测验</w:t>
            </w:r>
          </w:p>
        </w:tc>
        <w:tc>
          <w:tcPr>
            <w:tcW w:w="2127" w:type="dxa"/>
            <w:shd w:val="clear" w:color="auto" w:fill="auto"/>
          </w:tcPr>
          <w:p>
            <w:pPr>
              <w:tabs>
                <w:tab w:val="left" w:pos="532"/>
              </w:tabs>
              <w:spacing w:line="340" w:lineRule="exact"/>
              <w:jc w:val="left"/>
              <w:rPr>
                <w:rFonts w:ascii="宋体" w:hAnsi="宋体"/>
              </w:rPr>
            </w:pPr>
            <w:r>
              <w:rPr>
                <w:rFonts w:ascii="宋体" w:hAnsi="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tabs>
                <w:tab w:val="left" w:pos="532"/>
              </w:tabs>
              <w:spacing w:line="340" w:lineRule="exact"/>
              <w:jc w:val="left"/>
              <w:rPr>
                <w:rFonts w:ascii="宋体" w:hAnsi="宋体"/>
              </w:rPr>
            </w:pPr>
            <w:r>
              <w:rPr>
                <w:rFonts w:hint="eastAsia" w:ascii="宋体" w:hAnsi="宋体"/>
              </w:rPr>
              <w:t>X2</w:t>
            </w:r>
          </w:p>
        </w:tc>
        <w:tc>
          <w:tcPr>
            <w:tcW w:w="5103" w:type="dxa"/>
            <w:shd w:val="clear" w:color="auto" w:fill="auto"/>
          </w:tcPr>
          <w:p>
            <w:pPr>
              <w:tabs>
                <w:tab w:val="left" w:pos="532"/>
              </w:tabs>
              <w:snapToGrid w:val="0"/>
              <w:spacing w:line="340" w:lineRule="exact"/>
              <w:jc w:val="left"/>
              <w:rPr>
                <w:rFonts w:ascii="宋体" w:hAnsi="宋体"/>
                <w:lang w:eastAsia="zh-Hans"/>
              </w:rPr>
            </w:pPr>
            <w:r>
              <w:rPr>
                <w:rFonts w:hint="eastAsia" w:ascii="宋体" w:hAnsi="宋体"/>
                <w:lang w:val="en-US" w:eastAsia="zh-Hans"/>
              </w:rPr>
              <w:t>课堂</w:t>
            </w:r>
            <w:r>
              <w:rPr>
                <w:rFonts w:hint="eastAsia" w:ascii="宋体" w:hAnsi="宋体"/>
                <w:lang w:eastAsia="zh-Hans"/>
              </w:rPr>
              <w:t>作业</w:t>
            </w:r>
          </w:p>
        </w:tc>
        <w:tc>
          <w:tcPr>
            <w:tcW w:w="2127" w:type="dxa"/>
            <w:shd w:val="clear" w:color="auto" w:fill="auto"/>
          </w:tcPr>
          <w:p>
            <w:pPr>
              <w:tabs>
                <w:tab w:val="left" w:pos="532"/>
              </w:tabs>
              <w:spacing w:line="340" w:lineRule="exact"/>
              <w:jc w:val="left"/>
              <w:rPr>
                <w:rFonts w:ascii="宋体" w:hAnsi="宋体"/>
              </w:rPr>
            </w:pPr>
            <w:r>
              <w:rPr>
                <w:rFonts w:ascii="宋体" w:hAnsi="宋体"/>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809" w:type="dxa"/>
            <w:shd w:val="clear" w:color="auto" w:fill="auto"/>
          </w:tcPr>
          <w:p>
            <w:pPr>
              <w:tabs>
                <w:tab w:val="left" w:pos="532"/>
              </w:tabs>
              <w:spacing w:line="340" w:lineRule="exact"/>
              <w:jc w:val="left"/>
              <w:rPr>
                <w:rFonts w:ascii="宋体" w:hAnsi="宋体"/>
              </w:rPr>
            </w:pPr>
            <w:r>
              <w:rPr>
                <w:rFonts w:hint="eastAsia" w:ascii="宋体" w:hAnsi="宋体"/>
              </w:rPr>
              <w:t>X3</w:t>
            </w:r>
          </w:p>
        </w:tc>
        <w:tc>
          <w:tcPr>
            <w:tcW w:w="5103" w:type="dxa"/>
            <w:shd w:val="clear" w:color="auto" w:fill="auto"/>
          </w:tcPr>
          <w:p>
            <w:pPr>
              <w:tabs>
                <w:tab w:val="left" w:pos="532"/>
              </w:tabs>
              <w:spacing w:line="340" w:lineRule="exact"/>
              <w:jc w:val="left"/>
              <w:rPr>
                <w:rFonts w:ascii="宋体" w:hAnsi="宋体"/>
              </w:rPr>
            </w:pPr>
            <w:r>
              <w:rPr>
                <w:rFonts w:hint="eastAsia" w:ascii="宋体" w:hAnsi="宋体"/>
              </w:rPr>
              <w:t>平时成绩（考勤+课堂表现）</w:t>
            </w:r>
          </w:p>
        </w:tc>
        <w:tc>
          <w:tcPr>
            <w:tcW w:w="2127" w:type="dxa"/>
            <w:shd w:val="clear" w:color="auto" w:fill="auto"/>
          </w:tcPr>
          <w:p>
            <w:pPr>
              <w:tabs>
                <w:tab w:val="left" w:pos="532"/>
              </w:tabs>
              <w:spacing w:line="340" w:lineRule="exact"/>
              <w:jc w:val="left"/>
              <w:rPr>
                <w:rFonts w:ascii="宋体" w:hAnsi="宋体"/>
              </w:rPr>
            </w:pPr>
            <w:r>
              <w:rPr>
                <w:rFonts w:ascii="宋体" w:hAnsi="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tabs>
                <w:tab w:val="left" w:pos="532"/>
              </w:tabs>
              <w:spacing w:line="340" w:lineRule="exact"/>
              <w:jc w:val="left"/>
              <w:rPr>
                <w:rFonts w:ascii="宋体" w:hAnsi="宋体"/>
              </w:rPr>
            </w:pPr>
            <w:r>
              <w:rPr>
                <w:rFonts w:hint="eastAsia" w:ascii="宋体" w:hAnsi="宋体"/>
              </w:rPr>
              <w:t>X4</w:t>
            </w:r>
          </w:p>
        </w:tc>
        <w:tc>
          <w:tcPr>
            <w:tcW w:w="5103" w:type="dxa"/>
            <w:shd w:val="clear" w:color="auto" w:fill="auto"/>
          </w:tcPr>
          <w:p>
            <w:pPr>
              <w:tabs>
                <w:tab w:val="left" w:pos="532"/>
              </w:tabs>
              <w:spacing w:line="340" w:lineRule="exact"/>
              <w:jc w:val="left"/>
              <w:rPr>
                <w:rFonts w:ascii="宋体" w:hAnsi="宋体"/>
              </w:rPr>
            </w:pPr>
            <w:r>
              <w:rPr>
                <w:rFonts w:hint="eastAsia" w:ascii="宋体" w:hAnsi="宋体"/>
              </w:rPr>
              <w:t>口头汇报</w:t>
            </w:r>
          </w:p>
        </w:tc>
        <w:tc>
          <w:tcPr>
            <w:tcW w:w="2127" w:type="dxa"/>
            <w:shd w:val="clear" w:color="auto" w:fill="auto"/>
          </w:tcPr>
          <w:p>
            <w:pPr>
              <w:tabs>
                <w:tab w:val="left" w:pos="532"/>
              </w:tabs>
              <w:spacing w:line="340" w:lineRule="exact"/>
              <w:jc w:val="left"/>
              <w:rPr>
                <w:rFonts w:ascii="宋体" w:hAnsi="宋体"/>
              </w:rPr>
            </w:pPr>
            <w:r>
              <w:rPr>
                <w:rFonts w:ascii="宋体" w:hAnsi="宋体"/>
              </w:rPr>
              <w:t>10%</w:t>
            </w:r>
          </w:p>
        </w:tc>
      </w:tr>
    </w:tbl>
    <w:p>
      <w:pPr>
        <w:snapToGrid w:val="0"/>
        <w:spacing w:before="120" w:after="120" w:line="288" w:lineRule="auto"/>
        <w:rPr>
          <w:rFonts w:ascii="宋体" w:hAnsi="宋体"/>
          <w:sz w:val="20"/>
          <w:szCs w:val="20"/>
          <w:highlight w:val="yellow"/>
        </w:rPr>
      </w:pPr>
      <w:r>
        <w:rPr>
          <w:rFonts w:hint="eastAsia"/>
          <w:sz w:val="28"/>
          <w:szCs w:val="28"/>
        </w:rPr>
        <w:drawing>
          <wp:anchor distT="0" distB="0" distL="114300" distR="114300" simplePos="0" relativeHeight="251661312" behindDoc="0" locked="0" layoutInCell="1" allowOverlap="1">
            <wp:simplePos x="0" y="0"/>
            <wp:positionH relativeFrom="column">
              <wp:posOffset>4394835</wp:posOffset>
            </wp:positionH>
            <wp:positionV relativeFrom="paragraph">
              <wp:posOffset>1671955</wp:posOffset>
            </wp:positionV>
            <wp:extent cx="1170305" cy="561340"/>
            <wp:effectExtent l="0" t="0" r="0" b="0"/>
            <wp:wrapNone/>
            <wp:docPr id="224967626" name="图片 1" descr="0bac983d4e1acf3e9c343d7a85104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67626" name="图片 1" descr="0bac983d4e1acf3e9c343d7a85104c9"/>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305" cy="561340"/>
                    </a:xfrm>
                    <a:prstGeom prst="rect">
                      <a:avLst/>
                    </a:prstGeom>
                  </pic:spPr>
                </pic:pic>
              </a:graphicData>
            </a:graphic>
          </wp:anchor>
        </w:drawing>
      </w:r>
    </w:p>
    <w:p>
      <w:pPr>
        <w:snapToGrid w:val="0"/>
        <w:spacing w:before="120" w:after="120" w:line="288" w:lineRule="auto"/>
        <w:ind w:firstLine="560" w:firstLineChars="200"/>
        <w:rPr>
          <w:rFonts w:ascii="宋体" w:hAnsi="宋体"/>
          <w:sz w:val="20"/>
          <w:szCs w:val="20"/>
          <w:highlight w:val="yellow"/>
        </w:rPr>
      </w:pPr>
      <w:r>
        <w:rPr>
          <w:sz w:val="28"/>
          <w:szCs w:val="28"/>
        </w:rPr>
        <w:drawing>
          <wp:anchor distT="0" distB="0" distL="114300" distR="114300" simplePos="0" relativeHeight="251660288" behindDoc="0" locked="0" layoutInCell="1" allowOverlap="1">
            <wp:simplePos x="0" y="0"/>
            <wp:positionH relativeFrom="column">
              <wp:posOffset>1567815</wp:posOffset>
            </wp:positionH>
            <wp:positionV relativeFrom="paragraph">
              <wp:posOffset>-53340</wp:posOffset>
            </wp:positionV>
            <wp:extent cx="426085" cy="694690"/>
            <wp:effectExtent l="5397" t="0" r="0" b="0"/>
            <wp:wrapNone/>
            <wp:docPr id="9694287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428760"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426085" cy="694690"/>
                    </a:xfrm>
                    <a:prstGeom prst="rect">
                      <a:avLst/>
                    </a:prstGeom>
                  </pic:spPr>
                </pic:pic>
              </a:graphicData>
            </a:graphic>
          </wp:anchor>
        </w:drawing>
      </w:r>
    </w:p>
    <w:p>
      <w:pPr>
        <w:snapToGrid w:val="0"/>
        <w:spacing w:line="288" w:lineRule="auto"/>
        <w:ind w:firstLine="840" w:firstLineChars="300"/>
        <w:rPr>
          <w:sz w:val="28"/>
          <w:szCs w:val="28"/>
        </w:rPr>
      </w:pPr>
      <w:r>
        <w:rPr>
          <w:rFonts w:hint="eastAsia"/>
          <w:sz w:val="28"/>
          <w:szCs w:val="28"/>
        </w:rPr>
        <w:t>撰写人：                系主任审核签名：</w:t>
      </w:r>
    </w:p>
    <w:p>
      <w:pPr>
        <w:snapToGrid w:val="0"/>
        <w:spacing w:line="288" w:lineRule="auto"/>
        <w:ind w:firstLine="840" w:firstLineChars="300"/>
        <w:rPr>
          <w:sz w:val="28"/>
          <w:szCs w:val="28"/>
        </w:rPr>
      </w:pPr>
      <w:r>
        <w:rPr>
          <w:rFonts w:hint="eastAsia"/>
          <w:sz w:val="28"/>
          <w:szCs w:val="28"/>
        </w:rPr>
        <w:t>审核时间：</w:t>
      </w:r>
      <w:r>
        <w:rPr>
          <w:sz w:val="28"/>
          <w:szCs w:val="28"/>
        </w:rPr>
        <w:t>2023</w:t>
      </w:r>
      <w:r>
        <w:rPr>
          <w:rFonts w:hint="eastAsia"/>
          <w:sz w:val="28"/>
          <w:szCs w:val="28"/>
        </w:rPr>
        <w:t xml:space="preserve">年9月1日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B0604020202020204"/>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decorative"/>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zMzgxYTJhN2I3ZmNiYmJhYzJjOWFkNjNiYTY5YzcifQ=="/>
  </w:docVars>
  <w:rsids>
    <w:rsidRoot w:val="00B7651F"/>
    <w:rsid w:val="0001018E"/>
    <w:rsid w:val="00034F22"/>
    <w:rsid w:val="00041205"/>
    <w:rsid w:val="000671F8"/>
    <w:rsid w:val="000901CC"/>
    <w:rsid w:val="000B3128"/>
    <w:rsid w:val="000E0C2A"/>
    <w:rsid w:val="000F6FF2"/>
    <w:rsid w:val="001072BC"/>
    <w:rsid w:val="00193E30"/>
    <w:rsid w:val="001A198E"/>
    <w:rsid w:val="001D7711"/>
    <w:rsid w:val="00205996"/>
    <w:rsid w:val="00210840"/>
    <w:rsid w:val="002312EC"/>
    <w:rsid w:val="00256B39"/>
    <w:rsid w:val="0026033C"/>
    <w:rsid w:val="00265188"/>
    <w:rsid w:val="002E3721"/>
    <w:rsid w:val="002E4B2E"/>
    <w:rsid w:val="002F7267"/>
    <w:rsid w:val="00307DA9"/>
    <w:rsid w:val="00313BBA"/>
    <w:rsid w:val="0032602E"/>
    <w:rsid w:val="00335038"/>
    <w:rsid w:val="003367AE"/>
    <w:rsid w:val="003833F7"/>
    <w:rsid w:val="00393146"/>
    <w:rsid w:val="00395D9C"/>
    <w:rsid w:val="00397CC3"/>
    <w:rsid w:val="003A4762"/>
    <w:rsid w:val="003B1258"/>
    <w:rsid w:val="003C024E"/>
    <w:rsid w:val="003C7B49"/>
    <w:rsid w:val="003D1798"/>
    <w:rsid w:val="004100B0"/>
    <w:rsid w:val="00432473"/>
    <w:rsid w:val="00446D20"/>
    <w:rsid w:val="00462813"/>
    <w:rsid w:val="004F6044"/>
    <w:rsid w:val="00501799"/>
    <w:rsid w:val="0052414B"/>
    <w:rsid w:val="00540597"/>
    <w:rsid w:val="005467DC"/>
    <w:rsid w:val="00553D03"/>
    <w:rsid w:val="00565CB5"/>
    <w:rsid w:val="005A099D"/>
    <w:rsid w:val="005B2B6D"/>
    <w:rsid w:val="005B4B4E"/>
    <w:rsid w:val="005C03BD"/>
    <w:rsid w:val="006076EE"/>
    <w:rsid w:val="00615011"/>
    <w:rsid w:val="00624FE1"/>
    <w:rsid w:val="00636C99"/>
    <w:rsid w:val="0066087B"/>
    <w:rsid w:val="00675369"/>
    <w:rsid w:val="00690A86"/>
    <w:rsid w:val="006A3714"/>
    <w:rsid w:val="006C4434"/>
    <w:rsid w:val="006E15DF"/>
    <w:rsid w:val="006E6BF0"/>
    <w:rsid w:val="006E7908"/>
    <w:rsid w:val="007208D6"/>
    <w:rsid w:val="007864EC"/>
    <w:rsid w:val="007B6B2D"/>
    <w:rsid w:val="007C4F5C"/>
    <w:rsid w:val="007D2DD4"/>
    <w:rsid w:val="007F0ACC"/>
    <w:rsid w:val="007F2779"/>
    <w:rsid w:val="007F5322"/>
    <w:rsid w:val="007F6F67"/>
    <w:rsid w:val="00807BE0"/>
    <w:rsid w:val="008600F1"/>
    <w:rsid w:val="008647FB"/>
    <w:rsid w:val="008B397C"/>
    <w:rsid w:val="008B47F4"/>
    <w:rsid w:val="008B60D1"/>
    <w:rsid w:val="00900019"/>
    <w:rsid w:val="0091020D"/>
    <w:rsid w:val="009162CD"/>
    <w:rsid w:val="00922BDF"/>
    <w:rsid w:val="0096412D"/>
    <w:rsid w:val="0099063E"/>
    <w:rsid w:val="009B0A91"/>
    <w:rsid w:val="009C4B02"/>
    <w:rsid w:val="009F0DF3"/>
    <w:rsid w:val="009F41F4"/>
    <w:rsid w:val="00A157D6"/>
    <w:rsid w:val="00A44699"/>
    <w:rsid w:val="00A450E2"/>
    <w:rsid w:val="00A45A7F"/>
    <w:rsid w:val="00A616C2"/>
    <w:rsid w:val="00A72516"/>
    <w:rsid w:val="00A769B1"/>
    <w:rsid w:val="00A837D5"/>
    <w:rsid w:val="00AA22C6"/>
    <w:rsid w:val="00AB73E5"/>
    <w:rsid w:val="00AC4C45"/>
    <w:rsid w:val="00AC62D1"/>
    <w:rsid w:val="00AD52C4"/>
    <w:rsid w:val="00AF0E62"/>
    <w:rsid w:val="00AF3291"/>
    <w:rsid w:val="00B00E7E"/>
    <w:rsid w:val="00B16ECC"/>
    <w:rsid w:val="00B46F21"/>
    <w:rsid w:val="00B511A5"/>
    <w:rsid w:val="00B57445"/>
    <w:rsid w:val="00B64E62"/>
    <w:rsid w:val="00B736A7"/>
    <w:rsid w:val="00B7651F"/>
    <w:rsid w:val="00B76A95"/>
    <w:rsid w:val="00BC40FD"/>
    <w:rsid w:val="00BC671B"/>
    <w:rsid w:val="00BE5AC3"/>
    <w:rsid w:val="00C15002"/>
    <w:rsid w:val="00C151FF"/>
    <w:rsid w:val="00C17214"/>
    <w:rsid w:val="00C33223"/>
    <w:rsid w:val="00C56E09"/>
    <w:rsid w:val="00C722F6"/>
    <w:rsid w:val="00C97C9F"/>
    <w:rsid w:val="00CD07A3"/>
    <w:rsid w:val="00CD1DEF"/>
    <w:rsid w:val="00CE3CE5"/>
    <w:rsid w:val="00CE6602"/>
    <w:rsid w:val="00CF096B"/>
    <w:rsid w:val="00CF26F8"/>
    <w:rsid w:val="00D04A5E"/>
    <w:rsid w:val="00D36E30"/>
    <w:rsid w:val="00D37A39"/>
    <w:rsid w:val="00D734F9"/>
    <w:rsid w:val="00DF02C4"/>
    <w:rsid w:val="00E105A7"/>
    <w:rsid w:val="00E16D30"/>
    <w:rsid w:val="00E2131D"/>
    <w:rsid w:val="00E33169"/>
    <w:rsid w:val="00E64CA9"/>
    <w:rsid w:val="00E70904"/>
    <w:rsid w:val="00E73246"/>
    <w:rsid w:val="00EC763B"/>
    <w:rsid w:val="00EC78D7"/>
    <w:rsid w:val="00EF44B1"/>
    <w:rsid w:val="00F35AA0"/>
    <w:rsid w:val="00F4682E"/>
    <w:rsid w:val="00F54884"/>
    <w:rsid w:val="00F56368"/>
    <w:rsid w:val="00F67A4B"/>
    <w:rsid w:val="00F75D70"/>
    <w:rsid w:val="00F763CF"/>
    <w:rsid w:val="00F83568"/>
    <w:rsid w:val="00F90264"/>
    <w:rsid w:val="00FB07E7"/>
    <w:rsid w:val="00FC1D9F"/>
    <w:rsid w:val="016E63C2"/>
    <w:rsid w:val="024B0C39"/>
    <w:rsid w:val="0A8128A6"/>
    <w:rsid w:val="0BF32A1B"/>
    <w:rsid w:val="10BD2C22"/>
    <w:rsid w:val="22987C80"/>
    <w:rsid w:val="24192CCC"/>
    <w:rsid w:val="39A66CD4"/>
    <w:rsid w:val="3CD52CE1"/>
    <w:rsid w:val="410F2E6A"/>
    <w:rsid w:val="4430136C"/>
    <w:rsid w:val="4AB0382B"/>
    <w:rsid w:val="4D94686B"/>
    <w:rsid w:val="569868B5"/>
    <w:rsid w:val="579F4B57"/>
    <w:rsid w:val="5F15575B"/>
    <w:rsid w:val="611F6817"/>
    <w:rsid w:val="66CA1754"/>
    <w:rsid w:val="677214DF"/>
    <w:rsid w:val="6BBEC023"/>
    <w:rsid w:val="6F1E65D4"/>
    <w:rsid w:val="6F266C86"/>
    <w:rsid w:val="6F5042C2"/>
    <w:rsid w:val="6FFECA08"/>
    <w:rsid w:val="74316312"/>
    <w:rsid w:val="75384E5E"/>
    <w:rsid w:val="780F13C8"/>
    <w:rsid w:val="7C385448"/>
    <w:rsid w:val="7CB3663D"/>
    <w:rsid w:val="7CFF1958"/>
    <w:rsid w:val="7D068A8A"/>
    <w:rsid w:val="7FFA10AF"/>
    <w:rsid w:val="BEEE39F7"/>
    <w:rsid w:val="DBFD9D5B"/>
    <w:rsid w:val="F6B92B6F"/>
    <w:rsid w:val="F7EFF735"/>
    <w:rsid w:val="FD7FE4B6"/>
    <w:rsid w:val="FDFC35DE"/>
    <w:rsid w:val="FFCB45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20"/>
    <w:rPr>
      <w:i/>
      <w:iCs/>
    </w:rPr>
  </w:style>
  <w:style w:type="character" w:styleId="8">
    <w:name w:val="Hyperlink"/>
    <w:basedOn w:val="6"/>
    <w:unhideWhenUsed/>
    <w:qFormat/>
    <w:uiPriority w:val="99"/>
    <w:rPr>
      <w:color w:val="0000FF"/>
      <w:u w:val="single"/>
    </w:rPr>
  </w:style>
  <w:style w:type="character" w:customStyle="1" w:styleId="9">
    <w:name w:val="页眉 字符"/>
    <w:basedOn w:val="6"/>
    <w:link w:val="3"/>
    <w:semiHidden/>
    <w:qFormat/>
    <w:uiPriority w:val="99"/>
    <w:rPr>
      <w:sz w:val="18"/>
      <w:szCs w:val="18"/>
    </w:rPr>
  </w:style>
  <w:style w:type="character" w:customStyle="1" w:styleId="10">
    <w:name w:val="页脚 字符"/>
    <w:basedOn w:val="6"/>
    <w:link w:val="2"/>
    <w:semiHidden/>
    <w:qFormat/>
    <w:uiPriority w:val="99"/>
    <w:rPr>
      <w:sz w:val="18"/>
      <w:szCs w:val="18"/>
    </w:rPr>
  </w:style>
  <w:style w:type="character" w:customStyle="1" w:styleId="11">
    <w:name w:val="ql-font-timesnewroman"/>
    <w:basedOn w:val="6"/>
    <w:qFormat/>
    <w:uiPriority w:val="0"/>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5118</Words>
  <Characters>5387</Characters>
  <Lines>42</Lines>
  <Paragraphs>11</Paragraphs>
  <TotalTime>67</TotalTime>
  <ScaleCrop>false</ScaleCrop>
  <LinksUpToDate>false</LinksUpToDate>
  <CharactersWithSpaces>5469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2023-08-23T07:23:00Z</dcterms:created>
  <dc:creator>juvg</dc:creator>
  <cp:lastModifiedBy>培培</cp:lastModifiedBy>
  <dcterms:modified xsi:type="dcterms:W3CDTF">2023-09-08T07:26:03Z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5554206E026A480B8F2C595B094377F1_12</vt:lpwstr>
  </property>
</Properties>
</file>