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w:t>
      </w:r>
      <w:r>
        <w:rPr>
          <w:rFonts w:hint="eastAsia" w:ascii="方正小标宋简体" w:hAnsi="宋体"/>
          <w:bCs/>
          <w:kern w:val="0"/>
          <w:szCs w:val="21"/>
        </w:rPr>
        <w:t>（</w:t>
      </w:r>
      <w:r>
        <w:rPr>
          <w:rFonts w:hint="eastAsia"/>
          <w:sz w:val="32"/>
          <w:szCs w:val="32"/>
          <w:lang w:val="en-US" w:eastAsia="zh-CN"/>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w:t>
      </w:r>
      <w:r>
        <w:rPr>
          <w:rFonts w:hint="eastAsia"/>
          <w:b/>
          <w:sz w:val="28"/>
          <w:szCs w:val="30"/>
          <w:lang w:eastAsia="zh-CN"/>
        </w:rPr>
        <w:t>流行病学</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Epidemiology</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highlight w:val="yellow"/>
        </w:rPr>
      </w:pPr>
      <w:r>
        <w:rPr>
          <w:b/>
          <w:bCs/>
          <w:color w:val="000000"/>
          <w:sz w:val="20"/>
          <w:szCs w:val="20"/>
        </w:rPr>
        <w:t>课程代码：</w:t>
      </w:r>
      <w:r>
        <w:rPr>
          <w:color w:val="000000"/>
          <w:sz w:val="20"/>
          <w:szCs w:val="20"/>
          <w:highlight w:val="none"/>
        </w:rPr>
        <w:t>【</w:t>
      </w:r>
      <w:r>
        <w:rPr>
          <w:rFonts w:hint="eastAsia"/>
          <w:color w:val="000000"/>
          <w:sz w:val="20"/>
          <w:szCs w:val="20"/>
          <w:highlight w:val="none"/>
          <w:lang w:val="en-US" w:eastAsia="zh-CN"/>
        </w:rPr>
        <w:t>1170005</w:t>
      </w:r>
      <w:r>
        <w:rPr>
          <w:color w:val="000000"/>
          <w:sz w:val="20"/>
          <w:szCs w:val="20"/>
          <w:highlight w:val="none"/>
        </w:rPr>
        <w:t>】</w:t>
      </w:r>
    </w:p>
    <w:p>
      <w:pPr>
        <w:snapToGrid w:val="0"/>
        <w:spacing w:line="288" w:lineRule="auto"/>
        <w:ind w:firstLine="394" w:firstLineChars="196"/>
        <w:rPr>
          <w:rFonts w:hint="eastAsia" w:eastAsia="宋体"/>
          <w:color w:val="000000"/>
          <w:szCs w:val="21"/>
          <w:lang w:val="en-US" w:eastAsia="zh-CN"/>
        </w:rPr>
      </w:pPr>
      <w:r>
        <w:rPr>
          <w:b/>
          <w:bCs/>
          <w:color w:val="000000"/>
          <w:sz w:val="20"/>
          <w:szCs w:val="20"/>
        </w:rPr>
        <w:t>课程学分：</w:t>
      </w:r>
      <w:r>
        <w:rPr>
          <w:rFonts w:hint="eastAsia"/>
          <w:b/>
          <w:bCs/>
          <w:color w:val="000000"/>
          <w:sz w:val="20"/>
          <w:szCs w:val="20"/>
          <w:lang w:val="en-US" w:eastAsia="zh-CN"/>
        </w:rPr>
        <w:t>2</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highlight w:val="none"/>
        </w:rPr>
        <w:t>【</w:t>
      </w:r>
      <w:r>
        <w:rPr>
          <w:rFonts w:hint="eastAsia"/>
          <w:color w:val="000000"/>
          <w:sz w:val="20"/>
          <w:szCs w:val="20"/>
          <w:highlight w:val="none"/>
          <w:lang w:val="en-US" w:eastAsia="zh-CN"/>
        </w:rPr>
        <w:t>护理学</w:t>
      </w:r>
      <w:r>
        <w:rPr>
          <w:color w:val="000000"/>
          <w:sz w:val="20"/>
          <w:szCs w:val="20"/>
          <w:highlight w:val="none"/>
        </w:rPr>
        <w:t>】</w:t>
      </w:r>
    </w:p>
    <w:p>
      <w:pPr>
        <w:snapToGrid w:val="0"/>
        <w:spacing w:line="288" w:lineRule="auto"/>
        <w:ind w:firstLine="394" w:firstLineChars="196"/>
        <w:rPr>
          <w:color w:val="000000"/>
          <w:sz w:val="20"/>
          <w:szCs w:val="20"/>
          <w:highlight w:val="yellow"/>
        </w:rPr>
      </w:pPr>
      <w:r>
        <w:rPr>
          <w:b/>
          <w:bCs/>
          <w:color w:val="000000"/>
          <w:sz w:val="20"/>
          <w:szCs w:val="20"/>
        </w:rPr>
        <w:t>课程性质：</w:t>
      </w:r>
      <w:r>
        <w:rPr>
          <w:color w:val="000000"/>
          <w:sz w:val="20"/>
          <w:szCs w:val="20"/>
          <w:highlight w:val="none"/>
        </w:rPr>
        <w:t>【</w:t>
      </w:r>
      <w:r>
        <w:rPr>
          <w:rFonts w:hint="eastAsia"/>
          <w:color w:val="000000"/>
          <w:sz w:val="20"/>
          <w:szCs w:val="20"/>
          <w:highlight w:val="none"/>
          <w:lang w:eastAsia="zh-CN"/>
        </w:rPr>
        <w:t>系级</w:t>
      </w:r>
      <w:r>
        <w:rPr>
          <w:rFonts w:hint="eastAsia"/>
          <w:color w:val="000000"/>
          <w:sz w:val="20"/>
          <w:szCs w:val="20"/>
          <w:highlight w:val="none"/>
        </w:rPr>
        <w:t>选修课</w:t>
      </w:r>
      <w:r>
        <w:rPr>
          <w:color w:val="000000"/>
          <w:sz w:val="20"/>
          <w:szCs w:val="20"/>
          <w:highlight w:val="none"/>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eastAsia="zh-CN"/>
        </w:rPr>
        <w:t>健康管理学院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hint="default" w:eastAsia="宋体"/>
          <w:color w:val="000000"/>
          <w:sz w:val="20"/>
          <w:szCs w:val="20"/>
          <w:lang w:val="en-US" w:eastAsia="zh-CN"/>
        </w:rPr>
      </w:pPr>
      <w:r>
        <w:rPr>
          <w:rFonts w:hint="eastAsia"/>
          <w:color w:val="000000"/>
          <w:sz w:val="20"/>
          <w:szCs w:val="20"/>
          <w:lang w:eastAsia="zh-CN"/>
        </w:rPr>
        <w:t>《流行病学》，第</w:t>
      </w:r>
      <w:r>
        <w:rPr>
          <w:rFonts w:hint="eastAsia"/>
          <w:color w:val="000000"/>
          <w:sz w:val="20"/>
          <w:szCs w:val="20"/>
          <w:lang w:val="en-US" w:eastAsia="zh-CN"/>
        </w:rPr>
        <w:t>8版</w:t>
      </w:r>
      <w:r>
        <w:rPr>
          <w:rFonts w:hint="eastAsia"/>
          <w:color w:val="000000"/>
          <w:sz w:val="20"/>
          <w:szCs w:val="20"/>
          <w:lang w:eastAsia="zh-CN"/>
        </w:rPr>
        <w:t>，詹思延，人民卫生出版社，</w:t>
      </w:r>
      <w:r>
        <w:rPr>
          <w:rFonts w:hint="eastAsia"/>
          <w:color w:val="000000"/>
          <w:sz w:val="20"/>
          <w:szCs w:val="20"/>
          <w:lang w:val="en-US" w:eastAsia="zh-CN"/>
        </w:rPr>
        <w:t>2012年</w:t>
      </w:r>
    </w:p>
    <w:p>
      <w:pPr>
        <w:snapToGrid w:val="0"/>
        <w:spacing w:line="288" w:lineRule="auto"/>
        <w:ind w:firstLine="792" w:firstLineChars="396"/>
        <w:rPr>
          <w:rFonts w:hint="eastAsia"/>
          <w:color w:val="000000"/>
          <w:sz w:val="20"/>
          <w:szCs w:val="20"/>
          <w:highlight w:val="none"/>
          <w:lang w:val="en-US" w:eastAsia="zh-CN"/>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lang w:val="en-US" w:eastAsia="zh-CN"/>
        </w:rPr>
        <w:t>1、</w:t>
      </w:r>
      <w:r>
        <w:rPr>
          <w:rFonts w:hint="eastAsia"/>
          <w:color w:val="000000"/>
          <w:sz w:val="20"/>
          <w:szCs w:val="20"/>
          <w:highlight w:val="none"/>
          <w:lang w:eastAsia="zh-CN"/>
        </w:rPr>
        <w:t>《流行病学》，第</w:t>
      </w:r>
      <w:r>
        <w:rPr>
          <w:rFonts w:hint="eastAsia"/>
          <w:color w:val="000000"/>
          <w:sz w:val="20"/>
          <w:szCs w:val="20"/>
          <w:highlight w:val="none"/>
          <w:lang w:val="en-US" w:eastAsia="zh-CN"/>
        </w:rPr>
        <w:t>9版，沈洪兵，齐秀英，人民卫生出版社，2018年；</w:t>
      </w:r>
    </w:p>
    <w:p>
      <w:pPr>
        <w:numPr>
          <w:ilvl w:val="0"/>
          <w:numId w:val="0"/>
        </w:numPr>
        <w:snapToGrid w:val="0"/>
        <w:spacing w:line="288" w:lineRule="auto"/>
        <w:ind w:firstLine="1800" w:firstLineChars="900"/>
        <w:rPr>
          <w:rFonts w:hint="eastAsia"/>
          <w:color w:val="000000"/>
          <w:sz w:val="20"/>
          <w:szCs w:val="20"/>
          <w:highlight w:val="none"/>
          <w:lang w:val="en-US" w:eastAsia="zh-CN"/>
        </w:rPr>
      </w:pPr>
      <w:r>
        <w:rPr>
          <w:rFonts w:hint="eastAsia"/>
          <w:color w:val="000000"/>
          <w:sz w:val="20"/>
          <w:szCs w:val="20"/>
          <w:highlight w:val="none"/>
          <w:lang w:val="en-US" w:eastAsia="zh-CN"/>
        </w:rPr>
        <w:t>2、《临床流行病学》，第2版，詹思延，人民卫生出版社，2015年；</w:t>
      </w:r>
    </w:p>
    <w:p>
      <w:pPr>
        <w:numPr>
          <w:ilvl w:val="0"/>
          <w:numId w:val="0"/>
        </w:numPr>
        <w:snapToGrid w:val="0"/>
        <w:spacing w:line="288" w:lineRule="auto"/>
        <w:ind w:firstLine="1800" w:firstLineChars="900"/>
        <w:rPr>
          <w:color w:val="000000"/>
          <w:sz w:val="20"/>
          <w:szCs w:val="20"/>
          <w:highlight w:val="yellow"/>
        </w:rPr>
      </w:pPr>
      <w:r>
        <w:rPr>
          <w:rFonts w:hint="eastAsia"/>
          <w:color w:val="000000"/>
          <w:sz w:val="20"/>
          <w:szCs w:val="20"/>
          <w:highlight w:val="none"/>
          <w:lang w:val="en-US" w:eastAsia="zh-CN"/>
        </w:rPr>
        <w:t>3、《临床流行病学》，第5版，黄悦勤，人民卫生出版社，2020年</w:t>
      </w:r>
      <w:r>
        <w:rPr>
          <w:color w:val="000000"/>
          <w:sz w:val="20"/>
          <w:szCs w:val="20"/>
          <w:highlight w:val="none"/>
        </w:rPr>
        <w:t>】</w:t>
      </w:r>
    </w:p>
    <w:p>
      <w:pPr>
        <w:adjustRightInd w:val="0"/>
        <w:snapToGrid w:val="0"/>
        <w:spacing w:line="288" w:lineRule="auto"/>
        <w:ind w:firstLine="394" w:firstLineChars="196"/>
        <w:rPr>
          <w:color w:val="000000"/>
          <w:sz w:val="20"/>
          <w:szCs w:val="20"/>
        </w:rPr>
      </w:pPr>
      <w:r>
        <w:rPr>
          <w:b/>
          <w:bCs/>
          <w:color w:val="000000"/>
          <w:sz w:val="20"/>
          <w:szCs w:val="20"/>
        </w:rPr>
        <w:t>先修</w:t>
      </w:r>
      <w:r>
        <w:rPr>
          <w:rFonts w:hint="eastAsia"/>
          <w:color w:val="000000"/>
          <w:sz w:val="20"/>
          <w:szCs w:val="20"/>
          <w:highlight w:val="none"/>
          <w:lang w:eastAsia="zh-CN"/>
        </w:rPr>
        <w:t>课程：【高等数学</w:t>
      </w:r>
      <w:r>
        <w:rPr>
          <w:color w:val="000000"/>
          <w:sz w:val="20"/>
          <w:szCs w:val="20"/>
        </w:rPr>
        <w:t>A 010001</w:t>
      </w:r>
      <w:r>
        <w:rPr>
          <w:rFonts w:hint="eastAsia"/>
          <w:color w:val="000000"/>
          <w:sz w:val="20"/>
          <w:szCs w:val="20"/>
          <w:lang w:eastAsia="zh-CN"/>
        </w:rPr>
        <w:t>；公共卫生学概论</w:t>
      </w:r>
      <w:r>
        <w:rPr>
          <w:rFonts w:hint="eastAsia"/>
          <w:color w:val="000000"/>
          <w:sz w:val="20"/>
          <w:szCs w:val="20"/>
          <w:lang w:val="en-US" w:eastAsia="zh-CN"/>
        </w:rPr>
        <w:t>217001</w:t>
      </w:r>
      <w:r>
        <w:rPr>
          <w:rFonts w:hint="eastAsia"/>
          <w:color w:val="000000"/>
          <w:sz w:val="20"/>
          <w:szCs w:val="20"/>
          <w:highlight w:val="none"/>
          <w:lang w:val="en-US" w:eastAsia="zh-CN"/>
        </w:rPr>
        <w:t>7等</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流行病学是既是一门方法学，又是一门应用科学，在医学中有着特殊的地位，尤其在</w:t>
      </w:r>
      <w:r>
        <w:rPr>
          <w:rFonts w:hint="eastAsia"/>
          <w:color w:val="000000"/>
          <w:sz w:val="20"/>
          <w:szCs w:val="20"/>
          <w:lang w:eastAsia="zh-CN"/>
        </w:rPr>
        <w:t>公共卫生</w:t>
      </w:r>
      <w:r>
        <w:rPr>
          <w:rFonts w:hint="eastAsia"/>
          <w:color w:val="000000"/>
          <w:sz w:val="20"/>
          <w:szCs w:val="20"/>
        </w:rPr>
        <w:t>领域中的主导地位，作为公共事业管理专业的专业基础课程，正随着人类疾病谱、人们的健康观念及医学模式的转变愈来愈凸现出来。其主要内容包括流行病学基本原理和方法、流行病学分支及我国重要公共卫生问题的常见病、多发病等。通过理论与实习相结合，教师讲授与学生自学相结合的教学活动，使学生掌握流行病学基本原理方法及防制疾病和提高人群健康水平的策略和措施，了解医疗卫生事业领域存在的主要问题。在教学中注意发挥学生的主动性、创造性，重在培养学生获取知识的能力和良好学风，培养学生群体观点、对比观点、概率论等观点的树立，使之能够独立发现问题、分析问题，解决问题，为今后的发展与提高奠定良好的基础。</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60" w:lineRule="auto"/>
        <w:ind w:firstLine="400" w:firstLineChars="200"/>
        <w:rPr>
          <w:color w:val="000000"/>
          <w:sz w:val="20"/>
          <w:szCs w:val="20"/>
        </w:rPr>
      </w:pPr>
      <w:r>
        <w:rPr>
          <w:rFonts w:hint="eastAsia"/>
          <w:color w:val="000000"/>
          <w:sz w:val="20"/>
          <w:szCs w:val="20"/>
          <w:lang w:eastAsia="zh-CN"/>
        </w:rPr>
        <w:t>本课程适合公共卫生、预防医学、护理学、养老服务与管理，健康服务与管理等专业，大</w:t>
      </w:r>
      <w:r>
        <w:rPr>
          <w:rFonts w:hint="eastAsia"/>
          <w:color w:val="000000"/>
          <w:sz w:val="20"/>
          <w:szCs w:val="20"/>
          <w:lang w:val="en-US" w:eastAsia="zh-CN"/>
        </w:rPr>
        <w:t>学二年级以上学</w:t>
      </w:r>
      <w:r>
        <w:rPr>
          <w:rFonts w:hint="eastAsia"/>
          <w:color w:val="000000"/>
          <w:sz w:val="20"/>
          <w:szCs w:val="20"/>
          <w:lang w:eastAsia="zh-CN"/>
        </w:rPr>
        <w:t>习，学生应具有</w:t>
      </w:r>
      <w:r>
        <w:rPr>
          <w:rFonts w:hint="eastAsia"/>
          <w:color w:val="000000"/>
          <w:sz w:val="20"/>
          <w:szCs w:val="20"/>
          <w:lang w:val="en-US" w:eastAsia="zh-CN"/>
        </w:rPr>
        <w:t>基本医学</w:t>
      </w:r>
      <w:r>
        <w:rPr>
          <w:rFonts w:hint="eastAsia"/>
          <w:color w:val="000000"/>
          <w:sz w:val="20"/>
          <w:szCs w:val="20"/>
          <w:lang w:eastAsia="zh-CN"/>
        </w:rPr>
        <w:t>知识</w:t>
      </w:r>
      <w:r>
        <w:rPr>
          <w:rFonts w:hint="eastAsia"/>
          <w:color w:val="000000"/>
          <w:sz w:val="20"/>
          <w:szCs w:val="20"/>
        </w:rPr>
        <w:t>。</w:t>
      </w:r>
    </w:p>
    <w:p>
      <w:pPr>
        <w:snapToGrid w:val="0"/>
        <w:spacing w:line="288" w:lineRule="auto"/>
        <w:ind w:firstLine="400" w:firstLineChars="200"/>
        <w:rPr>
          <w:rFonts w:hint="eastAsia" w:eastAsia="宋体"/>
          <w:color w:val="000000"/>
          <w:sz w:val="20"/>
          <w:szCs w:val="20"/>
          <w:lang w:eastAsia="zh-CN"/>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highlight w:val="none"/>
        </w:rPr>
        <w:t>的</w:t>
      </w:r>
      <w:r>
        <w:rPr>
          <w:rFonts w:ascii="黑体" w:hAnsi="宋体" w:eastAsia="黑体"/>
          <w:sz w:val="24"/>
        </w:rPr>
        <w:t>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LO11：表达沟通</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LO111 尊重护理对象的价值观、文化习俗、个人信仰和权利。</w:t>
            </w:r>
          </w:p>
          <w:p>
            <w:pPr>
              <w:tabs>
                <w:tab w:val="left" w:pos="4200"/>
              </w:tabs>
              <w:adjustRightInd w:val="0"/>
              <w:snapToGrid w:val="0"/>
              <w:spacing w:line="264" w:lineRule="auto"/>
              <w:jc w:val="both"/>
              <w:outlineLvl w:val="1"/>
              <w:rPr>
                <w:kern w:val="0"/>
                <w:sz w:val="20"/>
                <w:szCs w:val="20"/>
              </w:rPr>
            </w:pPr>
            <w:r>
              <w:rPr>
                <w:rFonts w:hint="eastAsia" w:ascii="楷体_GB2312" w:hAnsi="楷体" w:eastAsia="楷体_GB2312"/>
                <w:bCs/>
                <w:sz w:val="24"/>
              </w:rPr>
              <w:t>LO112 具有在护理专业实践中有效沟通与合作的能力。</w:t>
            </w:r>
          </w:p>
        </w:tc>
        <w:tc>
          <w:tcPr>
            <w:tcW w:w="727" w:type="dxa"/>
            <w:vAlign w:val="center"/>
          </w:tcPr>
          <w:p>
            <w:pPr>
              <w:jc w:val="center"/>
              <w:rPr>
                <w:rFonts w:hint="eastAsia"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LO21：自主学习</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LO211 树立终身学习的观念，具有主动获取新知识、不断进行自我完善和推动专业发展的态度。</w:t>
            </w:r>
          </w:p>
          <w:p>
            <w:pPr>
              <w:tabs>
                <w:tab w:val="left" w:pos="4200"/>
              </w:tabs>
              <w:adjustRightInd w:val="0"/>
              <w:snapToGrid w:val="0"/>
              <w:spacing w:line="264" w:lineRule="auto"/>
              <w:jc w:val="both"/>
              <w:outlineLvl w:val="1"/>
              <w:rPr>
                <w:kern w:val="0"/>
                <w:sz w:val="20"/>
                <w:szCs w:val="20"/>
              </w:rPr>
            </w:pPr>
            <w:r>
              <w:rPr>
                <w:rFonts w:hint="eastAsia" w:ascii="楷体_GB2312" w:hAnsi="楷体" w:eastAsia="楷体_GB2312"/>
                <w:bCs/>
                <w:sz w:val="24"/>
              </w:rPr>
              <w:t>L0212 具有自主学习的基本能力，能够适应不断变化的社会健康保健需求。</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LO31：专业基础能力</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LO311具有与护理学相关的自然科学、人文社会科学的基础知识和科学方法。</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LO312具有人体正常结构、功能、人的心理状态及其发展变化的知识。</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LO313具有基本的药理知识和临床用药及药品管理知识。</w:t>
            </w:r>
          </w:p>
          <w:p>
            <w:pPr>
              <w:tabs>
                <w:tab w:val="left" w:pos="4200"/>
              </w:tabs>
              <w:adjustRightInd w:val="0"/>
              <w:snapToGrid w:val="0"/>
              <w:spacing w:line="264" w:lineRule="auto"/>
              <w:jc w:val="both"/>
              <w:outlineLvl w:val="1"/>
              <w:rPr>
                <w:kern w:val="0"/>
                <w:sz w:val="20"/>
                <w:szCs w:val="20"/>
              </w:rPr>
            </w:pPr>
            <w:r>
              <w:rPr>
                <w:rFonts w:hint="eastAsia" w:ascii="楷体_GB2312" w:hAnsi="楷体" w:eastAsia="楷体_GB2312"/>
                <w:bCs/>
                <w:sz w:val="24"/>
              </w:rPr>
              <w:t>LO314具有护理学基础理论和基本知识。</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LO32：临床护理能力</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LO321具有运用多学科知识进行护理评估，制定护理计划并对护理对象实施整体护理的基本能力。</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LO322掌握基础护理技术、急救护理技术、专科护理基本技术和具有配合实施常用诊疗技术的能力。</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LO323具有生命各阶段常见病、多发病的护理知识及病情观察和护理能力。</w:t>
            </w:r>
          </w:p>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hint="eastAsia" w:ascii="楷体_GB2312" w:hAnsi="楷体" w:eastAsia="楷体_GB2312"/>
                <w:bCs/>
                <w:sz w:val="24"/>
              </w:rPr>
              <w:t>LO324具有急危重症护理对象的护理知识及配合急危重症的抢救和突发事件的应急救护的初步能力。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楷体_GB2312" w:hAnsi="楷体" w:eastAsia="楷体_GB2312"/>
                <w:b/>
                <w:sz w:val="24"/>
              </w:rPr>
            </w:pPr>
            <w:r>
              <w:rPr>
                <w:rFonts w:hint="eastAsia" w:ascii="楷体_GB2312" w:hAnsi="楷体" w:eastAsia="楷体_GB2312"/>
                <w:b/>
                <w:sz w:val="24"/>
              </w:rPr>
              <w:t>LO33：社区护理能力</w:t>
            </w:r>
            <w:r>
              <w:rPr>
                <w:rFonts w:hint="eastAsia" w:ascii="楷体_GB2312" w:hAnsi="楷体" w:eastAsia="楷体_GB2312"/>
                <w:bCs/>
                <w:sz w:val="24"/>
              </w:rPr>
              <w:t xml:space="preserve">  具有从事社区护理的基本能力，能在各种环境中为个体、家庭、社区提供与其文化相一致的健康保健服务。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ascii="楷体_GB2312" w:hAnsi="楷体" w:eastAsia="楷体_GB2312"/>
                <w:b/>
                <w:sz w:val="24"/>
              </w:rPr>
              <w:t>LO34：临床教学能力</w:t>
            </w:r>
            <w:r>
              <w:rPr>
                <w:rFonts w:hint="eastAsia" w:ascii="楷体_GB2312" w:hAnsi="楷体" w:eastAsia="楷体_GB2312"/>
                <w:bCs/>
                <w:sz w:val="24"/>
              </w:rPr>
              <w:t xml:space="preserve">  具有初步从事临床教学的能力。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楷体_GB2312" w:hAnsi="楷体" w:eastAsia="楷体_GB2312"/>
                <w:bCs/>
                <w:sz w:val="24"/>
              </w:rPr>
            </w:pPr>
            <w:r>
              <w:rPr>
                <w:rFonts w:ascii="楷体_GB2312" w:hAnsi="楷体" w:eastAsia="楷体_GB2312"/>
                <w:b/>
                <w:sz w:val="24"/>
              </w:rPr>
              <w:t>LO41：尽责抗压</w:t>
            </w:r>
            <w:r>
              <w:rPr>
                <w:rFonts w:hint="eastAsia" w:ascii="楷体_GB2312" w:hAnsi="楷体" w:eastAsia="楷体_GB2312"/>
                <w:bCs/>
                <w:sz w:val="24"/>
              </w:rPr>
              <w:t xml:space="preserve">  </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L0411 对护理学科有正确的认识，对其发展具有责任感。</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L0412 具有科学精神、慎独修养、严谨求实的工作态度和符合职业道德标准的职业行为。</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LO413 树立依法行护的法律观念，遵从医疗护理相关法规，自觉将专业行为纳入法律和伦理允许的范围内，具有运用相关法规保护护理对象和自身权益的意识。</w:t>
            </w:r>
          </w:p>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hint="eastAsia" w:ascii="楷体_GB2312" w:hAnsi="楷体" w:eastAsia="楷体_GB2312"/>
                <w:bCs/>
                <w:sz w:val="24"/>
              </w:rPr>
              <w:t>LO414 在应用各种护理技术时应充分考虑护理对象及家属权益，对于不能胜任或不能安全处理的护理问题，应具有寻求上级护士帮助的意识。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LO51：协同创新</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L0511 尊重同事和其他卫生保健专业人员，具有良好的团队精神和跨学科合作的意识。</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L0512 具有创新精神和创业意识。</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L0513 初步形成科学的质疑态度和评判反思精神，具有循证实践、勇于修正自己或他人错误的态度。</w:t>
            </w:r>
          </w:p>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hint="eastAsia" w:ascii="楷体_GB2312" w:hAnsi="楷体" w:eastAsia="楷体_GB2312"/>
                <w:bCs/>
                <w:sz w:val="24"/>
              </w:rPr>
              <w:t>L0514 具有初步运用评判性思维和临床决策的能力，以保证安全有效的专业实践。</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hint="eastAsia" w:ascii="楷体_GB2312" w:hAnsi="楷体" w:eastAsia="楷体_GB2312"/>
                <w:b/>
                <w:sz w:val="24"/>
              </w:rPr>
              <w:t>LO61：信息应用</w:t>
            </w:r>
            <w:r>
              <w:rPr>
                <w:rFonts w:hint="eastAsia" w:ascii="楷体_GB2312" w:hAnsi="楷体" w:eastAsia="楷体_GB2312"/>
                <w:bCs/>
                <w:sz w:val="24"/>
              </w:rPr>
              <w:t xml:space="preserve">  掌握文献检索、资料收集的基本方法，具有运用现代信息技术有效获取和利用护理学专业信息，研究护理问题的基本技能。</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楷体_GB2312" w:hAnsi="楷体" w:eastAsia="楷体_GB2312"/>
                <w:bCs/>
                <w:sz w:val="24"/>
              </w:rPr>
            </w:pPr>
            <w:r>
              <w:rPr>
                <w:rFonts w:ascii="楷体_GB2312" w:hAnsi="楷体" w:eastAsia="楷体_GB2312"/>
                <w:b/>
                <w:sz w:val="24"/>
              </w:rPr>
              <w:t>LO71：服务关爱</w:t>
            </w:r>
          </w:p>
          <w:p>
            <w:pPr>
              <w:tabs>
                <w:tab w:val="left" w:pos="4200"/>
              </w:tabs>
              <w:adjustRightInd w:val="0"/>
              <w:snapToGrid w:val="0"/>
              <w:spacing w:line="264" w:lineRule="auto"/>
              <w:jc w:val="both"/>
              <w:outlineLvl w:val="1"/>
              <w:rPr>
                <w:rFonts w:ascii="楷体_GB2312" w:hAnsi="楷体" w:eastAsia="楷体_GB2312"/>
                <w:bCs/>
                <w:sz w:val="24"/>
              </w:rPr>
            </w:pPr>
            <w:r>
              <w:rPr>
                <w:rFonts w:ascii="楷体_GB2312" w:hAnsi="楷体" w:eastAsia="楷体_GB2312"/>
                <w:bCs/>
                <w:sz w:val="24"/>
              </w:rPr>
              <w:t>LO711 树立科学的世界观和人生观，热爱祖国，忠于人民，初步形成以维护和促进人类健康为己任的专业价值观。</w:t>
            </w:r>
          </w:p>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ascii="楷体_GB2312" w:hAnsi="楷体" w:eastAsia="楷体_GB2312"/>
                <w:bCs/>
                <w:sz w:val="24"/>
              </w:rPr>
              <w:t>LO712 关爱生命，平等、博爱，体现人道主义精神和全心全意为护理对象的健康服务的专业精神。</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楷体_GB2312" w:hAnsi="楷体" w:eastAsia="楷体_GB2312"/>
                <w:b/>
                <w:sz w:val="24"/>
              </w:rPr>
            </w:pPr>
            <w:r>
              <w:rPr>
                <w:rFonts w:ascii="楷体_GB2312" w:hAnsi="楷体" w:eastAsia="楷体_GB2312"/>
                <w:b/>
                <w:sz w:val="24"/>
              </w:rPr>
              <w:t>LO81：国际视野</w:t>
            </w:r>
          </w:p>
          <w:p>
            <w:pPr>
              <w:tabs>
                <w:tab w:val="left" w:pos="4200"/>
              </w:tabs>
              <w:adjustRightInd w:val="0"/>
              <w:snapToGrid w:val="0"/>
              <w:spacing w:line="264" w:lineRule="auto"/>
              <w:jc w:val="both"/>
              <w:outlineLvl w:val="1"/>
              <w:rPr>
                <w:rFonts w:ascii="楷体_GB2312" w:hAnsi="楷体" w:eastAsia="楷体_GB2312"/>
                <w:bCs/>
                <w:sz w:val="24"/>
              </w:rPr>
            </w:pPr>
            <w:r>
              <w:rPr>
                <w:rFonts w:ascii="楷体_GB2312" w:hAnsi="楷体" w:eastAsia="楷体_GB2312"/>
                <w:bCs/>
                <w:sz w:val="24"/>
              </w:rPr>
              <w:t>LO811 具有运用一门外语阅读护理学文献和简单的会话能力。</w:t>
            </w:r>
          </w:p>
          <w:p>
            <w:pPr>
              <w:tabs>
                <w:tab w:val="left" w:pos="4200"/>
              </w:tabs>
              <w:adjustRightInd w:val="0"/>
              <w:snapToGrid w:val="0"/>
              <w:spacing w:line="264" w:lineRule="auto"/>
              <w:jc w:val="both"/>
              <w:outlineLvl w:val="1"/>
              <w:rPr>
                <w:kern w:val="0"/>
                <w:sz w:val="20"/>
                <w:szCs w:val="20"/>
              </w:rPr>
            </w:pPr>
            <w:r>
              <w:rPr>
                <w:rFonts w:ascii="楷体_GB2312" w:hAnsi="楷体" w:eastAsia="楷体_GB2312"/>
                <w:bCs/>
                <w:sz w:val="24"/>
              </w:rPr>
              <w:t>LO812 了解护理学科的发展动态及趋势。</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楷体_GB2312" w:hAnsi="楷体" w:eastAsia="楷体_GB2312"/>
                <w:bCs/>
                <w:sz w:val="24"/>
              </w:rPr>
              <w:t xml:space="preserve">L0212 </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通过实训课程，通过自主查阅国内外文献，了解相关方法的具体应用。</w:t>
            </w:r>
          </w:p>
        </w:tc>
        <w:tc>
          <w:tcPr>
            <w:tcW w:w="2199" w:type="dxa"/>
            <w:shd w:val="clear" w:color="auto" w:fill="auto"/>
          </w:tcPr>
          <w:p>
            <w:pPr>
              <w:snapToGrid w:val="0"/>
              <w:spacing w:line="288" w:lineRule="auto"/>
              <w:jc w:val="center"/>
              <w:rPr>
                <w:rFonts w:hint="default" w:ascii="黑体" w:hAnsi="宋体" w:eastAsia="黑体"/>
                <w:sz w:val="24"/>
                <w:lang w:val="en-US" w:eastAsia="zh-CN"/>
              </w:rPr>
            </w:pPr>
            <w:r>
              <w:rPr>
                <w:rFonts w:hint="eastAsia"/>
                <w:color w:val="000000"/>
                <w:sz w:val="20"/>
                <w:szCs w:val="20"/>
                <w:lang w:val="en-US" w:eastAsia="zh-CN"/>
              </w:rPr>
              <w:t>讲授和案例分析</w:t>
            </w:r>
          </w:p>
        </w:tc>
        <w:tc>
          <w:tcPr>
            <w:tcW w:w="1276"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测试</w:t>
            </w:r>
          </w:p>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实训报告</w:t>
            </w:r>
          </w:p>
          <w:p>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报告</w:t>
            </w:r>
          </w:p>
          <w:p>
            <w:pPr>
              <w:rPr>
                <w:rFonts w:hint="default"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rPr>
                <w:rFonts w:hint="eastAsia" w:eastAsia="宋体"/>
                <w:color w:val="000000"/>
                <w:sz w:val="20"/>
                <w:szCs w:val="20"/>
                <w:lang w:val="en-US" w:eastAsia="zh-CN"/>
              </w:rPr>
            </w:pPr>
            <w:r>
              <w:rPr>
                <w:rFonts w:hint="eastAsia"/>
                <w:color w:val="000000"/>
                <w:sz w:val="20"/>
                <w:szCs w:val="20"/>
                <w:lang w:val="en-US" w:eastAsia="zh-CN"/>
              </w:rPr>
              <w:t>2</w:t>
            </w:r>
          </w:p>
        </w:tc>
        <w:tc>
          <w:tcPr>
            <w:tcW w:w="1175" w:type="dxa"/>
            <w:shd w:val="clear" w:color="auto" w:fill="auto"/>
          </w:tcPr>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LO311</w:t>
            </w:r>
          </w:p>
          <w:p>
            <w:pPr>
              <w:snapToGrid w:val="0"/>
              <w:spacing w:line="288" w:lineRule="auto"/>
              <w:rPr>
                <w:rFonts w:hint="default" w:eastAsia="宋体"/>
                <w:color w:val="000000"/>
                <w:sz w:val="20"/>
                <w:szCs w:val="20"/>
                <w:lang w:val="en-US" w:eastAsia="zh-CN"/>
              </w:rPr>
            </w:pPr>
          </w:p>
        </w:tc>
        <w:tc>
          <w:tcPr>
            <w:tcW w:w="2470" w:type="dxa"/>
            <w:shd w:val="clear" w:color="auto" w:fill="auto"/>
          </w:tcPr>
          <w:p>
            <w:pPr>
              <w:snapToGrid w:val="0"/>
              <w:spacing w:line="288" w:lineRule="auto"/>
              <w:rPr>
                <w:rFonts w:hint="default"/>
                <w:color w:val="000000"/>
                <w:sz w:val="20"/>
                <w:szCs w:val="20"/>
                <w:lang w:val="en-US" w:eastAsia="zh-CN"/>
              </w:rPr>
            </w:pPr>
            <w:r>
              <w:rPr>
                <w:rFonts w:hint="eastAsia"/>
                <w:color w:val="000000"/>
                <w:sz w:val="20"/>
                <w:szCs w:val="20"/>
                <w:lang w:val="en-US" w:eastAsia="zh-CN"/>
              </w:rPr>
              <w:t>了解流行病学的相关方法，及在护理中的部分应用。</w:t>
            </w:r>
          </w:p>
        </w:tc>
        <w:tc>
          <w:tcPr>
            <w:tcW w:w="2199" w:type="dxa"/>
            <w:shd w:val="clear" w:color="auto" w:fill="auto"/>
          </w:tcPr>
          <w:p>
            <w:pPr>
              <w:snapToGrid w:val="0"/>
              <w:spacing w:line="288" w:lineRule="auto"/>
              <w:ind w:firstLine="200" w:firstLineChars="100"/>
              <w:rPr>
                <w:rFonts w:hint="default" w:eastAsia="宋体"/>
                <w:color w:val="000000"/>
                <w:sz w:val="20"/>
                <w:szCs w:val="20"/>
                <w:lang w:val="en-US" w:eastAsia="zh-CN"/>
              </w:rPr>
            </w:pPr>
            <w:r>
              <w:rPr>
                <w:rFonts w:hint="eastAsia"/>
                <w:color w:val="000000"/>
                <w:sz w:val="20"/>
                <w:szCs w:val="20"/>
                <w:lang w:val="en-US" w:eastAsia="zh-CN"/>
              </w:rPr>
              <w:t>讲授和案例分析</w:t>
            </w:r>
          </w:p>
        </w:tc>
        <w:tc>
          <w:tcPr>
            <w:tcW w:w="1276" w:type="dxa"/>
            <w:shd w:val="clear" w:color="auto" w:fill="auto"/>
          </w:tcPr>
          <w:p>
            <w:pPr>
              <w:rPr>
                <w:rFonts w:hint="eastAsia"/>
                <w:color w:val="000000"/>
                <w:sz w:val="20"/>
                <w:szCs w:val="20"/>
                <w:lang w:val="en-US" w:eastAsia="zh-CN"/>
              </w:rPr>
            </w:pPr>
            <w:r>
              <w:rPr>
                <w:rFonts w:hint="eastAsia"/>
                <w:color w:val="000000"/>
                <w:sz w:val="20"/>
                <w:szCs w:val="20"/>
                <w:lang w:val="en-US" w:eastAsia="zh-CN"/>
              </w:rPr>
              <w:t>测试</w:t>
            </w:r>
          </w:p>
          <w:p>
            <w:pPr>
              <w:rPr>
                <w:rFonts w:hint="default"/>
                <w:color w:val="000000"/>
                <w:sz w:val="20"/>
                <w:szCs w:val="20"/>
                <w:lang w:val="en-US" w:eastAsia="zh-CN"/>
              </w:rPr>
            </w:pPr>
            <w:r>
              <w:rPr>
                <w:rFonts w:hint="eastAsia"/>
                <w:color w:val="000000"/>
                <w:sz w:val="20"/>
                <w:szCs w:val="20"/>
                <w:lang w:val="en-US" w:eastAsia="zh-CN"/>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rPr>
                <w:rFonts w:hint="default"/>
                <w:color w:val="000000"/>
                <w:sz w:val="20"/>
                <w:szCs w:val="20"/>
                <w:lang w:val="en-US" w:eastAsia="zh-CN"/>
              </w:rPr>
            </w:pPr>
            <w:r>
              <w:rPr>
                <w:rFonts w:hint="eastAsia"/>
                <w:color w:val="000000"/>
                <w:sz w:val="20"/>
                <w:szCs w:val="20"/>
                <w:lang w:val="en-US" w:eastAsia="zh-CN"/>
              </w:rPr>
              <w:t>3</w:t>
            </w:r>
          </w:p>
        </w:tc>
        <w:tc>
          <w:tcPr>
            <w:tcW w:w="1175" w:type="dxa"/>
            <w:shd w:val="clear" w:color="auto" w:fill="auto"/>
          </w:tcPr>
          <w:p>
            <w:pPr>
              <w:snapToGrid w:val="0"/>
              <w:spacing w:line="288" w:lineRule="auto"/>
              <w:rPr>
                <w:rFonts w:hint="default" w:eastAsia="宋体"/>
                <w:color w:val="000000"/>
                <w:sz w:val="20"/>
                <w:szCs w:val="20"/>
                <w:lang w:val="en-US" w:eastAsia="zh-CN"/>
              </w:rPr>
            </w:pPr>
            <w:r>
              <w:rPr>
                <w:rFonts w:hint="eastAsia" w:ascii="楷体_GB2312" w:hAnsi="楷体" w:eastAsia="楷体_GB2312"/>
                <w:bCs/>
                <w:sz w:val="24"/>
              </w:rPr>
              <w:t xml:space="preserve">L0514 </w:t>
            </w:r>
          </w:p>
        </w:tc>
        <w:tc>
          <w:tcPr>
            <w:tcW w:w="2470" w:type="dxa"/>
            <w:shd w:val="clear" w:color="auto" w:fill="auto"/>
          </w:tcPr>
          <w:p>
            <w:pPr>
              <w:snapToGrid w:val="0"/>
              <w:spacing w:line="288" w:lineRule="auto"/>
              <w:rPr>
                <w:rFonts w:hint="default"/>
                <w:color w:val="000000"/>
                <w:sz w:val="20"/>
                <w:szCs w:val="20"/>
                <w:lang w:val="en-US" w:eastAsia="zh-CN"/>
              </w:rPr>
            </w:pPr>
            <w:r>
              <w:rPr>
                <w:rFonts w:hint="eastAsia"/>
                <w:color w:val="000000"/>
                <w:sz w:val="20"/>
                <w:szCs w:val="20"/>
                <w:lang w:val="en-US" w:eastAsia="zh-CN"/>
              </w:rPr>
              <w:t>通过学习，对事物具有评判性思维，在临床决策中，具有科学思维。</w:t>
            </w:r>
          </w:p>
        </w:tc>
        <w:tc>
          <w:tcPr>
            <w:tcW w:w="2199" w:type="dxa"/>
            <w:shd w:val="clear" w:color="auto" w:fill="auto"/>
          </w:tcPr>
          <w:p>
            <w:pPr>
              <w:snapToGrid w:val="0"/>
              <w:spacing w:line="288" w:lineRule="auto"/>
              <w:ind w:firstLine="200" w:firstLineChars="100"/>
              <w:rPr>
                <w:rFonts w:hint="default"/>
                <w:color w:val="000000"/>
                <w:sz w:val="20"/>
                <w:szCs w:val="20"/>
                <w:lang w:val="en-US" w:eastAsia="zh-CN"/>
              </w:rPr>
            </w:pPr>
            <w:r>
              <w:rPr>
                <w:rFonts w:hint="eastAsia"/>
                <w:color w:val="000000"/>
                <w:sz w:val="20"/>
                <w:szCs w:val="20"/>
                <w:lang w:val="en-US" w:eastAsia="zh-CN"/>
              </w:rPr>
              <w:t>讲授</w:t>
            </w:r>
          </w:p>
        </w:tc>
        <w:tc>
          <w:tcPr>
            <w:tcW w:w="1276" w:type="dxa"/>
            <w:shd w:val="clear" w:color="auto" w:fill="auto"/>
          </w:tcPr>
          <w:p>
            <w:pPr>
              <w:rPr>
                <w:rFonts w:hint="eastAsia"/>
                <w:color w:val="000000"/>
                <w:sz w:val="20"/>
                <w:szCs w:val="20"/>
                <w:lang w:val="en-US" w:eastAsia="zh-CN"/>
              </w:rPr>
            </w:pPr>
            <w:r>
              <w:rPr>
                <w:rFonts w:hint="eastAsia"/>
                <w:color w:val="000000"/>
                <w:sz w:val="20"/>
                <w:szCs w:val="20"/>
                <w:lang w:val="en-US" w:eastAsia="zh-CN"/>
              </w:rPr>
              <w:t>测试</w:t>
            </w:r>
          </w:p>
          <w:p>
            <w:pPr>
              <w:rPr>
                <w:rFonts w:hint="default"/>
                <w:color w:val="000000"/>
                <w:sz w:val="20"/>
                <w:szCs w:val="20"/>
                <w:lang w:val="en-US" w:eastAsia="zh-CN"/>
              </w:rPr>
            </w:pPr>
            <w:r>
              <w:rPr>
                <w:rFonts w:hint="eastAsia"/>
                <w:color w:val="000000"/>
                <w:sz w:val="20"/>
                <w:szCs w:val="20"/>
                <w:lang w:val="en-US" w:eastAsia="zh-CN"/>
              </w:rPr>
              <w:t>作业</w:t>
            </w:r>
          </w:p>
        </w:tc>
      </w:tr>
    </w:tbl>
    <w:p>
      <w:pPr>
        <w:snapToGrid w:val="0"/>
        <w:spacing w:line="288" w:lineRule="auto"/>
        <w:ind w:firstLine="400" w:firstLineChars="200"/>
        <w:rPr>
          <w:color w:val="000000"/>
          <w:sz w:val="20"/>
          <w:szCs w:val="20"/>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bookmarkStart w:id="1" w:name="_GoBack"/>
      <w:bookmarkEnd w:id="1"/>
      <w:r>
        <w:rPr>
          <w:rFonts w:hint="eastAsia" w:ascii="黑体" w:hAnsi="宋体" w:eastAsia="黑体"/>
          <w:sz w:val="24"/>
          <w:highlight w:val="none"/>
        </w:rPr>
        <w:t>六、</w:t>
      </w:r>
      <w:r>
        <w:rPr>
          <w:rFonts w:ascii="黑体" w:hAnsi="宋体" w:eastAsia="黑体"/>
          <w:sz w:val="24"/>
          <w:highlight w:val="none"/>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left"/>
              <w:rPr>
                <w:rFonts w:hint="eastAsia"/>
                <w:b/>
                <w:bCs/>
                <w:szCs w:val="18"/>
              </w:rPr>
            </w:pPr>
            <w:r>
              <w:rPr>
                <w:rFonts w:hint="eastAsia"/>
                <w:b/>
                <w:bCs/>
                <w:szCs w:val="18"/>
              </w:rPr>
              <w:t>知识目标</w:t>
            </w:r>
          </w:p>
        </w:tc>
        <w:tc>
          <w:tcPr>
            <w:tcW w:w="1984" w:type="dxa"/>
            <w:vAlign w:val="center"/>
          </w:tcPr>
          <w:p>
            <w:pPr>
              <w:snapToGrid w:val="0"/>
              <w:spacing w:line="288" w:lineRule="auto"/>
              <w:jc w:val="left"/>
              <w:rPr>
                <w:rFonts w:hint="eastAsia"/>
                <w:b/>
                <w:bCs/>
                <w:szCs w:val="18"/>
              </w:rPr>
            </w:pPr>
            <w:r>
              <w:rPr>
                <w:rFonts w:hint="eastAsia"/>
                <w:b/>
                <w:bCs/>
                <w:szCs w:val="18"/>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15" w:type="dxa"/>
            <w:vAlign w:val="center"/>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绪论</w:t>
            </w:r>
          </w:p>
        </w:tc>
        <w:tc>
          <w:tcPr>
            <w:tcW w:w="2127"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掌握：流行病学的定义及研究方法</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熟悉：流行病学特征及应用</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了解：流行病学发展简史，了解与其它学科的关系及发展前景</w:t>
            </w:r>
          </w:p>
          <w:p>
            <w:pPr>
              <w:snapToGrid w:val="0"/>
              <w:spacing w:line="288" w:lineRule="auto"/>
              <w:jc w:val="left"/>
              <w:rPr>
                <w:rFonts w:hint="eastAsia" w:ascii="宋体" w:hAnsi="宋体" w:eastAsia="宋体" w:cs="宋体"/>
                <w:sz w:val="21"/>
                <w:szCs w:val="21"/>
              </w:rPr>
            </w:pPr>
          </w:p>
        </w:tc>
        <w:tc>
          <w:tcPr>
            <w:tcW w:w="1984" w:type="dxa"/>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了解流行病学定义</w:t>
            </w:r>
          </w:p>
        </w:tc>
        <w:tc>
          <w:tcPr>
            <w:tcW w:w="1276"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帮助学生树立全面的疾病防制观，树立辩证唯物主义的世界观和方法论；</w:t>
            </w:r>
          </w:p>
          <w:p>
            <w:pPr>
              <w:snapToGrid w:val="0"/>
              <w:spacing w:line="288" w:lineRule="auto"/>
              <w:jc w:val="left"/>
              <w:rPr>
                <w:rFonts w:hint="eastAsia" w:ascii="宋体" w:hAnsi="宋体" w:eastAsia="宋体" w:cs="宋体"/>
                <w:b/>
                <w:color w:val="000000"/>
                <w:sz w:val="21"/>
                <w:szCs w:val="21"/>
              </w:rPr>
            </w:pPr>
          </w:p>
        </w:tc>
        <w:tc>
          <w:tcPr>
            <w:tcW w:w="1173" w:type="dxa"/>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重点：</w:t>
            </w:r>
            <w:r>
              <w:rPr>
                <w:rFonts w:hint="eastAsia" w:ascii="宋体" w:hAnsi="宋体" w:eastAsia="宋体" w:cs="宋体"/>
                <w:color w:val="000000"/>
                <w:sz w:val="21"/>
                <w:szCs w:val="21"/>
                <w:lang w:eastAsia="zh-CN"/>
              </w:rPr>
              <w:t>流行病学定义及研究方法</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难点：</w:t>
            </w:r>
            <w:r>
              <w:rPr>
                <w:rFonts w:hint="eastAsia" w:ascii="宋体" w:hAnsi="宋体" w:eastAsia="宋体" w:cs="宋体"/>
                <w:color w:val="000000"/>
                <w:sz w:val="21"/>
                <w:szCs w:val="21"/>
                <w:lang w:eastAsia="zh-CN"/>
              </w:rPr>
              <w:t>流行病学研究方法</w:t>
            </w:r>
          </w:p>
        </w:tc>
        <w:tc>
          <w:tcPr>
            <w:tcW w:w="709"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09"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527"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15" w:type="dxa"/>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疾病的分布</w:t>
            </w:r>
          </w:p>
        </w:tc>
        <w:tc>
          <w:tcPr>
            <w:tcW w:w="2127"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掌握：疾病发病频率、患病频率、死亡频率的测量指标，疾病流行强度的术语，移民流行病学</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熟悉：疾病的三间分布</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了解：残疾失能的测量指标</w:t>
            </w:r>
          </w:p>
          <w:p>
            <w:pPr>
              <w:rPr>
                <w:rFonts w:hint="eastAsia" w:ascii="宋体" w:hAnsi="宋体" w:eastAsia="宋体" w:cs="宋体"/>
                <w:color w:val="000000"/>
                <w:sz w:val="21"/>
                <w:szCs w:val="21"/>
              </w:rPr>
            </w:pPr>
          </w:p>
        </w:tc>
        <w:tc>
          <w:tcPr>
            <w:tcW w:w="1984" w:type="dxa"/>
          </w:tcPr>
          <w:p>
            <w:pPr>
              <w:rPr>
                <w:rFonts w:hint="eastAsia" w:ascii="宋体" w:hAnsi="宋体" w:eastAsia="宋体" w:cs="宋体"/>
                <w:color w:val="000000"/>
                <w:sz w:val="21"/>
                <w:szCs w:val="21"/>
                <w:lang w:eastAsia="zh-CN"/>
              </w:rPr>
            </w:pPr>
            <w:r>
              <w:rPr>
                <w:rFonts w:hint="eastAsia" w:ascii="宋体" w:hAnsi="宋体" w:eastAsia="宋体" w:cs="宋体"/>
                <w:sz w:val="21"/>
                <w:szCs w:val="21"/>
              </w:rPr>
              <w:t>能够</w:t>
            </w:r>
            <w:r>
              <w:rPr>
                <w:rFonts w:hint="eastAsia" w:ascii="宋体" w:hAnsi="宋体" w:eastAsia="宋体" w:cs="宋体"/>
                <w:sz w:val="21"/>
                <w:szCs w:val="21"/>
                <w:lang w:eastAsia="zh-CN"/>
              </w:rPr>
              <w:t>计算</w:t>
            </w:r>
            <w:r>
              <w:rPr>
                <w:rFonts w:hint="eastAsia" w:ascii="宋体" w:hAnsi="宋体" w:eastAsia="宋体" w:cs="宋体"/>
                <w:sz w:val="21"/>
                <w:szCs w:val="21"/>
              </w:rPr>
              <w:t>患病频率、死亡频率的测量指标</w:t>
            </w:r>
            <w:r>
              <w:rPr>
                <w:rFonts w:hint="eastAsia" w:ascii="宋体" w:hAnsi="宋体" w:eastAsia="宋体" w:cs="宋体"/>
                <w:sz w:val="21"/>
                <w:szCs w:val="21"/>
                <w:lang w:eastAsia="zh-CN"/>
              </w:rPr>
              <w:t>。</w:t>
            </w:r>
          </w:p>
        </w:tc>
        <w:tc>
          <w:tcPr>
            <w:tcW w:w="1276" w:type="dxa"/>
          </w:tcPr>
          <w:p>
            <w:pPr>
              <w:rPr>
                <w:rFonts w:hint="eastAsia" w:ascii="宋体" w:hAnsi="宋体" w:eastAsia="宋体" w:cs="宋体"/>
                <w:sz w:val="21"/>
                <w:szCs w:val="21"/>
              </w:rPr>
            </w:pPr>
            <w:r>
              <w:rPr>
                <w:rFonts w:hint="eastAsia" w:ascii="宋体" w:hAnsi="宋体" w:eastAsia="宋体" w:cs="宋体"/>
                <w:sz w:val="21"/>
                <w:szCs w:val="21"/>
              </w:rPr>
              <w:t>教育学生任何医学研究都离不开科学严谨的态度</w:t>
            </w:r>
          </w:p>
          <w:p>
            <w:pPr>
              <w:rPr>
                <w:rFonts w:hint="eastAsia" w:ascii="宋体" w:hAnsi="宋体" w:eastAsia="宋体" w:cs="宋体"/>
                <w:color w:val="000000"/>
                <w:sz w:val="21"/>
                <w:szCs w:val="21"/>
              </w:rPr>
            </w:pPr>
          </w:p>
        </w:tc>
        <w:tc>
          <w:tcPr>
            <w:tcW w:w="1173"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color w:val="000000"/>
                <w:sz w:val="21"/>
                <w:szCs w:val="21"/>
              </w:rPr>
              <w:t>重点：</w:t>
            </w:r>
            <w:r>
              <w:rPr>
                <w:rFonts w:hint="eastAsia" w:ascii="宋体" w:hAnsi="宋体" w:eastAsia="宋体" w:cs="宋体"/>
                <w:sz w:val="21"/>
                <w:szCs w:val="21"/>
              </w:rPr>
              <w:t>疾病发病频率、患病频率、死亡频率的测量指标，疾病流行强度的术语，移民流行病学</w:t>
            </w:r>
          </w:p>
          <w:p>
            <w:pPr>
              <w:rPr>
                <w:rFonts w:hint="eastAsia" w:ascii="宋体" w:hAnsi="宋体" w:eastAsia="宋体" w:cs="宋体"/>
                <w:color w:val="000000"/>
                <w:sz w:val="21"/>
                <w:szCs w:val="21"/>
              </w:rPr>
            </w:pPr>
            <w:r>
              <w:rPr>
                <w:rFonts w:hint="eastAsia" w:ascii="宋体" w:hAnsi="宋体" w:eastAsia="宋体" w:cs="宋体"/>
                <w:color w:val="000000"/>
                <w:sz w:val="21"/>
                <w:szCs w:val="21"/>
              </w:rPr>
              <w:t>难点：</w:t>
            </w:r>
            <w:r>
              <w:rPr>
                <w:rFonts w:hint="eastAsia" w:ascii="宋体" w:hAnsi="宋体" w:eastAsia="宋体" w:cs="宋体"/>
                <w:color w:val="000000"/>
                <w:sz w:val="21"/>
                <w:szCs w:val="21"/>
                <w:lang w:eastAsia="zh-CN"/>
              </w:rPr>
              <w:t>不同率的定义及计算</w:t>
            </w:r>
            <w:r>
              <w:rPr>
                <w:rFonts w:hint="eastAsia" w:ascii="宋体" w:hAnsi="宋体" w:eastAsia="宋体" w:cs="宋体"/>
                <w:color w:val="000000"/>
                <w:sz w:val="21"/>
                <w:szCs w:val="21"/>
              </w:rPr>
              <w:t xml:space="preserve"> </w:t>
            </w:r>
          </w:p>
        </w:tc>
        <w:tc>
          <w:tcPr>
            <w:tcW w:w="709"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09"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27" w:type="dxa"/>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515" w:type="dxa"/>
            <w:vAlign w:val="center"/>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描述性研究</w:t>
            </w:r>
          </w:p>
        </w:tc>
        <w:tc>
          <w:tcPr>
            <w:tcW w:w="2127" w:type="dxa"/>
            <w:vAlign w:val="top"/>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掌握：描述性研究的概念、特点，现况研究的概念、分类 </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熟悉：描述性研究的用途；病例报告和病例系列报告、生态学研究的概念、用途、优点与局限性；现况研究的设计思路、常见的偏倚及其控制 </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了解：生态学研究的设计类型</w:t>
            </w:r>
          </w:p>
          <w:p>
            <w:pPr>
              <w:rPr>
                <w:rFonts w:hint="eastAsia" w:ascii="宋体" w:hAnsi="宋体" w:eastAsia="宋体" w:cs="宋体"/>
                <w:color w:val="000000"/>
                <w:kern w:val="2"/>
                <w:sz w:val="21"/>
                <w:szCs w:val="21"/>
                <w:lang w:val="en-US" w:eastAsia="zh-CN" w:bidi="ar-SA"/>
              </w:rPr>
            </w:pPr>
          </w:p>
        </w:tc>
        <w:tc>
          <w:tcPr>
            <w:tcW w:w="1984"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能够运用描述性研究的概念和特点独立设计现况研究</w:t>
            </w:r>
          </w:p>
        </w:tc>
        <w:tc>
          <w:tcPr>
            <w:tcW w:w="1276"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重点：现况研究的概念、特点和种类；</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难点：普查的优缺点；抽样调查的优缺点；</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c>
          <w:tcPr>
            <w:tcW w:w="527"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515" w:type="dxa"/>
            <w:vAlign w:val="center"/>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队列研究</w:t>
            </w:r>
          </w:p>
        </w:tc>
        <w:tc>
          <w:tcPr>
            <w:tcW w:w="2127"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掌握：队列与队列研究的定义、基本原理与目的</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熟悉：研究的类型</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了解：不同研究的选用原则</w:t>
            </w: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能根据研究目的设计队列研究</w:t>
            </w:r>
          </w:p>
        </w:tc>
        <w:tc>
          <w:tcPr>
            <w:tcW w:w="1276"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树立坚持真理、实事求是、一丝不苟、敢说真话的科学态度和价值观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rPr>
              <w:t>重点：</w:t>
            </w:r>
            <w:r>
              <w:rPr>
                <w:rFonts w:hint="eastAsia" w:ascii="宋体" w:hAnsi="宋体" w:eastAsia="宋体" w:cs="宋体"/>
                <w:kern w:val="2"/>
                <w:sz w:val="21"/>
                <w:szCs w:val="21"/>
                <w:lang w:eastAsia="zh-CN"/>
              </w:rPr>
              <w:t>队列与队列研究的定义、基本原理与目的</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难点：前瞻性队列研究、历史性队列研究、双向性队列研究定义</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527"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515" w:type="dxa"/>
            <w:vAlign w:val="center"/>
          </w:tcPr>
          <w:p>
            <w:pPr>
              <w:snapToGrid w:val="0"/>
              <w:spacing w:line="288"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病例对照研究</w:t>
            </w:r>
          </w:p>
        </w:tc>
        <w:tc>
          <w:tcPr>
            <w:tcW w:w="2127"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掌握：病例对照研究的概念、基本原理、特点、用途；非匹配及匹配病例对照研究资料分析；病例对照研究的优点与局限性</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熟悉：病例对照研究的设计思路；分层分析、分级分级及多因素分析 </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了解：病例对照研究的偏倚及控制</w:t>
            </w: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能够根据研究母的设计病例对照研究</w:t>
            </w:r>
          </w:p>
        </w:tc>
        <w:tc>
          <w:tcPr>
            <w:tcW w:w="1276"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重点：掌握病例对照研究的概念和研究特点</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难点：病例对照研究的基本原理</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527"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515" w:type="dxa"/>
            <w:vAlign w:val="center"/>
          </w:tcPr>
          <w:p>
            <w:pPr>
              <w:snapToGrid w:val="0"/>
              <w:spacing w:line="288"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实验流行病学</w:t>
            </w:r>
          </w:p>
        </w:tc>
        <w:tc>
          <w:tcPr>
            <w:tcW w:w="2127" w:type="dxa"/>
            <w:vAlign w:val="top"/>
          </w:tcPr>
          <w:p>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掌握：流行病学实验研究的概念、特征及主要类型；流行病学实验研究的设计原则</w:t>
            </w:r>
          </w:p>
          <w:p>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熟悉：流行病学实验研究的设计与实施；资料的分析</w:t>
            </w:r>
          </w:p>
          <w:p>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了解：流行病学实验研究中的伦理学问题</w:t>
            </w:r>
          </w:p>
          <w:p>
            <w:pPr>
              <w:pStyle w:val="4"/>
              <w:rPr>
                <w:rFonts w:hint="eastAsia" w:ascii="宋体" w:hAnsi="宋体" w:eastAsia="宋体" w:cs="宋体"/>
                <w:color w:val="000000"/>
                <w:kern w:val="2"/>
                <w:sz w:val="21"/>
                <w:szCs w:val="21"/>
                <w:lang w:val="en-US" w:eastAsia="zh-CN" w:bidi="ar-SA"/>
              </w:rPr>
            </w:pP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能够</w:t>
            </w:r>
            <w:r>
              <w:rPr>
                <w:rFonts w:hint="eastAsia" w:ascii="宋体" w:hAnsi="宋体" w:eastAsia="宋体" w:cs="宋体"/>
                <w:kern w:val="2"/>
                <w:sz w:val="21"/>
                <w:szCs w:val="21"/>
                <w:lang w:eastAsia="zh-CN"/>
              </w:rPr>
              <w:t>掌握和运用试验流行病学研究</w:t>
            </w:r>
          </w:p>
        </w:tc>
        <w:tc>
          <w:tcPr>
            <w:tcW w:w="1276"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rPr>
              <w:t>重点：</w:t>
            </w:r>
            <w:r>
              <w:rPr>
                <w:rFonts w:hint="eastAsia" w:ascii="宋体" w:hAnsi="宋体" w:eastAsia="宋体" w:cs="宋体"/>
                <w:kern w:val="2"/>
                <w:sz w:val="21"/>
                <w:szCs w:val="21"/>
                <w:lang w:eastAsia="zh-CN"/>
              </w:rPr>
              <w:t>流行病学试验研究的概念、特征和类型</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难点：</w:t>
            </w:r>
            <w:r>
              <w:rPr>
                <w:rFonts w:hint="eastAsia" w:ascii="宋体" w:hAnsi="宋体" w:eastAsia="宋体" w:cs="宋体"/>
                <w:kern w:val="2"/>
                <w:sz w:val="21"/>
                <w:szCs w:val="21"/>
                <w:lang w:eastAsia="zh-CN"/>
              </w:rPr>
              <w:t>流行病学实验研究的设计原则</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527"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515" w:type="dxa"/>
            <w:vAlign w:val="center"/>
          </w:tcPr>
          <w:p>
            <w:pPr>
              <w:snapToGrid w:val="0"/>
              <w:spacing w:line="288"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筛检</w:t>
            </w:r>
          </w:p>
        </w:tc>
        <w:tc>
          <w:tcPr>
            <w:tcW w:w="2127"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掌握：筛检的定义，筛检实验和诊断实验的区别，筛检的特征</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熟悉：筛检的原理与流程、分类、目的和实施原则</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了解：筛检的意义和伦理学问题</w:t>
            </w: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能够理解和区分筛检实验和诊断实验</w:t>
            </w:r>
          </w:p>
        </w:tc>
        <w:tc>
          <w:tcPr>
            <w:tcW w:w="1276"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树立坚持真理、实事求是、一丝不苟、敢说真话的科学态度和价值观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rPr>
              <w:t>重点：</w:t>
            </w:r>
            <w:r>
              <w:rPr>
                <w:rFonts w:hint="eastAsia" w:ascii="宋体" w:hAnsi="宋体" w:eastAsia="宋体" w:cs="宋体"/>
                <w:kern w:val="2"/>
                <w:sz w:val="21"/>
                <w:szCs w:val="21"/>
                <w:lang w:eastAsia="zh-CN"/>
              </w:rPr>
              <w:t>筛检的定义，筛检实验和诊断实验的区别，筛检的特征</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难点：</w:t>
            </w:r>
            <w:r>
              <w:rPr>
                <w:rFonts w:hint="eastAsia" w:ascii="宋体" w:hAnsi="宋体" w:eastAsia="宋体" w:cs="宋体"/>
                <w:kern w:val="2"/>
                <w:sz w:val="21"/>
                <w:szCs w:val="21"/>
                <w:lang w:eastAsia="zh-CN"/>
              </w:rPr>
              <w:t>筛检试验和诊断实验的区别；筛检实验实施原则</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w:t>
            </w:r>
          </w:p>
        </w:tc>
        <w:tc>
          <w:tcPr>
            <w:tcW w:w="527"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515" w:type="dxa"/>
            <w:vAlign w:val="center"/>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病因及其发现和推断</w:t>
            </w:r>
          </w:p>
        </w:tc>
        <w:tc>
          <w:tcPr>
            <w:tcW w:w="2127" w:type="dxa"/>
            <w:vAlign w:val="top"/>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掌握：病因的定义</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熟悉：常见的病因模型了解：病因和必要病因</w:t>
            </w:r>
          </w:p>
          <w:p>
            <w:pPr>
              <w:numPr>
                <w:ilvl w:val="0"/>
                <w:numId w:val="0"/>
              </w:numPr>
              <w:ind w:left="0" w:leftChars="0" w:firstLine="0" w:firstLineChars="0"/>
              <w:rPr>
                <w:rFonts w:hint="eastAsia" w:ascii="宋体" w:hAnsi="宋体" w:eastAsia="宋体" w:cs="宋体"/>
                <w:color w:val="000000"/>
                <w:kern w:val="2"/>
                <w:sz w:val="21"/>
                <w:szCs w:val="21"/>
                <w:lang w:val="en-US" w:eastAsia="zh-CN" w:bidi="ar-SA"/>
              </w:rPr>
            </w:pPr>
          </w:p>
        </w:tc>
        <w:tc>
          <w:tcPr>
            <w:tcW w:w="1984"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能够运用病因模型进行病因推断</w:t>
            </w:r>
          </w:p>
        </w:tc>
        <w:tc>
          <w:tcPr>
            <w:tcW w:w="1276" w:type="dxa"/>
            <w:vAlign w:val="top"/>
          </w:tcPr>
          <w:p>
            <w:pPr>
              <w:rPr>
                <w:rFonts w:hint="eastAsia" w:ascii="宋体" w:hAnsi="宋体" w:eastAsia="宋体" w:cs="宋体"/>
                <w:b/>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重点：病因的定义；</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难点：病因模型</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0</w:t>
            </w:r>
          </w:p>
        </w:tc>
        <w:tc>
          <w:tcPr>
            <w:tcW w:w="527"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预防策略</w:t>
            </w:r>
          </w:p>
        </w:tc>
        <w:tc>
          <w:tcPr>
            <w:tcW w:w="2127"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掌握我国卫生工作方针</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熟悉策略制定的三个步骤；农村卫生工作指导思想</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了解制定策略的必要性；在宏观水平制定预防控制的策略</w:t>
            </w: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掌握我国公共卫生工作方针</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spacing w:before="0" w:beforeAutospacing="0" w:after="0" w:afterAutospacing="0" w:line="240" w:lineRule="auto"/>
              <w:jc w:val="both"/>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重点：策略制定的三个步骤；窝工卫生工作方针；农村卫生工作指导思想</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难点：在宏观水平制定预防控制的策略</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公共卫生监测</w:t>
            </w:r>
          </w:p>
        </w:tc>
        <w:tc>
          <w:tcPr>
            <w:tcW w:w="2127"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掌握：公共卫生监测的概念及种类</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熟悉：公共卫生监测的程序</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了解：我国公共卫生监测的状况</w:t>
            </w:r>
          </w:p>
          <w:p>
            <w:pPr>
              <w:pStyle w:val="4"/>
              <w:rPr>
                <w:rFonts w:hint="eastAsia" w:ascii="宋体" w:hAnsi="宋体" w:eastAsia="宋体" w:cs="宋体"/>
                <w:kern w:val="2"/>
                <w:sz w:val="21"/>
                <w:szCs w:val="21"/>
              </w:rPr>
            </w:pP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能够区分公共卫生监测的种类</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重点：公共卫生监测的概念及种类</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难点：公共卫生的种类</w:t>
            </w:r>
          </w:p>
        </w:tc>
        <w:tc>
          <w:tcPr>
            <w:tcW w:w="709" w:type="dxa"/>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传染病流行病学</w:t>
            </w:r>
          </w:p>
        </w:tc>
        <w:tc>
          <w:tcPr>
            <w:tcW w:w="2127"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掌握：传染过程、流行过程的概念、流行过程的三个环节两个因素、免疫规划的概念、疫源地的概念</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熟悉：我国免疫规划的内容</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了解：传染病流行概况；预防接种的种类、免疫规划效果评价</w:t>
            </w:r>
          </w:p>
          <w:p>
            <w:pPr>
              <w:pStyle w:val="4"/>
              <w:rPr>
                <w:rFonts w:hint="eastAsia" w:ascii="宋体" w:hAnsi="宋体" w:eastAsia="宋体" w:cs="宋体"/>
                <w:kern w:val="2"/>
                <w:sz w:val="21"/>
                <w:szCs w:val="21"/>
              </w:rPr>
            </w:pP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能够理解和运用流行病的传染过程及流行特征</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重点：流行病的传染过程和免疫规划的概念</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难点：流行过程的三个环节两个因素</w:t>
            </w:r>
          </w:p>
        </w:tc>
        <w:tc>
          <w:tcPr>
            <w:tcW w:w="709" w:type="dxa"/>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慢性病流行病学</w:t>
            </w:r>
          </w:p>
        </w:tc>
        <w:tc>
          <w:tcPr>
            <w:tcW w:w="2127"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掌握：慢性病的概念、疾病负担和主要危险因素</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熟悉：我国主要慢性病</w:t>
            </w:r>
          </w:p>
          <w:p>
            <w:pPr>
              <w:pStyle w:val="4"/>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了解：慢性病的预防策略</w:t>
            </w: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能够区分常见慢性病</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重点：慢性病的疾病负担和危险因素</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难点：慢性病的危险因素</w:t>
            </w:r>
          </w:p>
        </w:tc>
        <w:tc>
          <w:tcPr>
            <w:tcW w:w="709" w:type="dxa"/>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bl>
    <w:p>
      <w:pPr>
        <w:snapToGrid w:val="0"/>
        <w:spacing w:line="288" w:lineRule="auto"/>
        <w:rPr>
          <w:rFonts w:hint="eastAsia" w:ascii="宋体" w:hAnsi="宋体" w:eastAsia="宋体" w:cs="宋体"/>
          <w:b/>
          <w:bCs/>
          <w:sz w:val="21"/>
          <w:szCs w:val="21"/>
          <w:lang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1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639"/>
        <w:gridCol w:w="3278"/>
        <w:gridCol w:w="910"/>
        <w:gridCol w:w="1069"/>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3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描述性研究</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描述性研究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综合型</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队列研究</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队列研究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综合性</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3</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病例对照研究</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病例对照研究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lang w:eastAsia="zh-CN"/>
              </w:rPr>
              <w:t>综合性</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实验流行病学</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实验流行病学</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lang w:eastAsia="zh-CN"/>
              </w:rPr>
              <w:t>综合性</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期末考试</w:t>
            </w:r>
          </w:p>
        </w:tc>
        <w:tc>
          <w:tcPr>
            <w:tcW w:w="184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实训报告</w:t>
            </w:r>
          </w:p>
        </w:tc>
        <w:tc>
          <w:tcPr>
            <w:tcW w:w="1843" w:type="dxa"/>
            <w:shd w:val="clear" w:color="auto" w:fill="auto"/>
            <w:vAlign w:val="top"/>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个人汇报</w:t>
            </w:r>
          </w:p>
        </w:tc>
        <w:tc>
          <w:tcPr>
            <w:tcW w:w="184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课后作业</w:t>
            </w:r>
          </w:p>
        </w:tc>
        <w:tc>
          <w:tcPr>
            <w:tcW w:w="184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10%</w:t>
            </w: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、评价方式与成绩</w:t>
      </w: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  </w:t>
      </w:r>
      <w:r>
        <w:rPr>
          <w:rFonts w:hint="eastAsia"/>
          <w:sz w:val="28"/>
          <w:szCs w:val="28"/>
          <w:lang w:val="en-US" w:eastAsia="zh-CN"/>
        </w:rPr>
        <w:drawing>
          <wp:inline distT="0" distB="0" distL="114300" distR="114300">
            <wp:extent cx="673100" cy="361950"/>
            <wp:effectExtent l="0" t="0" r="0" b="6350"/>
            <wp:docPr id="1" name="图片 1" descr="bec1da65b9a675311b65cb0c66b3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c1da65b9a675311b65cb0c66b3a06"/>
                    <pic:cNvPicPr>
                      <a:picLocks noChangeAspect="1"/>
                    </pic:cNvPicPr>
                  </pic:nvPicPr>
                  <pic:blipFill>
                    <a:blip r:embed="rId4"/>
                    <a:stretch>
                      <a:fillRect/>
                    </a:stretch>
                  </pic:blipFill>
                  <pic:spPr>
                    <a:xfrm>
                      <a:off x="0" y="0"/>
                      <a:ext cx="673100" cy="361950"/>
                    </a:xfrm>
                    <a:prstGeom prst="rect">
                      <a:avLst/>
                    </a:prstGeom>
                  </pic:spPr>
                </pic:pic>
              </a:graphicData>
            </a:graphic>
          </wp:inline>
        </w:drawing>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hMDA4ZmM1YTZiZDM5NTE3NTM2MzdkYTRhOTkxODk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0662E0"/>
    <w:rsid w:val="016E63C2"/>
    <w:rsid w:val="024B0C39"/>
    <w:rsid w:val="05113C61"/>
    <w:rsid w:val="083623F6"/>
    <w:rsid w:val="0A8128A6"/>
    <w:rsid w:val="0BF32A1B"/>
    <w:rsid w:val="10BD2C22"/>
    <w:rsid w:val="116A4DD1"/>
    <w:rsid w:val="19657D9C"/>
    <w:rsid w:val="22987C80"/>
    <w:rsid w:val="24192CCC"/>
    <w:rsid w:val="37483196"/>
    <w:rsid w:val="39A66CD4"/>
    <w:rsid w:val="3CD52CE1"/>
    <w:rsid w:val="410F2E6A"/>
    <w:rsid w:val="4430136C"/>
    <w:rsid w:val="45202BCA"/>
    <w:rsid w:val="460D7404"/>
    <w:rsid w:val="4AB0382B"/>
    <w:rsid w:val="569868B5"/>
    <w:rsid w:val="58A74BE0"/>
    <w:rsid w:val="5AE900E2"/>
    <w:rsid w:val="5BDF2092"/>
    <w:rsid w:val="611F6817"/>
    <w:rsid w:val="61FF6ABF"/>
    <w:rsid w:val="66CA1754"/>
    <w:rsid w:val="67AC135D"/>
    <w:rsid w:val="69DE2CA8"/>
    <w:rsid w:val="6EF77108"/>
    <w:rsid w:val="6F1E65D4"/>
    <w:rsid w:val="6F266C86"/>
    <w:rsid w:val="6F5042C2"/>
    <w:rsid w:val="74316312"/>
    <w:rsid w:val="780F13C8"/>
    <w:rsid w:val="7A851D42"/>
    <w:rsid w:val="7AEB068C"/>
    <w:rsid w:val="7C385448"/>
    <w:rsid w:val="7C802A1E"/>
    <w:rsid w:val="7CB3663D"/>
    <w:rsid w:val="7D367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4430</Words>
  <Characters>4658</Characters>
  <Lines>13</Lines>
  <Paragraphs>3</Paragraphs>
  <TotalTime>6</TotalTime>
  <ScaleCrop>false</ScaleCrop>
  <LinksUpToDate>false</LinksUpToDate>
  <CharactersWithSpaces>4735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范瑞杰</cp:lastModifiedBy>
  <dcterms:modified xsi:type="dcterms:W3CDTF">2023-02-28T05:30:30Z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190E5A9A4C5844ED988D1FE08589ED38</vt:lpwstr>
  </property>
</Properties>
</file>