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Cs/>
          <w:kern w:val="0"/>
          <w:szCs w:val="21"/>
        </w:rPr>
      </w:pPr>
      <w:r>
        <w:rPr>
          <w:rFonts w:ascii="方正小标宋简体" w:hAnsi="宋体" w:eastAsia="方正小标宋简体"/>
          <w:bCs/>
          <w:kern w:val="0"/>
          <w:sz w:val="40"/>
          <w:szCs w:val="40"/>
        </w:rP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6350" b="2413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L&#10;Vkea1AAAAAgBAAAPAAAAAAAAAAEAIAAAACIAAABkcnMvZG93bnJldi54bWxQSwECFAAUAAAACACH&#10;TuJANG/VK2ECAACnBAAADgAAAAAAAAABACAAAAAjAQAAZHJzL2Uyb0RvYy54bWxQSwUGAAAAAAYA&#10;BgBZAQAA9g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ascii="方正小标宋简体" w:hAnsi="宋体" w:eastAsia="方正小标宋简体"/>
          <w:bCs/>
          <w:kern w:val="0"/>
          <w:sz w:val="40"/>
          <w:szCs w:val="40"/>
        </w:rPr>
        <w:t>专业课课程教学大纲</w:t>
      </w:r>
    </w:p>
    <w:p>
      <w:pPr>
        <w:spacing w:line="288" w:lineRule="auto"/>
        <w:jc w:val="center"/>
        <w:rPr>
          <w:b/>
          <w:sz w:val="28"/>
          <w:szCs w:val="30"/>
        </w:rPr>
      </w:pPr>
      <w:r>
        <w:rPr>
          <w:rFonts w:hint="eastAsia"/>
          <w:b/>
          <w:sz w:val="28"/>
          <w:szCs w:val="30"/>
        </w:rPr>
        <w:t>【眼耳鼻咽喉口腔科护理学】</w:t>
      </w:r>
    </w:p>
    <w:p>
      <w:pPr>
        <w:shd w:val="clear" w:color="auto" w:fill="F5F5F5"/>
        <w:jc w:val="center"/>
        <w:textAlignment w:val="top"/>
        <w:rPr>
          <w:rFonts w:ascii="Arial" w:hAnsi="Arial" w:cs="Arial"/>
          <w:color w:val="888888"/>
          <w:kern w:val="0"/>
          <w:sz w:val="20"/>
          <w:szCs w:val="20"/>
        </w:rPr>
      </w:pPr>
      <w:r>
        <w:rPr>
          <w:rFonts w:hint="eastAsia"/>
          <w:b/>
          <w:sz w:val="28"/>
          <w:szCs w:val="30"/>
        </w:rPr>
        <w:t>【Ophthalmology, otolaryngology and stomatology nursing】</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2070039</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护理学</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系级选修课</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rFonts w:hint="eastAsia"/>
          <w:b/>
          <w:bCs/>
          <w:color w:val="000000"/>
          <w:sz w:val="20"/>
          <w:szCs w:val="20"/>
        </w:rPr>
        <w:t>健康管理学院护理系</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firstLine="792" w:firstLineChars="396"/>
        <w:rPr>
          <w:color w:val="000000"/>
          <w:szCs w:val="21"/>
        </w:rPr>
      </w:pPr>
      <w:r>
        <w:rPr>
          <w:color w:val="000000"/>
          <w:sz w:val="20"/>
          <w:szCs w:val="20"/>
        </w:rPr>
        <w:t>教材【</w:t>
      </w:r>
      <w:r>
        <w:rPr>
          <w:rFonts w:hint="eastAsia"/>
          <w:color w:val="000000"/>
          <w:sz w:val="20"/>
          <w:szCs w:val="20"/>
        </w:rPr>
        <w:t>眼耳鼻咽喉科护理学，席淑新、肖惠明，人民卫生出版社，第5版</w:t>
      </w:r>
      <w:r>
        <w:rPr>
          <w:color w:val="000000"/>
          <w:sz w:val="20"/>
          <w:szCs w:val="20"/>
        </w:rPr>
        <w:t>】</w:t>
      </w:r>
    </w:p>
    <w:p>
      <w:pPr>
        <w:snapToGrid w:val="0"/>
        <w:spacing w:line="288" w:lineRule="auto"/>
        <w:ind w:firstLine="792" w:firstLineChars="396"/>
        <w:rPr>
          <w:color w:val="000000"/>
          <w:sz w:val="20"/>
          <w:szCs w:val="20"/>
        </w:rPr>
      </w:pP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rPr>
        <w:t>眼耳鼻咽喉口腔科护理学，席淑新、赵佛容，人民卫生出版社，第4版；眼耳鼻咽喉口腔科护理学学习指导及习题集，赵佛容、席淑新，人民卫生出版社，第1版；眼耳鼻咽喉口腔科学，何文清、余青松，华中科技大学出版社；眼耳鼻喉口腔科经典病例分析，谷树严、马宁、李光宇，人民军医出版社</w:t>
      </w:r>
      <w:r>
        <w:rPr>
          <w:color w:val="000000"/>
          <w:sz w:val="20"/>
          <w:szCs w:val="20"/>
        </w:rPr>
        <w:t>】</w:t>
      </w:r>
    </w:p>
    <w:p>
      <w:pPr>
        <w:snapToGrid w:val="0"/>
        <w:spacing w:line="288" w:lineRule="auto"/>
        <w:ind w:firstLine="394" w:firstLineChars="196"/>
        <w:rPr>
          <w:color w:val="000000"/>
          <w:sz w:val="20"/>
          <w:szCs w:val="20"/>
          <w:highlight w:val="yellow"/>
        </w:rPr>
      </w:pPr>
      <w:r>
        <w:rPr>
          <w:rFonts w:hint="eastAsia"/>
          <w:b/>
          <w:bCs/>
          <w:color w:val="000000"/>
          <w:sz w:val="20"/>
          <w:szCs w:val="20"/>
        </w:rPr>
        <w:t>课程网站网址：暂无</w:t>
      </w: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人体解剖学2070001（6），生理学2070003（4），病理学与病理生理学2070005（3），药理学2170004（3），护士人文修养2070016（1.5），护理伦理学2070027（1），护理心理学2070028（1.5），基础护理学1 2070018（4），基础护理学2 2070019（4）</w:t>
      </w:r>
      <w:r>
        <w:rPr>
          <w:color w:val="000000"/>
          <w:sz w:val="20"/>
          <w:szCs w:val="20"/>
        </w:rPr>
        <w:t>】</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00" w:firstLineChars="200"/>
        <w:rPr>
          <w:color w:val="000000"/>
          <w:sz w:val="20"/>
          <w:szCs w:val="20"/>
        </w:rPr>
      </w:pPr>
      <w:r>
        <w:rPr>
          <w:rFonts w:hint="eastAsia"/>
          <w:color w:val="000000"/>
          <w:sz w:val="20"/>
          <w:szCs w:val="20"/>
        </w:rPr>
        <w:t>《眼耳鼻咽喉口腔科护理学》是一门具有明显专科特色的护理基础课程，学好本课程对护理本科生的专科护理实践具有重要的临床现实意义。本课程使用人民卫生出版社2017年7月出版的《眼耳鼻咽喉口腔科护理学》第4版，在本课程中，护生将学习眼科病人的护理、耳鼻咽喉科病人的护理和口腔科病人的护理。</w:t>
      </w:r>
    </w:p>
    <w:p>
      <w:pPr>
        <w:snapToGrid w:val="0"/>
        <w:spacing w:line="288" w:lineRule="auto"/>
        <w:ind w:firstLine="400" w:firstLineChars="200"/>
        <w:rPr>
          <w:color w:val="000000"/>
          <w:sz w:val="20"/>
          <w:szCs w:val="20"/>
        </w:rPr>
      </w:pPr>
      <w:r>
        <w:rPr>
          <w:rFonts w:hint="eastAsia"/>
          <w:color w:val="000000"/>
          <w:sz w:val="20"/>
          <w:szCs w:val="20"/>
        </w:rPr>
        <w:t>通过《眼耳鼻咽喉口腔科护理学》课程的学习，学生应熟悉眼、耳鼻咽喉、口腔的应用解剖和生理知识，用护理程序对眼耳鼻咽喉口腔科常见病、多发病进行常规护理，对急诊病人采取应急护理措施，能配合医师正确地进行眼耳鼻咽喉口腔科主要的护理技术操作，能运用眼耳鼻咽喉口腔科疾病预防保健知识和人际沟通技巧对个体、家庭、社区进行保健指导和健康教育。</w:t>
      </w:r>
    </w:p>
    <w:p>
      <w:pPr>
        <w:snapToGrid w:val="0"/>
        <w:spacing w:line="288" w:lineRule="auto"/>
        <w:ind w:firstLine="400" w:firstLineChars="200"/>
        <w:rPr>
          <w:color w:val="000000"/>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color w:val="000000"/>
          <w:sz w:val="20"/>
          <w:szCs w:val="20"/>
        </w:rPr>
        <w:t>该课程适合</w:t>
      </w:r>
      <w:r>
        <w:rPr>
          <w:rFonts w:hint="eastAsia"/>
          <w:color w:val="000000"/>
          <w:sz w:val="20"/>
          <w:szCs w:val="20"/>
        </w:rPr>
        <w:t>于护理学本科</w:t>
      </w:r>
      <w:r>
        <w:rPr>
          <w:color w:val="000000"/>
          <w:sz w:val="20"/>
          <w:szCs w:val="20"/>
        </w:rPr>
        <w:t>专业</w:t>
      </w:r>
      <w:r>
        <w:rPr>
          <w:rFonts w:hint="eastAsia"/>
          <w:color w:val="000000"/>
          <w:sz w:val="20"/>
          <w:szCs w:val="20"/>
        </w:rPr>
        <w:t>三</w:t>
      </w:r>
      <w:r>
        <w:rPr>
          <w:color w:val="000000"/>
          <w:sz w:val="20"/>
          <w:szCs w:val="20"/>
        </w:rPr>
        <w:t>年级</w:t>
      </w:r>
      <w:r>
        <w:rPr>
          <w:rFonts w:hint="eastAsia"/>
          <w:color w:val="000000"/>
          <w:sz w:val="20"/>
          <w:szCs w:val="20"/>
        </w:rPr>
        <w:t>下学期开设，学生需要对专业有一定的认识，具备专业基础知识，并初步具有一定的职业</w:t>
      </w:r>
      <w:r>
        <w:rPr>
          <w:rFonts w:hint="eastAsia"/>
          <w:color w:val="000000"/>
          <w:sz w:val="20"/>
          <w:szCs w:val="20"/>
          <w:lang w:eastAsia="zh-Hans"/>
        </w:rPr>
        <w:t>认知</w:t>
      </w:r>
      <w:r>
        <w:rPr>
          <w:color w:val="000000"/>
          <w:sz w:val="20"/>
          <w:szCs w:val="20"/>
        </w:rPr>
        <w:t>。</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6"/>
        <w:tblpPr w:leftFromText="180" w:rightFromText="180" w:vertAnchor="text" w:horzAnchor="page" w:tblpX="2375" w:tblpY="242"/>
        <w:tblOverlap w:val="never"/>
        <w:tblW w:w="7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5"/>
        <w:gridCol w:w="4794"/>
        <w:gridCol w:w="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9" w:type="dxa"/>
            <w:gridSpan w:val="2"/>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688"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2295" w:type="dxa"/>
            <w:vMerge w:val="restart"/>
            <w:vAlign w:val="center"/>
          </w:tcPr>
          <w:p>
            <w:pPr>
              <w:snapToGrid w:val="0"/>
              <w:spacing w:line="288" w:lineRule="auto"/>
              <w:ind w:firstLine="400" w:firstLineChars="200"/>
              <w:rPr>
                <w:color w:val="000000"/>
                <w:sz w:val="20"/>
                <w:szCs w:val="20"/>
              </w:rPr>
            </w:pPr>
            <w:r>
              <w:rPr>
                <w:rFonts w:hint="eastAsia"/>
                <w:color w:val="000000"/>
                <w:sz w:val="20"/>
                <w:szCs w:val="20"/>
              </w:rPr>
              <w:t>LO1：表达沟通</w:t>
            </w:r>
          </w:p>
        </w:tc>
        <w:tc>
          <w:tcPr>
            <w:tcW w:w="4794" w:type="dxa"/>
            <w:vAlign w:val="center"/>
          </w:tcPr>
          <w:p>
            <w:pPr>
              <w:snapToGrid w:val="0"/>
              <w:spacing w:line="288" w:lineRule="auto"/>
              <w:ind w:firstLine="400" w:firstLineChars="200"/>
              <w:rPr>
                <w:color w:val="000000"/>
                <w:sz w:val="20"/>
                <w:szCs w:val="20"/>
              </w:rPr>
            </w:pPr>
            <w:r>
              <w:rPr>
                <w:rFonts w:hint="eastAsia"/>
                <w:color w:val="000000"/>
                <w:sz w:val="20"/>
                <w:szCs w:val="20"/>
              </w:rPr>
              <w:t>LO11 尊重护理对象的价值观、文化习俗、个人信仰和权利。</w:t>
            </w:r>
          </w:p>
        </w:tc>
        <w:tc>
          <w:tcPr>
            <w:tcW w:w="688" w:type="dxa"/>
            <w:vAlign w:val="center"/>
          </w:tcPr>
          <w:p>
            <w:pPr>
              <w:snapToGrid w:val="0"/>
              <w:spacing w:line="288" w:lineRule="auto"/>
              <w:ind w:firstLine="400" w:firstLineChars="200"/>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2295" w:type="dxa"/>
            <w:vMerge w:val="continue"/>
            <w:vAlign w:val="center"/>
          </w:tcPr>
          <w:p>
            <w:pPr>
              <w:snapToGrid w:val="0"/>
              <w:spacing w:line="288" w:lineRule="auto"/>
              <w:ind w:firstLine="400" w:firstLineChars="200"/>
              <w:rPr>
                <w:color w:val="000000"/>
                <w:sz w:val="20"/>
                <w:szCs w:val="20"/>
              </w:rPr>
            </w:pPr>
          </w:p>
        </w:tc>
        <w:tc>
          <w:tcPr>
            <w:tcW w:w="4794" w:type="dxa"/>
            <w:vAlign w:val="center"/>
          </w:tcPr>
          <w:p>
            <w:pPr>
              <w:snapToGrid w:val="0"/>
              <w:spacing w:line="288" w:lineRule="auto"/>
              <w:ind w:firstLine="400" w:firstLineChars="200"/>
              <w:rPr>
                <w:color w:val="000000"/>
                <w:sz w:val="20"/>
                <w:szCs w:val="20"/>
              </w:rPr>
            </w:pPr>
            <w:r>
              <w:rPr>
                <w:rFonts w:hint="eastAsia"/>
                <w:color w:val="000000"/>
                <w:sz w:val="20"/>
                <w:szCs w:val="20"/>
              </w:rPr>
              <w:t>LO12 具有在护理专业实践中有效沟通与合作的能力。</w:t>
            </w:r>
          </w:p>
        </w:tc>
        <w:tc>
          <w:tcPr>
            <w:tcW w:w="688" w:type="dxa"/>
            <w:vAlign w:val="center"/>
          </w:tcPr>
          <w:p>
            <w:pPr>
              <w:snapToGrid w:val="0"/>
              <w:spacing w:line="288" w:lineRule="auto"/>
              <w:ind w:firstLine="400" w:firstLineChars="200"/>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2295" w:type="dxa"/>
            <w:vMerge w:val="restart"/>
            <w:vAlign w:val="center"/>
          </w:tcPr>
          <w:p>
            <w:pPr>
              <w:snapToGrid w:val="0"/>
              <w:spacing w:line="288" w:lineRule="auto"/>
              <w:ind w:firstLine="400" w:firstLineChars="200"/>
              <w:rPr>
                <w:color w:val="000000"/>
                <w:sz w:val="20"/>
                <w:szCs w:val="20"/>
              </w:rPr>
            </w:pPr>
            <w:r>
              <w:rPr>
                <w:rFonts w:hint="eastAsia"/>
                <w:color w:val="000000"/>
                <w:sz w:val="20"/>
                <w:szCs w:val="20"/>
              </w:rPr>
              <w:t>LO2：自主学习</w:t>
            </w:r>
          </w:p>
        </w:tc>
        <w:tc>
          <w:tcPr>
            <w:tcW w:w="4794" w:type="dxa"/>
            <w:vAlign w:val="center"/>
          </w:tcPr>
          <w:p>
            <w:pPr>
              <w:snapToGrid w:val="0"/>
              <w:spacing w:line="288" w:lineRule="auto"/>
              <w:ind w:firstLine="400" w:firstLineChars="200"/>
              <w:rPr>
                <w:color w:val="000000"/>
                <w:sz w:val="20"/>
                <w:szCs w:val="20"/>
              </w:rPr>
            </w:pPr>
            <w:r>
              <w:rPr>
                <w:rFonts w:hint="eastAsia"/>
                <w:color w:val="000000"/>
                <w:sz w:val="20"/>
                <w:szCs w:val="20"/>
              </w:rPr>
              <w:t>LO21 树立终身学习的观念，具有主动获取新知识、不断进行自我完善和推动专业发展的态度。</w:t>
            </w:r>
          </w:p>
        </w:tc>
        <w:tc>
          <w:tcPr>
            <w:tcW w:w="688" w:type="dxa"/>
            <w:vAlign w:val="center"/>
          </w:tcPr>
          <w:p>
            <w:pPr>
              <w:snapToGrid w:val="0"/>
              <w:spacing w:line="288" w:lineRule="auto"/>
              <w:ind w:firstLine="400" w:firstLineChars="200"/>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2295" w:type="dxa"/>
            <w:vMerge w:val="continue"/>
            <w:vAlign w:val="center"/>
          </w:tcPr>
          <w:p>
            <w:pPr>
              <w:snapToGrid w:val="0"/>
              <w:spacing w:line="288" w:lineRule="auto"/>
              <w:ind w:firstLine="400" w:firstLineChars="200"/>
              <w:rPr>
                <w:color w:val="000000"/>
                <w:sz w:val="20"/>
                <w:szCs w:val="20"/>
              </w:rPr>
            </w:pPr>
          </w:p>
        </w:tc>
        <w:tc>
          <w:tcPr>
            <w:tcW w:w="4794" w:type="dxa"/>
            <w:vAlign w:val="center"/>
          </w:tcPr>
          <w:p>
            <w:pPr>
              <w:snapToGrid w:val="0"/>
              <w:spacing w:line="288" w:lineRule="auto"/>
              <w:ind w:firstLine="400" w:firstLineChars="200"/>
              <w:rPr>
                <w:color w:val="000000"/>
                <w:sz w:val="20"/>
                <w:szCs w:val="20"/>
              </w:rPr>
            </w:pPr>
            <w:r>
              <w:rPr>
                <w:rFonts w:hint="eastAsia"/>
                <w:color w:val="000000"/>
                <w:sz w:val="20"/>
                <w:szCs w:val="20"/>
              </w:rPr>
              <w:t>L022 具有自主学习的基本能力，能够适应不断变化的社会健康保健需求。</w:t>
            </w:r>
          </w:p>
        </w:tc>
        <w:tc>
          <w:tcPr>
            <w:tcW w:w="688" w:type="dxa"/>
            <w:vAlign w:val="center"/>
          </w:tcPr>
          <w:p>
            <w:pPr>
              <w:snapToGrid w:val="0"/>
              <w:spacing w:line="288" w:lineRule="auto"/>
              <w:ind w:firstLine="400" w:firstLineChars="200"/>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2295" w:type="dxa"/>
            <w:vMerge w:val="restart"/>
            <w:vAlign w:val="center"/>
          </w:tcPr>
          <w:p>
            <w:pPr>
              <w:snapToGrid w:val="0"/>
              <w:spacing w:line="288" w:lineRule="auto"/>
              <w:ind w:firstLine="400" w:firstLineChars="200"/>
              <w:rPr>
                <w:color w:val="000000"/>
                <w:sz w:val="20"/>
                <w:szCs w:val="20"/>
              </w:rPr>
            </w:pPr>
            <w:r>
              <w:rPr>
                <w:rFonts w:hint="eastAsia"/>
                <w:color w:val="000000"/>
                <w:sz w:val="20"/>
                <w:szCs w:val="20"/>
              </w:rPr>
              <w:t>LO31：专业基础能力</w:t>
            </w:r>
          </w:p>
        </w:tc>
        <w:tc>
          <w:tcPr>
            <w:tcW w:w="4794" w:type="dxa"/>
            <w:vAlign w:val="center"/>
          </w:tcPr>
          <w:p>
            <w:pPr>
              <w:snapToGrid w:val="0"/>
              <w:spacing w:line="288" w:lineRule="auto"/>
              <w:ind w:firstLine="400" w:firstLineChars="200"/>
              <w:rPr>
                <w:color w:val="000000"/>
                <w:sz w:val="20"/>
                <w:szCs w:val="20"/>
              </w:rPr>
            </w:pPr>
            <w:r>
              <w:rPr>
                <w:rFonts w:hint="eastAsia"/>
                <w:color w:val="000000"/>
                <w:sz w:val="20"/>
                <w:szCs w:val="20"/>
              </w:rPr>
              <w:t>LO311具有与护理学相关的自然科学、人文社会科学的基础知识和科学方法。</w:t>
            </w:r>
          </w:p>
        </w:tc>
        <w:tc>
          <w:tcPr>
            <w:tcW w:w="688" w:type="dxa"/>
            <w:vAlign w:val="center"/>
          </w:tcPr>
          <w:p>
            <w:pPr>
              <w:snapToGrid w:val="0"/>
              <w:spacing w:line="288" w:lineRule="auto"/>
              <w:ind w:firstLine="400" w:firstLineChars="200"/>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295" w:type="dxa"/>
            <w:vMerge w:val="continue"/>
            <w:vAlign w:val="center"/>
          </w:tcPr>
          <w:p>
            <w:pPr>
              <w:snapToGrid w:val="0"/>
              <w:spacing w:line="288" w:lineRule="auto"/>
              <w:ind w:firstLine="400" w:firstLineChars="200"/>
              <w:rPr>
                <w:color w:val="000000"/>
                <w:sz w:val="20"/>
                <w:szCs w:val="20"/>
              </w:rPr>
            </w:pPr>
          </w:p>
        </w:tc>
        <w:tc>
          <w:tcPr>
            <w:tcW w:w="4794" w:type="dxa"/>
            <w:vAlign w:val="center"/>
          </w:tcPr>
          <w:p>
            <w:pPr>
              <w:snapToGrid w:val="0"/>
              <w:spacing w:line="288" w:lineRule="auto"/>
              <w:ind w:firstLine="400" w:firstLineChars="200"/>
              <w:rPr>
                <w:color w:val="000000"/>
                <w:sz w:val="20"/>
                <w:szCs w:val="20"/>
              </w:rPr>
            </w:pPr>
            <w:r>
              <w:rPr>
                <w:rFonts w:hint="eastAsia"/>
                <w:color w:val="000000"/>
                <w:sz w:val="20"/>
                <w:szCs w:val="20"/>
              </w:rPr>
              <w:t>LO312具有人体正常结构、功能、人的心理状态及其发展变化的知识。</w:t>
            </w:r>
          </w:p>
        </w:tc>
        <w:tc>
          <w:tcPr>
            <w:tcW w:w="688" w:type="dxa"/>
            <w:vAlign w:val="center"/>
          </w:tcPr>
          <w:p>
            <w:pPr>
              <w:snapToGrid w:val="0"/>
              <w:spacing w:line="288" w:lineRule="auto"/>
              <w:ind w:firstLine="400" w:firstLineChars="200"/>
              <w:jc w:val="center"/>
              <w:rPr>
                <w:color w:val="000000"/>
                <w:sz w:val="20"/>
                <w:szCs w:val="20"/>
              </w:rPr>
            </w:pPr>
            <w:r>
              <w:rPr>
                <w:rFonts w:hint="eastAsia"/>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2295" w:type="dxa"/>
            <w:vMerge w:val="continue"/>
            <w:vAlign w:val="center"/>
          </w:tcPr>
          <w:p>
            <w:pPr>
              <w:snapToGrid w:val="0"/>
              <w:spacing w:line="288" w:lineRule="auto"/>
              <w:ind w:firstLine="400" w:firstLineChars="200"/>
              <w:rPr>
                <w:color w:val="000000"/>
                <w:sz w:val="20"/>
                <w:szCs w:val="20"/>
              </w:rPr>
            </w:pPr>
          </w:p>
        </w:tc>
        <w:tc>
          <w:tcPr>
            <w:tcW w:w="4794" w:type="dxa"/>
            <w:vAlign w:val="center"/>
          </w:tcPr>
          <w:p>
            <w:pPr>
              <w:snapToGrid w:val="0"/>
              <w:spacing w:line="288" w:lineRule="auto"/>
              <w:ind w:firstLine="400" w:firstLineChars="200"/>
              <w:rPr>
                <w:color w:val="000000"/>
                <w:sz w:val="20"/>
                <w:szCs w:val="20"/>
              </w:rPr>
            </w:pPr>
            <w:r>
              <w:rPr>
                <w:rFonts w:hint="eastAsia"/>
                <w:color w:val="000000"/>
                <w:sz w:val="20"/>
                <w:szCs w:val="20"/>
              </w:rPr>
              <w:t>LO313具有基本的药理知识和临床用药及药品管理知识。</w:t>
            </w:r>
          </w:p>
        </w:tc>
        <w:tc>
          <w:tcPr>
            <w:tcW w:w="688" w:type="dxa"/>
            <w:vAlign w:val="center"/>
          </w:tcPr>
          <w:p>
            <w:pPr>
              <w:snapToGrid w:val="0"/>
              <w:spacing w:line="288" w:lineRule="auto"/>
              <w:ind w:firstLine="400" w:firstLineChars="200"/>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2295" w:type="dxa"/>
            <w:vMerge w:val="continue"/>
            <w:vAlign w:val="center"/>
          </w:tcPr>
          <w:p>
            <w:pPr>
              <w:snapToGrid w:val="0"/>
              <w:spacing w:line="288" w:lineRule="auto"/>
              <w:ind w:firstLine="400" w:firstLineChars="200"/>
              <w:rPr>
                <w:color w:val="000000"/>
                <w:sz w:val="20"/>
                <w:szCs w:val="20"/>
              </w:rPr>
            </w:pPr>
          </w:p>
        </w:tc>
        <w:tc>
          <w:tcPr>
            <w:tcW w:w="4794" w:type="dxa"/>
            <w:vAlign w:val="center"/>
          </w:tcPr>
          <w:p>
            <w:pPr>
              <w:snapToGrid w:val="0"/>
              <w:spacing w:line="288" w:lineRule="auto"/>
              <w:ind w:firstLine="400" w:firstLineChars="200"/>
              <w:rPr>
                <w:color w:val="000000"/>
                <w:sz w:val="20"/>
                <w:szCs w:val="20"/>
              </w:rPr>
            </w:pPr>
            <w:r>
              <w:rPr>
                <w:rFonts w:hint="eastAsia"/>
                <w:color w:val="000000"/>
                <w:sz w:val="20"/>
                <w:szCs w:val="20"/>
              </w:rPr>
              <w:t>LO314具有护理学基础理论和基本知识。</w:t>
            </w:r>
          </w:p>
        </w:tc>
        <w:tc>
          <w:tcPr>
            <w:tcW w:w="688" w:type="dxa"/>
            <w:vAlign w:val="center"/>
          </w:tcPr>
          <w:p>
            <w:pPr>
              <w:snapToGrid w:val="0"/>
              <w:spacing w:line="288" w:lineRule="auto"/>
              <w:ind w:firstLine="400" w:firstLineChars="200"/>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2295" w:type="dxa"/>
            <w:vMerge w:val="restart"/>
            <w:vAlign w:val="center"/>
          </w:tcPr>
          <w:p>
            <w:pPr>
              <w:snapToGrid w:val="0"/>
              <w:spacing w:line="288" w:lineRule="auto"/>
              <w:ind w:firstLine="400" w:firstLineChars="200"/>
              <w:rPr>
                <w:color w:val="000000"/>
                <w:sz w:val="20"/>
                <w:szCs w:val="20"/>
              </w:rPr>
            </w:pPr>
            <w:r>
              <w:rPr>
                <w:rFonts w:hint="eastAsia"/>
                <w:color w:val="000000"/>
                <w:sz w:val="20"/>
                <w:szCs w:val="20"/>
              </w:rPr>
              <w:t>LO32：临床护理能力</w:t>
            </w:r>
          </w:p>
        </w:tc>
        <w:tc>
          <w:tcPr>
            <w:tcW w:w="4794" w:type="dxa"/>
            <w:vAlign w:val="center"/>
          </w:tcPr>
          <w:p>
            <w:pPr>
              <w:snapToGrid w:val="0"/>
              <w:spacing w:line="288" w:lineRule="auto"/>
              <w:ind w:firstLine="400" w:firstLineChars="200"/>
              <w:rPr>
                <w:color w:val="000000"/>
                <w:sz w:val="20"/>
                <w:szCs w:val="20"/>
              </w:rPr>
            </w:pPr>
            <w:r>
              <w:rPr>
                <w:rFonts w:hint="eastAsia"/>
                <w:color w:val="000000"/>
                <w:sz w:val="20"/>
                <w:szCs w:val="20"/>
              </w:rPr>
              <w:t>LO321具有运用多学科知识进行护理评估，制定护理计划并对护理对象实施整体护理的基本能力。</w:t>
            </w:r>
          </w:p>
        </w:tc>
        <w:tc>
          <w:tcPr>
            <w:tcW w:w="688" w:type="dxa"/>
            <w:vAlign w:val="center"/>
          </w:tcPr>
          <w:p>
            <w:pPr>
              <w:snapToGrid w:val="0"/>
              <w:spacing w:line="288" w:lineRule="auto"/>
              <w:ind w:firstLine="400" w:firstLineChars="200"/>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2295" w:type="dxa"/>
            <w:vMerge w:val="continue"/>
            <w:vAlign w:val="center"/>
          </w:tcPr>
          <w:p>
            <w:pPr>
              <w:snapToGrid w:val="0"/>
              <w:spacing w:line="288" w:lineRule="auto"/>
              <w:ind w:firstLine="400" w:firstLineChars="200"/>
              <w:rPr>
                <w:color w:val="000000"/>
                <w:sz w:val="20"/>
                <w:szCs w:val="20"/>
              </w:rPr>
            </w:pPr>
          </w:p>
        </w:tc>
        <w:tc>
          <w:tcPr>
            <w:tcW w:w="4794" w:type="dxa"/>
            <w:vAlign w:val="center"/>
          </w:tcPr>
          <w:p>
            <w:pPr>
              <w:snapToGrid w:val="0"/>
              <w:spacing w:line="288" w:lineRule="auto"/>
              <w:ind w:firstLine="400" w:firstLineChars="200"/>
              <w:rPr>
                <w:color w:val="000000"/>
                <w:sz w:val="20"/>
                <w:szCs w:val="20"/>
              </w:rPr>
            </w:pPr>
            <w:r>
              <w:rPr>
                <w:rFonts w:hint="eastAsia"/>
                <w:color w:val="000000"/>
                <w:sz w:val="20"/>
                <w:szCs w:val="20"/>
              </w:rPr>
              <w:t>LO322掌握基础护理技术、急救护理技术、专科护理基本技术和具有配合实施常用诊疗技术的能力。</w:t>
            </w:r>
          </w:p>
        </w:tc>
        <w:tc>
          <w:tcPr>
            <w:tcW w:w="688" w:type="dxa"/>
            <w:vAlign w:val="center"/>
          </w:tcPr>
          <w:p>
            <w:pPr>
              <w:snapToGrid w:val="0"/>
              <w:spacing w:line="288" w:lineRule="auto"/>
              <w:ind w:firstLine="400" w:firstLineChars="200"/>
              <w:jc w:val="center"/>
              <w:rPr>
                <w:color w:val="000000"/>
                <w:sz w:val="20"/>
                <w:szCs w:val="20"/>
              </w:rPr>
            </w:pPr>
            <w:r>
              <w:rPr>
                <w:rFonts w:hint="eastAsia"/>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2295" w:type="dxa"/>
            <w:vMerge w:val="continue"/>
            <w:vAlign w:val="center"/>
          </w:tcPr>
          <w:p>
            <w:pPr>
              <w:snapToGrid w:val="0"/>
              <w:spacing w:line="288" w:lineRule="auto"/>
              <w:ind w:firstLine="400" w:firstLineChars="200"/>
              <w:rPr>
                <w:color w:val="000000"/>
                <w:sz w:val="20"/>
                <w:szCs w:val="20"/>
              </w:rPr>
            </w:pPr>
          </w:p>
        </w:tc>
        <w:tc>
          <w:tcPr>
            <w:tcW w:w="4794" w:type="dxa"/>
            <w:vAlign w:val="center"/>
          </w:tcPr>
          <w:p>
            <w:pPr>
              <w:snapToGrid w:val="0"/>
              <w:spacing w:line="288" w:lineRule="auto"/>
              <w:ind w:firstLine="400" w:firstLineChars="200"/>
              <w:rPr>
                <w:color w:val="000000"/>
                <w:sz w:val="20"/>
                <w:szCs w:val="20"/>
              </w:rPr>
            </w:pPr>
            <w:r>
              <w:rPr>
                <w:rFonts w:hint="eastAsia"/>
                <w:color w:val="000000"/>
                <w:sz w:val="20"/>
                <w:szCs w:val="20"/>
              </w:rPr>
              <w:t>LO323具有生命各阶段常见病、多发病的护理知识及病情观察和护理能力。</w:t>
            </w:r>
          </w:p>
        </w:tc>
        <w:tc>
          <w:tcPr>
            <w:tcW w:w="688" w:type="dxa"/>
            <w:vAlign w:val="center"/>
          </w:tcPr>
          <w:p>
            <w:pPr>
              <w:snapToGrid w:val="0"/>
              <w:spacing w:line="288" w:lineRule="auto"/>
              <w:ind w:firstLine="400" w:firstLineChars="200"/>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295" w:type="dxa"/>
            <w:vMerge w:val="continue"/>
            <w:vAlign w:val="center"/>
          </w:tcPr>
          <w:p>
            <w:pPr>
              <w:snapToGrid w:val="0"/>
              <w:spacing w:line="288" w:lineRule="auto"/>
              <w:ind w:firstLine="400" w:firstLineChars="200"/>
              <w:rPr>
                <w:color w:val="000000"/>
                <w:sz w:val="20"/>
                <w:szCs w:val="20"/>
              </w:rPr>
            </w:pPr>
          </w:p>
        </w:tc>
        <w:tc>
          <w:tcPr>
            <w:tcW w:w="4794" w:type="dxa"/>
            <w:vAlign w:val="center"/>
          </w:tcPr>
          <w:p>
            <w:pPr>
              <w:snapToGrid w:val="0"/>
              <w:spacing w:line="288" w:lineRule="auto"/>
              <w:ind w:firstLine="400" w:firstLineChars="200"/>
              <w:rPr>
                <w:color w:val="000000"/>
                <w:sz w:val="20"/>
                <w:szCs w:val="20"/>
              </w:rPr>
            </w:pPr>
            <w:r>
              <w:rPr>
                <w:rFonts w:hint="eastAsia"/>
                <w:color w:val="000000"/>
                <w:sz w:val="20"/>
                <w:szCs w:val="20"/>
              </w:rPr>
              <w:t>LO324具有急危重症护理对象的护理知识及配合急危重症的抢救和突发事件的应急救护的初步能力。</w:t>
            </w:r>
          </w:p>
        </w:tc>
        <w:tc>
          <w:tcPr>
            <w:tcW w:w="688" w:type="dxa"/>
            <w:vAlign w:val="center"/>
          </w:tcPr>
          <w:p>
            <w:pPr>
              <w:snapToGrid w:val="0"/>
              <w:spacing w:line="288" w:lineRule="auto"/>
              <w:ind w:firstLine="400" w:firstLineChars="200"/>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vAlign w:val="center"/>
          </w:tcPr>
          <w:p>
            <w:pPr>
              <w:snapToGrid w:val="0"/>
              <w:spacing w:line="288" w:lineRule="auto"/>
              <w:ind w:firstLine="400" w:firstLineChars="200"/>
              <w:rPr>
                <w:color w:val="000000"/>
                <w:sz w:val="20"/>
                <w:szCs w:val="20"/>
              </w:rPr>
            </w:pPr>
            <w:r>
              <w:rPr>
                <w:rFonts w:hint="eastAsia"/>
                <w:color w:val="000000"/>
                <w:sz w:val="20"/>
                <w:szCs w:val="20"/>
              </w:rPr>
              <w:t>LO33：社区护理能力</w:t>
            </w:r>
          </w:p>
        </w:tc>
        <w:tc>
          <w:tcPr>
            <w:tcW w:w="4794" w:type="dxa"/>
            <w:vAlign w:val="center"/>
          </w:tcPr>
          <w:p>
            <w:pPr>
              <w:snapToGrid w:val="0"/>
              <w:spacing w:line="288" w:lineRule="auto"/>
              <w:ind w:firstLine="400" w:firstLineChars="200"/>
              <w:rPr>
                <w:color w:val="000000"/>
                <w:sz w:val="20"/>
                <w:szCs w:val="20"/>
              </w:rPr>
            </w:pPr>
            <w:r>
              <w:rPr>
                <w:rFonts w:hint="eastAsia"/>
                <w:color w:val="000000"/>
                <w:sz w:val="20"/>
                <w:szCs w:val="20"/>
              </w:rPr>
              <w:t>具有从事社区护理的基本能力，能在各种环境中为个体、家庭、社区提供与其文化相一致的健康保健服务。</w:t>
            </w:r>
          </w:p>
        </w:tc>
        <w:tc>
          <w:tcPr>
            <w:tcW w:w="688" w:type="dxa"/>
            <w:vAlign w:val="center"/>
          </w:tcPr>
          <w:p>
            <w:pPr>
              <w:snapToGrid w:val="0"/>
              <w:spacing w:line="288" w:lineRule="auto"/>
              <w:ind w:firstLine="400" w:firstLineChars="200"/>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vAlign w:val="center"/>
          </w:tcPr>
          <w:p>
            <w:pPr>
              <w:snapToGrid w:val="0"/>
              <w:spacing w:line="288" w:lineRule="auto"/>
              <w:ind w:firstLine="400" w:firstLineChars="200"/>
              <w:rPr>
                <w:color w:val="000000"/>
                <w:sz w:val="20"/>
                <w:szCs w:val="20"/>
              </w:rPr>
            </w:pPr>
            <w:r>
              <w:rPr>
                <w:rFonts w:hint="eastAsia"/>
                <w:color w:val="000000"/>
                <w:sz w:val="20"/>
                <w:szCs w:val="20"/>
              </w:rPr>
              <w:t>LO34：</w:t>
            </w:r>
            <w:r>
              <w:rPr>
                <w:color w:val="000000"/>
                <w:sz w:val="20"/>
                <w:szCs w:val="20"/>
              </w:rPr>
              <w:t>临床教学能力</w:t>
            </w:r>
          </w:p>
        </w:tc>
        <w:tc>
          <w:tcPr>
            <w:tcW w:w="4794" w:type="dxa"/>
            <w:vAlign w:val="center"/>
          </w:tcPr>
          <w:p>
            <w:pPr>
              <w:snapToGrid w:val="0"/>
              <w:spacing w:line="288" w:lineRule="auto"/>
              <w:ind w:firstLine="400" w:firstLineChars="200"/>
              <w:rPr>
                <w:color w:val="000000"/>
                <w:sz w:val="20"/>
                <w:szCs w:val="20"/>
              </w:rPr>
            </w:pPr>
            <w:r>
              <w:rPr>
                <w:rFonts w:hint="eastAsia"/>
                <w:color w:val="000000"/>
                <w:sz w:val="20"/>
                <w:szCs w:val="20"/>
              </w:rPr>
              <w:t>具有初步从事临床教学的能力。</w:t>
            </w:r>
          </w:p>
        </w:tc>
        <w:tc>
          <w:tcPr>
            <w:tcW w:w="688" w:type="dxa"/>
            <w:vAlign w:val="center"/>
          </w:tcPr>
          <w:p>
            <w:pPr>
              <w:snapToGrid w:val="0"/>
              <w:spacing w:line="288" w:lineRule="auto"/>
              <w:ind w:firstLine="400" w:firstLineChars="200"/>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2295" w:type="dxa"/>
            <w:vMerge w:val="restart"/>
            <w:vAlign w:val="center"/>
          </w:tcPr>
          <w:p>
            <w:pPr>
              <w:snapToGrid w:val="0"/>
              <w:spacing w:line="288" w:lineRule="auto"/>
              <w:ind w:firstLine="400" w:firstLineChars="200"/>
              <w:rPr>
                <w:color w:val="000000"/>
                <w:sz w:val="20"/>
                <w:szCs w:val="20"/>
              </w:rPr>
            </w:pPr>
            <w:r>
              <w:rPr>
                <w:rFonts w:hint="eastAsia"/>
                <w:color w:val="000000"/>
                <w:sz w:val="20"/>
                <w:szCs w:val="20"/>
              </w:rPr>
              <w:t>LO4：</w:t>
            </w:r>
            <w:r>
              <w:rPr>
                <w:color w:val="000000"/>
                <w:sz w:val="20"/>
                <w:szCs w:val="20"/>
              </w:rPr>
              <w:t>尽责抗压</w:t>
            </w:r>
          </w:p>
        </w:tc>
        <w:tc>
          <w:tcPr>
            <w:tcW w:w="4794" w:type="dxa"/>
            <w:vAlign w:val="center"/>
          </w:tcPr>
          <w:p>
            <w:pPr>
              <w:snapToGrid w:val="0"/>
              <w:spacing w:line="288" w:lineRule="auto"/>
              <w:ind w:firstLine="400" w:firstLineChars="200"/>
              <w:rPr>
                <w:color w:val="000000"/>
                <w:sz w:val="20"/>
                <w:szCs w:val="20"/>
              </w:rPr>
            </w:pPr>
            <w:r>
              <w:rPr>
                <w:rFonts w:hint="eastAsia"/>
                <w:color w:val="000000"/>
                <w:sz w:val="20"/>
                <w:szCs w:val="20"/>
              </w:rPr>
              <w:t>L041 对护理学科有正确的认识，对其发展具有责任感。</w:t>
            </w:r>
          </w:p>
        </w:tc>
        <w:tc>
          <w:tcPr>
            <w:tcW w:w="688" w:type="dxa"/>
            <w:vAlign w:val="center"/>
          </w:tcPr>
          <w:p>
            <w:pPr>
              <w:snapToGrid w:val="0"/>
              <w:spacing w:line="288" w:lineRule="auto"/>
              <w:ind w:firstLine="400" w:firstLineChars="200"/>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2295" w:type="dxa"/>
            <w:vMerge w:val="continue"/>
            <w:vAlign w:val="center"/>
          </w:tcPr>
          <w:p>
            <w:pPr>
              <w:snapToGrid w:val="0"/>
              <w:spacing w:line="288" w:lineRule="auto"/>
              <w:ind w:firstLine="400" w:firstLineChars="200"/>
              <w:rPr>
                <w:color w:val="000000"/>
                <w:sz w:val="20"/>
                <w:szCs w:val="20"/>
              </w:rPr>
            </w:pPr>
          </w:p>
        </w:tc>
        <w:tc>
          <w:tcPr>
            <w:tcW w:w="4794" w:type="dxa"/>
            <w:vAlign w:val="center"/>
          </w:tcPr>
          <w:p>
            <w:pPr>
              <w:snapToGrid w:val="0"/>
              <w:spacing w:line="288" w:lineRule="auto"/>
              <w:ind w:firstLine="400" w:firstLineChars="200"/>
              <w:rPr>
                <w:color w:val="000000"/>
                <w:sz w:val="20"/>
                <w:szCs w:val="20"/>
              </w:rPr>
            </w:pPr>
            <w:r>
              <w:rPr>
                <w:rFonts w:hint="eastAsia"/>
                <w:color w:val="000000"/>
                <w:sz w:val="20"/>
                <w:szCs w:val="20"/>
              </w:rPr>
              <w:t>L042 具有科学精神、慎独修养、严谨求实的工作态度和符合职业道德标准的职业行为。</w:t>
            </w:r>
          </w:p>
        </w:tc>
        <w:tc>
          <w:tcPr>
            <w:tcW w:w="688" w:type="dxa"/>
            <w:vAlign w:val="center"/>
          </w:tcPr>
          <w:p>
            <w:pPr>
              <w:snapToGrid w:val="0"/>
              <w:spacing w:line="288" w:lineRule="auto"/>
              <w:ind w:firstLine="400" w:firstLineChars="200"/>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2295" w:type="dxa"/>
            <w:vMerge w:val="continue"/>
            <w:vAlign w:val="center"/>
          </w:tcPr>
          <w:p>
            <w:pPr>
              <w:snapToGrid w:val="0"/>
              <w:spacing w:line="288" w:lineRule="auto"/>
              <w:ind w:firstLine="400" w:firstLineChars="200"/>
              <w:rPr>
                <w:color w:val="000000"/>
                <w:sz w:val="20"/>
                <w:szCs w:val="20"/>
              </w:rPr>
            </w:pPr>
          </w:p>
        </w:tc>
        <w:tc>
          <w:tcPr>
            <w:tcW w:w="4794" w:type="dxa"/>
            <w:vAlign w:val="center"/>
          </w:tcPr>
          <w:p>
            <w:pPr>
              <w:snapToGrid w:val="0"/>
              <w:spacing w:line="288" w:lineRule="auto"/>
              <w:ind w:firstLine="400" w:firstLineChars="200"/>
              <w:rPr>
                <w:color w:val="000000"/>
                <w:sz w:val="20"/>
                <w:szCs w:val="20"/>
              </w:rPr>
            </w:pPr>
            <w:r>
              <w:rPr>
                <w:rFonts w:hint="eastAsia"/>
                <w:color w:val="000000"/>
                <w:sz w:val="20"/>
                <w:szCs w:val="20"/>
              </w:rPr>
              <w:t>LO43 树立依法行护的法律观念，遵从医疗护理相关法规，自觉将专业行为纳入法律和伦理允许的范围内，具有运用相关法规保护护理对象和自身权益的意识。</w:t>
            </w:r>
          </w:p>
        </w:tc>
        <w:tc>
          <w:tcPr>
            <w:tcW w:w="688" w:type="dxa"/>
            <w:vAlign w:val="center"/>
          </w:tcPr>
          <w:p>
            <w:pPr>
              <w:snapToGrid w:val="0"/>
              <w:spacing w:line="288" w:lineRule="auto"/>
              <w:ind w:firstLine="400" w:firstLineChars="200"/>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2295" w:type="dxa"/>
            <w:vMerge w:val="continue"/>
            <w:vAlign w:val="center"/>
          </w:tcPr>
          <w:p>
            <w:pPr>
              <w:snapToGrid w:val="0"/>
              <w:spacing w:line="288" w:lineRule="auto"/>
              <w:ind w:firstLine="400" w:firstLineChars="200"/>
              <w:rPr>
                <w:color w:val="000000"/>
                <w:sz w:val="20"/>
                <w:szCs w:val="20"/>
              </w:rPr>
            </w:pPr>
          </w:p>
        </w:tc>
        <w:tc>
          <w:tcPr>
            <w:tcW w:w="4794" w:type="dxa"/>
            <w:vAlign w:val="center"/>
          </w:tcPr>
          <w:p>
            <w:pPr>
              <w:snapToGrid w:val="0"/>
              <w:spacing w:line="288" w:lineRule="auto"/>
              <w:ind w:firstLine="400" w:firstLineChars="200"/>
              <w:rPr>
                <w:color w:val="000000"/>
                <w:sz w:val="20"/>
                <w:szCs w:val="20"/>
              </w:rPr>
            </w:pPr>
            <w:r>
              <w:rPr>
                <w:rFonts w:hint="eastAsia"/>
                <w:color w:val="000000"/>
                <w:sz w:val="20"/>
                <w:szCs w:val="20"/>
              </w:rPr>
              <w:t>LO44 在应用各种护理技术时应充分考虑护理对象及家属权益，对于不能胜任或不能安全处理的护理问题，应具有寻求上级护士帮助的意识。</w:t>
            </w:r>
          </w:p>
        </w:tc>
        <w:tc>
          <w:tcPr>
            <w:tcW w:w="688" w:type="dxa"/>
            <w:vAlign w:val="center"/>
          </w:tcPr>
          <w:p>
            <w:pPr>
              <w:snapToGrid w:val="0"/>
              <w:spacing w:line="288" w:lineRule="auto"/>
              <w:ind w:firstLine="400" w:firstLineChars="200"/>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2295" w:type="dxa"/>
            <w:vMerge w:val="restart"/>
            <w:vAlign w:val="center"/>
          </w:tcPr>
          <w:p>
            <w:pPr>
              <w:snapToGrid w:val="0"/>
              <w:spacing w:line="288" w:lineRule="auto"/>
              <w:ind w:firstLine="400" w:firstLineChars="200"/>
              <w:rPr>
                <w:color w:val="000000"/>
                <w:sz w:val="20"/>
                <w:szCs w:val="20"/>
              </w:rPr>
            </w:pPr>
            <w:r>
              <w:rPr>
                <w:rFonts w:hint="eastAsia"/>
                <w:color w:val="000000"/>
                <w:sz w:val="20"/>
                <w:szCs w:val="20"/>
              </w:rPr>
              <w:t>LO5：协同创新</w:t>
            </w:r>
          </w:p>
        </w:tc>
        <w:tc>
          <w:tcPr>
            <w:tcW w:w="4794" w:type="dxa"/>
            <w:vAlign w:val="center"/>
          </w:tcPr>
          <w:p>
            <w:pPr>
              <w:snapToGrid w:val="0"/>
              <w:spacing w:line="288" w:lineRule="auto"/>
              <w:ind w:firstLine="400" w:firstLineChars="200"/>
              <w:rPr>
                <w:color w:val="000000"/>
                <w:sz w:val="20"/>
                <w:szCs w:val="20"/>
              </w:rPr>
            </w:pPr>
            <w:r>
              <w:rPr>
                <w:rFonts w:hint="eastAsia"/>
                <w:color w:val="000000"/>
                <w:sz w:val="20"/>
                <w:szCs w:val="20"/>
              </w:rPr>
              <w:t>L051 尊重同事和其他卫生保健专业人员，具有良好的团队精神和跨学科合作的意识。</w:t>
            </w:r>
          </w:p>
        </w:tc>
        <w:tc>
          <w:tcPr>
            <w:tcW w:w="688" w:type="dxa"/>
            <w:vAlign w:val="center"/>
          </w:tcPr>
          <w:p>
            <w:pPr>
              <w:snapToGrid w:val="0"/>
              <w:spacing w:line="288" w:lineRule="auto"/>
              <w:ind w:firstLine="400" w:firstLineChars="200"/>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2295" w:type="dxa"/>
            <w:vMerge w:val="continue"/>
            <w:vAlign w:val="center"/>
          </w:tcPr>
          <w:p>
            <w:pPr>
              <w:snapToGrid w:val="0"/>
              <w:spacing w:line="288" w:lineRule="auto"/>
              <w:ind w:firstLine="400" w:firstLineChars="200"/>
              <w:rPr>
                <w:color w:val="000000"/>
                <w:sz w:val="20"/>
                <w:szCs w:val="20"/>
              </w:rPr>
            </w:pPr>
          </w:p>
        </w:tc>
        <w:tc>
          <w:tcPr>
            <w:tcW w:w="4794" w:type="dxa"/>
            <w:vAlign w:val="center"/>
          </w:tcPr>
          <w:p>
            <w:pPr>
              <w:snapToGrid w:val="0"/>
              <w:spacing w:line="288" w:lineRule="auto"/>
              <w:ind w:firstLine="400" w:firstLineChars="200"/>
              <w:rPr>
                <w:color w:val="000000"/>
                <w:sz w:val="20"/>
                <w:szCs w:val="20"/>
              </w:rPr>
            </w:pPr>
            <w:r>
              <w:rPr>
                <w:rFonts w:hint="eastAsia"/>
                <w:color w:val="000000"/>
                <w:sz w:val="20"/>
                <w:szCs w:val="20"/>
              </w:rPr>
              <w:t>L052 具有创新精神和创业意识。</w:t>
            </w:r>
          </w:p>
        </w:tc>
        <w:tc>
          <w:tcPr>
            <w:tcW w:w="688" w:type="dxa"/>
            <w:vAlign w:val="center"/>
          </w:tcPr>
          <w:p>
            <w:pPr>
              <w:snapToGrid w:val="0"/>
              <w:spacing w:line="288" w:lineRule="auto"/>
              <w:ind w:firstLine="400" w:firstLineChars="200"/>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2295" w:type="dxa"/>
            <w:vMerge w:val="continue"/>
            <w:vAlign w:val="center"/>
          </w:tcPr>
          <w:p>
            <w:pPr>
              <w:snapToGrid w:val="0"/>
              <w:spacing w:line="288" w:lineRule="auto"/>
              <w:ind w:firstLine="400" w:firstLineChars="200"/>
              <w:rPr>
                <w:color w:val="000000"/>
                <w:sz w:val="20"/>
                <w:szCs w:val="20"/>
              </w:rPr>
            </w:pPr>
          </w:p>
        </w:tc>
        <w:tc>
          <w:tcPr>
            <w:tcW w:w="4794" w:type="dxa"/>
            <w:vAlign w:val="center"/>
          </w:tcPr>
          <w:p>
            <w:pPr>
              <w:snapToGrid w:val="0"/>
              <w:spacing w:line="288" w:lineRule="auto"/>
              <w:ind w:firstLine="400" w:firstLineChars="200"/>
              <w:rPr>
                <w:color w:val="000000"/>
                <w:sz w:val="20"/>
                <w:szCs w:val="20"/>
              </w:rPr>
            </w:pPr>
            <w:r>
              <w:rPr>
                <w:rFonts w:hint="eastAsia"/>
                <w:color w:val="000000"/>
                <w:sz w:val="20"/>
                <w:szCs w:val="20"/>
              </w:rPr>
              <w:t>L053 初步形成科学的质疑态度和评判反思精神，具有循证实践、勇于修正自己或他人错误的态度。</w:t>
            </w:r>
          </w:p>
        </w:tc>
        <w:tc>
          <w:tcPr>
            <w:tcW w:w="688" w:type="dxa"/>
            <w:vAlign w:val="center"/>
          </w:tcPr>
          <w:p>
            <w:pPr>
              <w:snapToGrid w:val="0"/>
              <w:spacing w:line="288" w:lineRule="auto"/>
              <w:ind w:firstLine="400" w:firstLineChars="200"/>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2295" w:type="dxa"/>
            <w:vMerge w:val="continue"/>
            <w:vAlign w:val="center"/>
          </w:tcPr>
          <w:p>
            <w:pPr>
              <w:snapToGrid w:val="0"/>
              <w:spacing w:line="288" w:lineRule="auto"/>
              <w:ind w:firstLine="400" w:firstLineChars="200"/>
              <w:rPr>
                <w:color w:val="000000"/>
                <w:sz w:val="20"/>
                <w:szCs w:val="20"/>
              </w:rPr>
            </w:pPr>
          </w:p>
        </w:tc>
        <w:tc>
          <w:tcPr>
            <w:tcW w:w="4794" w:type="dxa"/>
            <w:vAlign w:val="center"/>
          </w:tcPr>
          <w:p>
            <w:pPr>
              <w:snapToGrid w:val="0"/>
              <w:spacing w:line="288" w:lineRule="auto"/>
              <w:ind w:firstLine="400" w:firstLineChars="200"/>
              <w:rPr>
                <w:color w:val="000000"/>
                <w:sz w:val="20"/>
                <w:szCs w:val="20"/>
              </w:rPr>
            </w:pPr>
            <w:r>
              <w:rPr>
                <w:rFonts w:hint="eastAsia"/>
                <w:color w:val="000000"/>
                <w:sz w:val="20"/>
                <w:szCs w:val="20"/>
              </w:rPr>
              <w:t>L054 具有初步运用评判性思维和临床决策的能力，以保证安全有效的专业实践。</w:t>
            </w:r>
          </w:p>
        </w:tc>
        <w:tc>
          <w:tcPr>
            <w:tcW w:w="688" w:type="dxa"/>
            <w:vAlign w:val="center"/>
          </w:tcPr>
          <w:p>
            <w:pPr>
              <w:snapToGrid w:val="0"/>
              <w:spacing w:line="288" w:lineRule="auto"/>
              <w:ind w:firstLine="400" w:firstLineChars="200"/>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295" w:type="dxa"/>
            <w:vAlign w:val="center"/>
          </w:tcPr>
          <w:p>
            <w:pPr>
              <w:snapToGrid w:val="0"/>
              <w:spacing w:line="288" w:lineRule="auto"/>
              <w:ind w:firstLine="400" w:firstLineChars="200"/>
              <w:rPr>
                <w:color w:val="000000"/>
                <w:sz w:val="20"/>
                <w:szCs w:val="20"/>
              </w:rPr>
            </w:pPr>
            <w:r>
              <w:rPr>
                <w:rFonts w:hint="eastAsia"/>
                <w:color w:val="000000"/>
                <w:sz w:val="20"/>
                <w:szCs w:val="20"/>
              </w:rPr>
              <w:t>LO6：信息应用</w:t>
            </w:r>
          </w:p>
        </w:tc>
        <w:tc>
          <w:tcPr>
            <w:tcW w:w="4794" w:type="dxa"/>
            <w:vAlign w:val="center"/>
          </w:tcPr>
          <w:p>
            <w:pPr>
              <w:snapToGrid w:val="0"/>
              <w:spacing w:line="288" w:lineRule="auto"/>
              <w:ind w:firstLine="400" w:firstLineChars="200"/>
              <w:rPr>
                <w:color w:val="000000"/>
                <w:sz w:val="20"/>
                <w:szCs w:val="20"/>
              </w:rPr>
            </w:pPr>
            <w:r>
              <w:rPr>
                <w:rFonts w:hint="eastAsia"/>
                <w:color w:val="000000"/>
                <w:sz w:val="20"/>
                <w:szCs w:val="20"/>
              </w:rPr>
              <w:t>掌握文献检索、资料收集的基本方法，具有运用现代信息技术有效获取和利用护理学专业信息，研究护理问题的基本技能。</w:t>
            </w:r>
          </w:p>
        </w:tc>
        <w:tc>
          <w:tcPr>
            <w:tcW w:w="688" w:type="dxa"/>
            <w:vAlign w:val="center"/>
          </w:tcPr>
          <w:p>
            <w:pPr>
              <w:snapToGrid w:val="0"/>
              <w:spacing w:line="288" w:lineRule="auto"/>
              <w:ind w:firstLine="400" w:firstLineChars="200"/>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2295" w:type="dxa"/>
            <w:vMerge w:val="restart"/>
            <w:vAlign w:val="center"/>
          </w:tcPr>
          <w:p>
            <w:pPr>
              <w:snapToGrid w:val="0"/>
              <w:spacing w:line="288" w:lineRule="auto"/>
              <w:ind w:firstLine="400" w:firstLineChars="200"/>
              <w:rPr>
                <w:color w:val="000000"/>
                <w:sz w:val="20"/>
                <w:szCs w:val="20"/>
              </w:rPr>
            </w:pPr>
            <w:r>
              <w:rPr>
                <w:rFonts w:hint="eastAsia"/>
                <w:color w:val="000000"/>
                <w:sz w:val="20"/>
                <w:szCs w:val="20"/>
              </w:rPr>
              <w:t>LO7：</w:t>
            </w:r>
            <w:r>
              <w:rPr>
                <w:color w:val="000000"/>
                <w:sz w:val="20"/>
                <w:szCs w:val="20"/>
              </w:rPr>
              <w:t>服务关爱</w:t>
            </w:r>
          </w:p>
        </w:tc>
        <w:tc>
          <w:tcPr>
            <w:tcW w:w="4794" w:type="dxa"/>
            <w:vAlign w:val="center"/>
          </w:tcPr>
          <w:p>
            <w:pPr>
              <w:snapToGrid w:val="0"/>
              <w:spacing w:line="288" w:lineRule="auto"/>
              <w:ind w:firstLine="400" w:firstLineChars="200"/>
              <w:rPr>
                <w:color w:val="000000"/>
                <w:sz w:val="20"/>
                <w:szCs w:val="20"/>
              </w:rPr>
            </w:pPr>
            <w:r>
              <w:rPr>
                <w:color w:val="000000"/>
                <w:sz w:val="20"/>
                <w:szCs w:val="20"/>
              </w:rPr>
              <w:t>LO71 树立科学的世界观和人生观，热爱祖国，忠于人民，初步形成以维护和促进人类健康为己任的专业价值观。</w:t>
            </w:r>
          </w:p>
        </w:tc>
        <w:tc>
          <w:tcPr>
            <w:tcW w:w="688" w:type="dxa"/>
            <w:vAlign w:val="center"/>
          </w:tcPr>
          <w:p>
            <w:pPr>
              <w:snapToGrid w:val="0"/>
              <w:spacing w:line="288" w:lineRule="auto"/>
              <w:ind w:firstLine="400" w:firstLineChars="200"/>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2295" w:type="dxa"/>
            <w:vMerge w:val="continue"/>
            <w:vAlign w:val="center"/>
          </w:tcPr>
          <w:p>
            <w:pPr>
              <w:snapToGrid w:val="0"/>
              <w:spacing w:line="288" w:lineRule="auto"/>
              <w:ind w:firstLine="400" w:firstLineChars="200"/>
              <w:rPr>
                <w:color w:val="000000"/>
                <w:sz w:val="20"/>
                <w:szCs w:val="20"/>
              </w:rPr>
            </w:pPr>
          </w:p>
        </w:tc>
        <w:tc>
          <w:tcPr>
            <w:tcW w:w="4794" w:type="dxa"/>
            <w:vAlign w:val="center"/>
          </w:tcPr>
          <w:p>
            <w:pPr>
              <w:snapToGrid w:val="0"/>
              <w:spacing w:line="288" w:lineRule="auto"/>
              <w:ind w:firstLine="400" w:firstLineChars="200"/>
              <w:rPr>
                <w:color w:val="000000"/>
                <w:sz w:val="20"/>
                <w:szCs w:val="20"/>
              </w:rPr>
            </w:pPr>
            <w:r>
              <w:rPr>
                <w:color w:val="000000"/>
                <w:sz w:val="20"/>
                <w:szCs w:val="20"/>
              </w:rPr>
              <w:t>LO72 关爱生命，平等、博爱，体现人道主义精神和全心全意为护理对象的健康服务的专业精神。</w:t>
            </w:r>
          </w:p>
        </w:tc>
        <w:tc>
          <w:tcPr>
            <w:tcW w:w="688" w:type="dxa"/>
            <w:vAlign w:val="center"/>
          </w:tcPr>
          <w:p>
            <w:pPr>
              <w:snapToGrid w:val="0"/>
              <w:spacing w:line="288" w:lineRule="auto"/>
              <w:ind w:firstLine="400" w:firstLineChars="200"/>
              <w:jc w:val="center"/>
              <w:rPr>
                <w:color w:val="000000"/>
                <w:sz w:val="20"/>
                <w:szCs w:val="20"/>
              </w:rPr>
            </w:pPr>
            <w:r>
              <w:rPr>
                <w:rFonts w:hint="eastAsia"/>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2295" w:type="dxa"/>
            <w:vMerge w:val="restart"/>
            <w:vAlign w:val="center"/>
          </w:tcPr>
          <w:p>
            <w:pPr>
              <w:snapToGrid w:val="0"/>
              <w:spacing w:line="288" w:lineRule="auto"/>
              <w:ind w:firstLine="400" w:firstLineChars="200"/>
              <w:rPr>
                <w:color w:val="000000"/>
                <w:sz w:val="20"/>
                <w:szCs w:val="20"/>
              </w:rPr>
            </w:pPr>
            <w:r>
              <w:rPr>
                <w:rFonts w:hint="eastAsia"/>
                <w:color w:val="000000"/>
                <w:sz w:val="20"/>
                <w:szCs w:val="20"/>
              </w:rPr>
              <w:t>LO8：</w:t>
            </w:r>
            <w:r>
              <w:rPr>
                <w:color w:val="000000"/>
                <w:sz w:val="20"/>
                <w:szCs w:val="20"/>
              </w:rPr>
              <w:t>国际视野</w:t>
            </w:r>
          </w:p>
        </w:tc>
        <w:tc>
          <w:tcPr>
            <w:tcW w:w="4794" w:type="dxa"/>
            <w:vAlign w:val="center"/>
          </w:tcPr>
          <w:p>
            <w:pPr>
              <w:snapToGrid w:val="0"/>
              <w:spacing w:line="288" w:lineRule="auto"/>
              <w:ind w:firstLine="400" w:firstLineChars="200"/>
              <w:rPr>
                <w:color w:val="000000"/>
                <w:sz w:val="20"/>
                <w:szCs w:val="20"/>
              </w:rPr>
            </w:pPr>
            <w:r>
              <w:rPr>
                <w:color w:val="000000"/>
                <w:sz w:val="20"/>
                <w:szCs w:val="20"/>
              </w:rPr>
              <w:t>LO81 具有运用一门外语阅读护理学文献和简单的会话能力。</w:t>
            </w:r>
          </w:p>
        </w:tc>
        <w:tc>
          <w:tcPr>
            <w:tcW w:w="688" w:type="dxa"/>
            <w:vAlign w:val="center"/>
          </w:tcPr>
          <w:p>
            <w:pPr>
              <w:snapToGrid w:val="0"/>
              <w:spacing w:line="288" w:lineRule="auto"/>
              <w:ind w:firstLine="400" w:firstLineChars="200"/>
              <w:jc w:val="center"/>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2295" w:type="dxa"/>
            <w:vMerge w:val="continue"/>
            <w:vAlign w:val="center"/>
          </w:tcPr>
          <w:p>
            <w:pPr>
              <w:snapToGrid w:val="0"/>
              <w:spacing w:line="288" w:lineRule="auto"/>
              <w:ind w:firstLine="400" w:firstLineChars="200"/>
              <w:rPr>
                <w:color w:val="000000"/>
                <w:sz w:val="20"/>
                <w:szCs w:val="20"/>
              </w:rPr>
            </w:pPr>
          </w:p>
        </w:tc>
        <w:tc>
          <w:tcPr>
            <w:tcW w:w="4794" w:type="dxa"/>
            <w:vAlign w:val="center"/>
          </w:tcPr>
          <w:p>
            <w:pPr>
              <w:snapToGrid w:val="0"/>
              <w:spacing w:line="288" w:lineRule="auto"/>
              <w:ind w:firstLine="400" w:firstLineChars="200"/>
              <w:rPr>
                <w:color w:val="000000"/>
                <w:sz w:val="20"/>
                <w:szCs w:val="20"/>
              </w:rPr>
            </w:pPr>
            <w:r>
              <w:rPr>
                <w:color w:val="000000"/>
                <w:sz w:val="20"/>
                <w:szCs w:val="20"/>
              </w:rPr>
              <w:t>LO82 了解护理学科的发展动态及趋势。</w:t>
            </w:r>
          </w:p>
        </w:tc>
        <w:tc>
          <w:tcPr>
            <w:tcW w:w="688" w:type="dxa"/>
            <w:vAlign w:val="center"/>
          </w:tcPr>
          <w:p>
            <w:pPr>
              <w:snapToGrid w:val="0"/>
              <w:spacing w:line="288" w:lineRule="auto"/>
              <w:ind w:firstLine="400" w:firstLineChars="200"/>
              <w:jc w:val="center"/>
              <w:rPr>
                <w:color w:val="000000"/>
                <w:sz w:val="20"/>
                <w:szCs w:val="20"/>
              </w:rPr>
            </w:pPr>
          </w:p>
        </w:tc>
      </w:tr>
    </w:tbl>
    <w:p>
      <w:pPr>
        <w:ind w:firstLine="420" w:firstLineChars="200"/>
      </w:pPr>
      <w:r>
        <w:rPr>
          <w:rFonts w:hint="eastAsia"/>
        </w:rPr>
        <w:t>备注：LO=</w:t>
      </w:r>
      <w:r>
        <w:t>learning outcomes</w:t>
      </w:r>
      <w:r>
        <w:rPr>
          <w:rFonts w:hint="eastAsia"/>
        </w:rPr>
        <w:t>（学习成果）</w:t>
      </w:r>
    </w:p>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5"/>
        <w:tblpPr w:leftFromText="180" w:rightFromText="180" w:vertAnchor="text" w:horzAnchor="page" w:tblpX="2163" w:tblpY="152"/>
        <w:tblOverlap w:val="never"/>
        <w:tblW w:w="7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3645"/>
        <w:gridCol w:w="1321"/>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序号</w:t>
            </w:r>
          </w:p>
        </w:tc>
        <w:tc>
          <w:tcPr>
            <w:tcW w:w="1175" w:type="dxa"/>
            <w:shd w:val="clear" w:color="auto" w:fill="auto"/>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课程预期</w:t>
            </w:r>
          </w:p>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学习成果</w:t>
            </w:r>
          </w:p>
        </w:tc>
        <w:tc>
          <w:tcPr>
            <w:tcW w:w="3645" w:type="dxa"/>
            <w:shd w:val="clear" w:color="auto" w:fill="auto"/>
            <w:vAlign w:val="center"/>
          </w:tcPr>
          <w:p>
            <w:pPr>
              <w:snapToGrid w:val="0"/>
              <w:spacing w:line="288" w:lineRule="auto"/>
              <w:jc w:val="center"/>
              <w:rPr>
                <w:rFonts w:ascii="宋体" w:hAnsi="宋体" w:cs="宋体"/>
                <w:b/>
                <w:color w:val="000000"/>
                <w:sz w:val="20"/>
                <w:szCs w:val="20"/>
                <w:highlight w:val="yellow"/>
              </w:rPr>
            </w:pPr>
            <w:r>
              <w:rPr>
                <w:rFonts w:hint="eastAsia" w:ascii="宋体" w:hAnsi="宋体" w:cs="宋体"/>
                <w:b/>
                <w:color w:val="000000"/>
                <w:sz w:val="20"/>
                <w:szCs w:val="20"/>
              </w:rPr>
              <w:t>课程目标</w:t>
            </w:r>
          </w:p>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（细化的预期学习成果）</w:t>
            </w:r>
          </w:p>
        </w:tc>
        <w:tc>
          <w:tcPr>
            <w:tcW w:w="1321" w:type="dxa"/>
            <w:shd w:val="clear" w:color="auto" w:fill="auto"/>
            <w:vAlign w:val="center"/>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教与学方式</w:t>
            </w:r>
          </w:p>
        </w:tc>
        <w:tc>
          <w:tcPr>
            <w:tcW w:w="1250" w:type="dxa"/>
            <w:shd w:val="clear" w:color="auto" w:fill="auto"/>
            <w:vAlign w:val="center"/>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535" w:type="dxa"/>
            <w:shd w:val="clear" w:color="auto" w:fill="auto"/>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175" w:type="dxa"/>
            <w:shd w:val="clear" w:color="auto" w:fill="auto"/>
            <w:vAlign w:val="center"/>
          </w:tcPr>
          <w:p>
            <w:pPr>
              <w:jc w:val="center"/>
              <w:rPr>
                <w:rFonts w:ascii="宋体" w:hAnsi="宋体" w:cs="宋体"/>
                <w:color w:val="000000"/>
                <w:kern w:val="0"/>
                <w:sz w:val="20"/>
                <w:szCs w:val="20"/>
              </w:rPr>
            </w:pPr>
            <w:r>
              <w:rPr>
                <w:rFonts w:hint="eastAsia" w:ascii="仿宋" w:hAnsi="仿宋" w:eastAsia="仿宋" w:cs="宋体"/>
                <w:color w:val="000000"/>
                <w:kern w:val="0"/>
                <w:sz w:val="24"/>
                <w:szCs w:val="24"/>
              </w:rPr>
              <w:t>LO312</w:t>
            </w:r>
          </w:p>
        </w:tc>
        <w:tc>
          <w:tcPr>
            <w:tcW w:w="3645"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能正确描述、理解并运用眼、耳鼻咽喉、口腔颌面部的应用解剖与生理知识</w:t>
            </w:r>
          </w:p>
        </w:tc>
        <w:tc>
          <w:tcPr>
            <w:tcW w:w="1321" w:type="dxa"/>
            <w:shd w:val="clear" w:color="auto" w:fill="auto"/>
            <w:vAlign w:val="center"/>
          </w:tcPr>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理论讲授</w:t>
            </w:r>
          </w:p>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自主学习</w:t>
            </w:r>
          </w:p>
        </w:tc>
        <w:tc>
          <w:tcPr>
            <w:tcW w:w="1250" w:type="dxa"/>
            <w:shd w:val="clear" w:color="auto" w:fill="auto"/>
            <w:vAlign w:val="center"/>
          </w:tcPr>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理论考试</w:t>
            </w:r>
          </w:p>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口头提问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535" w:type="dxa"/>
            <w:shd w:val="clear" w:color="auto" w:fill="auto"/>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175" w:type="dxa"/>
            <w:shd w:val="clear" w:color="auto" w:fill="auto"/>
            <w:vAlign w:val="center"/>
          </w:tcPr>
          <w:p>
            <w:pPr>
              <w:jc w:val="center"/>
              <w:rPr>
                <w:rFonts w:ascii="宋体" w:hAnsi="宋体" w:cs="宋体"/>
                <w:color w:val="000000"/>
                <w:kern w:val="0"/>
                <w:sz w:val="20"/>
                <w:szCs w:val="20"/>
              </w:rPr>
            </w:pPr>
            <w:r>
              <w:rPr>
                <w:rFonts w:hint="eastAsia" w:ascii="仿宋" w:hAnsi="仿宋" w:eastAsia="仿宋" w:cs="宋体"/>
                <w:color w:val="000000"/>
                <w:kern w:val="0"/>
                <w:sz w:val="24"/>
                <w:szCs w:val="24"/>
              </w:rPr>
              <w:t>LO322</w:t>
            </w:r>
          </w:p>
        </w:tc>
        <w:tc>
          <w:tcPr>
            <w:tcW w:w="3645"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能运用所学知识进行眼科、耳鼻咽喉科、口腔科常用的护理操作</w:t>
            </w:r>
          </w:p>
        </w:tc>
        <w:tc>
          <w:tcPr>
            <w:tcW w:w="1321" w:type="dxa"/>
            <w:shd w:val="clear" w:color="auto" w:fill="auto"/>
            <w:vAlign w:val="center"/>
          </w:tcPr>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实践学习</w:t>
            </w:r>
          </w:p>
        </w:tc>
        <w:tc>
          <w:tcPr>
            <w:tcW w:w="1250" w:type="dxa"/>
            <w:shd w:val="clear" w:color="auto" w:fill="auto"/>
            <w:vAlign w:val="center"/>
          </w:tcPr>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操作考试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175" w:type="dxa"/>
            <w:shd w:val="clear" w:color="auto" w:fill="auto"/>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LO72</w:t>
            </w:r>
          </w:p>
        </w:tc>
        <w:tc>
          <w:tcPr>
            <w:tcW w:w="3645" w:type="dxa"/>
            <w:shd w:val="clear" w:color="auto" w:fill="auto"/>
          </w:tcPr>
          <w:p>
            <w:pPr>
              <w:rPr>
                <w:rFonts w:ascii="宋体" w:hAnsi="宋体" w:cs="宋体"/>
                <w:color w:val="000000"/>
                <w:kern w:val="0"/>
                <w:sz w:val="20"/>
                <w:szCs w:val="20"/>
              </w:rPr>
            </w:pPr>
            <w:r>
              <w:rPr>
                <w:rFonts w:hint="eastAsia" w:ascii="宋体" w:hAnsi="宋体" w:cs="宋体"/>
                <w:color w:val="000000"/>
                <w:kern w:val="0"/>
                <w:sz w:val="20"/>
                <w:szCs w:val="20"/>
              </w:rPr>
              <w:t>关爱生命，平等、博爱，体现人道主义精神和全心全意为护理对象的健康服务的专业精神。</w:t>
            </w:r>
          </w:p>
        </w:tc>
        <w:tc>
          <w:tcPr>
            <w:tcW w:w="1321" w:type="dxa"/>
            <w:shd w:val="clear" w:color="auto" w:fill="auto"/>
            <w:vAlign w:val="center"/>
          </w:tcPr>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角色扮演</w:t>
            </w:r>
          </w:p>
        </w:tc>
        <w:tc>
          <w:tcPr>
            <w:tcW w:w="1250" w:type="dxa"/>
            <w:shd w:val="clear" w:color="auto" w:fill="auto"/>
            <w:vAlign w:val="center"/>
          </w:tcPr>
          <w:p>
            <w:pPr>
              <w:snapToGrid w:val="0"/>
              <w:spacing w:line="288" w:lineRule="auto"/>
              <w:jc w:val="center"/>
              <w:rPr>
                <w:rFonts w:ascii="宋体" w:hAnsi="宋体" w:cs="宋体"/>
                <w:sz w:val="20"/>
                <w:szCs w:val="20"/>
              </w:rPr>
            </w:pPr>
            <w:r>
              <w:rPr>
                <w:rFonts w:hint="eastAsia" w:ascii="宋体" w:hAnsi="宋体" w:cs="宋体"/>
                <w:color w:val="000000"/>
                <w:kern w:val="0"/>
                <w:sz w:val="20"/>
                <w:szCs w:val="20"/>
              </w:rPr>
              <w:t>表现性评价</w:t>
            </w:r>
          </w:p>
        </w:tc>
      </w:tr>
    </w:tbl>
    <w:p>
      <w:pPr>
        <w:widowControl/>
        <w:spacing w:before="156" w:beforeLines="50" w:after="156" w:afterLines="50" w:line="288" w:lineRule="auto"/>
        <w:ind w:firstLine="360" w:firstLineChars="150"/>
        <w:jc w:val="left"/>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tbl>
      <w:tblPr>
        <w:tblStyle w:val="5"/>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
        <w:gridCol w:w="690"/>
        <w:gridCol w:w="2720"/>
        <w:gridCol w:w="1500"/>
        <w:gridCol w:w="965"/>
        <w:gridCol w:w="1101"/>
        <w:gridCol w:w="562"/>
        <w:gridCol w:w="373"/>
        <w:gridCol w:w="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502" w:type="dxa"/>
            <w:vAlign w:val="center"/>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序号</w:t>
            </w:r>
          </w:p>
        </w:tc>
        <w:tc>
          <w:tcPr>
            <w:tcW w:w="690" w:type="dxa"/>
            <w:vAlign w:val="center"/>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单元名称</w:t>
            </w:r>
          </w:p>
        </w:tc>
        <w:tc>
          <w:tcPr>
            <w:tcW w:w="2720" w:type="dxa"/>
            <w:vAlign w:val="center"/>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知识点</w:t>
            </w:r>
          </w:p>
        </w:tc>
        <w:tc>
          <w:tcPr>
            <w:tcW w:w="1500" w:type="dxa"/>
            <w:vAlign w:val="center"/>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能力要求</w:t>
            </w:r>
          </w:p>
        </w:tc>
        <w:tc>
          <w:tcPr>
            <w:tcW w:w="965" w:type="dxa"/>
            <w:vAlign w:val="center"/>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情感目标</w:t>
            </w:r>
          </w:p>
        </w:tc>
        <w:tc>
          <w:tcPr>
            <w:tcW w:w="1101" w:type="dxa"/>
            <w:vAlign w:val="center"/>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教学难点</w:t>
            </w:r>
          </w:p>
        </w:tc>
        <w:tc>
          <w:tcPr>
            <w:tcW w:w="562" w:type="dxa"/>
            <w:vAlign w:val="center"/>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理论时数</w:t>
            </w:r>
          </w:p>
        </w:tc>
        <w:tc>
          <w:tcPr>
            <w:tcW w:w="373" w:type="dxa"/>
            <w:vAlign w:val="center"/>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实践时数</w:t>
            </w:r>
          </w:p>
        </w:tc>
        <w:tc>
          <w:tcPr>
            <w:tcW w:w="607" w:type="dxa"/>
            <w:vAlign w:val="center"/>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总时数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c>
          <w:tcPr>
            <w:tcW w:w="690" w:type="dxa"/>
            <w:vAlign w:val="center"/>
          </w:tcPr>
          <w:p>
            <w:pPr>
              <w:snapToGrid w:val="0"/>
              <w:spacing w:line="288" w:lineRule="auto"/>
              <w:jc w:val="center"/>
              <w:rPr>
                <w:rFonts w:ascii="宋体" w:hAnsi="宋体" w:cs="宋体"/>
                <w:color w:val="000000"/>
                <w:sz w:val="20"/>
                <w:szCs w:val="20"/>
              </w:rPr>
            </w:pPr>
            <w:r>
              <w:rPr>
                <w:rFonts w:hint="eastAsia" w:ascii="宋体" w:hAnsi="宋体" w:cs="宋体"/>
                <w:sz w:val="20"/>
                <w:szCs w:val="20"/>
              </w:rPr>
              <w:t>眼的应用解剖和生理</w:t>
            </w:r>
          </w:p>
        </w:tc>
        <w:tc>
          <w:tcPr>
            <w:tcW w:w="2720" w:type="dxa"/>
          </w:tcPr>
          <w:p>
            <w:pPr>
              <w:rPr>
                <w:rFonts w:ascii="宋体" w:hAnsi="宋体" w:cs="宋体"/>
                <w:sz w:val="20"/>
                <w:szCs w:val="20"/>
              </w:rPr>
            </w:pPr>
            <w:r>
              <w:rPr>
                <w:rFonts w:hint="eastAsia" w:ascii="宋体" w:hAnsi="宋体" w:cs="宋体"/>
                <w:sz w:val="20"/>
                <w:szCs w:val="20"/>
              </w:rPr>
              <w:t>1.能正确叙述眼球的解剖结构和生理</w:t>
            </w:r>
          </w:p>
          <w:p>
            <w:pPr>
              <w:rPr>
                <w:rFonts w:ascii="宋体" w:hAnsi="宋体" w:cs="宋体"/>
                <w:sz w:val="20"/>
                <w:szCs w:val="20"/>
              </w:rPr>
            </w:pPr>
            <w:r>
              <w:rPr>
                <w:rFonts w:hint="eastAsia" w:ascii="宋体" w:hAnsi="宋体" w:cs="宋体"/>
                <w:sz w:val="20"/>
                <w:szCs w:val="20"/>
              </w:rPr>
              <w:t>2.能正确叙述视路的解剖结构、眼睑组织学特点、结膜解剖结构、泪器解剖结构、眼外肌解剖特点</w:t>
            </w:r>
          </w:p>
          <w:p>
            <w:pPr>
              <w:rPr>
                <w:rFonts w:ascii="宋体" w:hAnsi="宋体" w:cs="宋体"/>
                <w:sz w:val="20"/>
                <w:szCs w:val="20"/>
              </w:rPr>
            </w:pPr>
            <w:r>
              <w:rPr>
                <w:rFonts w:hint="eastAsia" w:ascii="宋体" w:hAnsi="宋体" w:cs="宋体"/>
                <w:sz w:val="20"/>
                <w:szCs w:val="20"/>
              </w:rPr>
              <w:t>3.能正确叙述眼眶解剖结构、眼的血液循环与神经支配</w:t>
            </w:r>
          </w:p>
          <w:p>
            <w:pPr>
              <w:rPr>
                <w:rFonts w:ascii="宋体" w:hAnsi="宋体" w:cs="宋体"/>
                <w:color w:val="000000"/>
                <w:sz w:val="20"/>
                <w:szCs w:val="20"/>
              </w:rPr>
            </w:pPr>
            <w:r>
              <w:rPr>
                <w:rFonts w:hint="eastAsia" w:ascii="宋体" w:hAnsi="宋体" w:cs="宋体"/>
                <w:sz w:val="20"/>
                <w:szCs w:val="20"/>
              </w:rPr>
              <w:t>4.理解角巩膜缘的解剖结构，房水的循环途径</w:t>
            </w:r>
          </w:p>
        </w:tc>
        <w:tc>
          <w:tcPr>
            <w:tcW w:w="1500" w:type="dxa"/>
          </w:tcPr>
          <w:p>
            <w:pPr>
              <w:snapToGrid w:val="0"/>
              <w:spacing w:line="288" w:lineRule="auto"/>
              <w:jc w:val="left"/>
              <w:rPr>
                <w:rFonts w:ascii="宋体" w:hAnsi="宋体" w:cs="宋体"/>
                <w:b/>
                <w:color w:val="000000"/>
                <w:sz w:val="20"/>
                <w:szCs w:val="20"/>
              </w:rPr>
            </w:pPr>
            <w:r>
              <w:rPr>
                <w:rFonts w:hint="eastAsia" w:ascii="宋体" w:hAnsi="宋体" w:cs="宋体"/>
                <w:sz w:val="20"/>
                <w:szCs w:val="20"/>
              </w:rPr>
              <w:t>能论述视路不同位置损伤时视野特点</w:t>
            </w:r>
          </w:p>
        </w:tc>
        <w:tc>
          <w:tcPr>
            <w:tcW w:w="965"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1.具有严谨求实的工作作风</w:t>
            </w:r>
          </w:p>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2.热爱护理学专业，具有为护理事业无私奉献的热情</w:t>
            </w:r>
          </w:p>
        </w:tc>
        <w:tc>
          <w:tcPr>
            <w:tcW w:w="1101"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1.眼球的解剖结构和生理</w:t>
            </w:r>
          </w:p>
          <w:p>
            <w:pPr>
              <w:snapToGrid w:val="0"/>
              <w:spacing w:line="288" w:lineRule="auto"/>
              <w:jc w:val="left"/>
              <w:rPr>
                <w:rFonts w:ascii="宋体" w:hAnsi="宋体" w:cs="宋体"/>
                <w:b/>
                <w:color w:val="000000"/>
                <w:sz w:val="20"/>
                <w:szCs w:val="20"/>
              </w:rPr>
            </w:pPr>
            <w:r>
              <w:rPr>
                <w:rFonts w:hint="eastAsia" w:ascii="宋体" w:hAnsi="宋体" w:cs="宋体"/>
                <w:color w:val="000000"/>
                <w:sz w:val="20"/>
                <w:szCs w:val="20"/>
              </w:rPr>
              <w:t>2.</w:t>
            </w:r>
            <w:r>
              <w:rPr>
                <w:rFonts w:hint="eastAsia" w:ascii="宋体" w:hAnsi="宋体" w:cs="宋体"/>
                <w:sz w:val="20"/>
                <w:szCs w:val="20"/>
              </w:rPr>
              <w:t>视路的解剖结构</w:t>
            </w: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2</w:t>
            </w:r>
          </w:p>
        </w:tc>
        <w:tc>
          <w:tcPr>
            <w:tcW w:w="690" w:type="dxa"/>
            <w:vAlign w:val="center"/>
          </w:tcPr>
          <w:p>
            <w:pPr>
              <w:snapToGrid w:val="0"/>
              <w:spacing w:line="288" w:lineRule="auto"/>
              <w:jc w:val="center"/>
              <w:rPr>
                <w:rFonts w:ascii="宋体" w:hAnsi="宋体" w:cs="宋体"/>
                <w:color w:val="000000"/>
                <w:sz w:val="20"/>
                <w:szCs w:val="20"/>
              </w:rPr>
            </w:pPr>
            <w:r>
              <w:rPr>
                <w:rFonts w:hint="eastAsia" w:ascii="宋体" w:hAnsi="宋体" w:cs="宋体"/>
                <w:sz w:val="20"/>
                <w:szCs w:val="20"/>
              </w:rPr>
              <w:t>眼科病人护理概述</w:t>
            </w:r>
          </w:p>
        </w:tc>
        <w:tc>
          <w:tcPr>
            <w:tcW w:w="2720" w:type="dxa"/>
          </w:tcPr>
          <w:p>
            <w:pPr>
              <w:rPr>
                <w:rFonts w:ascii="宋体" w:hAnsi="宋体" w:cs="宋体"/>
                <w:sz w:val="20"/>
                <w:szCs w:val="20"/>
              </w:rPr>
            </w:pPr>
            <w:r>
              <w:rPr>
                <w:rFonts w:hint="eastAsia" w:ascii="宋体" w:hAnsi="宋体" w:cs="宋体"/>
                <w:sz w:val="20"/>
                <w:szCs w:val="20"/>
              </w:rPr>
              <w:t>1.能描述眼科病人护理评估的内容</w:t>
            </w:r>
          </w:p>
          <w:p>
            <w:pPr>
              <w:rPr>
                <w:rFonts w:ascii="宋体" w:hAnsi="宋体" w:cs="宋体"/>
                <w:sz w:val="20"/>
                <w:szCs w:val="20"/>
              </w:rPr>
            </w:pPr>
            <w:r>
              <w:rPr>
                <w:rFonts w:hint="eastAsia" w:ascii="宋体" w:hAnsi="宋体" w:cs="宋体"/>
                <w:sz w:val="20"/>
                <w:szCs w:val="20"/>
              </w:rPr>
              <w:t>2.能描述眼科病人常见的护理诊断</w:t>
            </w:r>
          </w:p>
          <w:p>
            <w:pPr>
              <w:rPr>
                <w:rFonts w:ascii="宋体" w:hAnsi="宋体" w:cs="宋体"/>
                <w:sz w:val="20"/>
                <w:szCs w:val="20"/>
              </w:rPr>
            </w:pPr>
            <w:r>
              <w:rPr>
                <w:rFonts w:hint="eastAsia" w:ascii="宋体" w:hAnsi="宋体" w:cs="宋体"/>
                <w:sz w:val="20"/>
                <w:szCs w:val="20"/>
              </w:rPr>
              <w:t>3.能准确叙述眼科病人手术前后的常规护理要点</w:t>
            </w:r>
          </w:p>
          <w:p>
            <w:pPr>
              <w:rPr>
                <w:rFonts w:ascii="宋体" w:hAnsi="宋体" w:cs="宋体"/>
                <w:sz w:val="20"/>
                <w:szCs w:val="20"/>
              </w:rPr>
            </w:pPr>
            <w:r>
              <w:rPr>
                <w:rFonts w:hint="eastAsia" w:ascii="宋体" w:hAnsi="宋体" w:cs="宋体"/>
                <w:sz w:val="20"/>
                <w:szCs w:val="20"/>
              </w:rPr>
              <w:t>4.能准确叙述滴眼药和涂眼药膏的方法，以及能从泪道冲洗的情况判断泪道阻塞的部位</w:t>
            </w:r>
          </w:p>
          <w:p>
            <w:pPr>
              <w:rPr>
                <w:rFonts w:ascii="宋体" w:hAnsi="宋体" w:cs="宋体"/>
                <w:sz w:val="20"/>
                <w:szCs w:val="20"/>
              </w:rPr>
            </w:pPr>
            <w:r>
              <w:rPr>
                <w:rFonts w:hint="eastAsia" w:ascii="宋体" w:hAnsi="宋体" w:cs="宋体"/>
                <w:sz w:val="20"/>
                <w:szCs w:val="20"/>
              </w:rPr>
              <w:t>5.能描述眼科常见药物的作用和副作用</w:t>
            </w:r>
          </w:p>
          <w:p>
            <w:pPr>
              <w:rPr>
                <w:rFonts w:ascii="宋体" w:hAnsi="宋体" w:cs="宋体"/>
                <w:sz w:val="20"/>
                <w:szCs w:val="20"/>
              </w:rPr>
            </w:pPr>
            <w:r>
              <w:rPr>
                <w:rFonts w:hint="eastAsia" w:ascii="宋体" w:hAnsi="宋体" w:cs="宋体"/>
                <w:sz w:val="20"/>
                <w:szCs w:val="20"/>
              </w:rPr>
              <w:t>6.理解眼部检查、视功能检查的目的、操作步骤及注意事项</w:t>
            </w:r>
          </w:p>
          <w:p>
            <w:pPr>
              <w:rPr>
                <w:rFonts w:ascii="宋体" w:hAnsi="宋体" w:cs="宋体"/>
                <w:color w:val="000000"/>
                <w:sz w:val="20"/>
                <w:szCs w:val="20"/>
              </w:rPr>
            </w:pPr>
            <w:r>
              <w:rPr>
                <w:rFonts w:hint="eastAsia" w:ascii="宋体" w:hAnsi="宋体" w:cs="宋体"/>
                <w:sz w:val="20"/>
                <w:szCs w:val="20"/>
              </w:rPr>
              <w:t>7.理解眼科检查所需基本器械和设备</w:t>
            </w:r>
          </w:p>
        </w:tc>
        <w:tc>
          <w:tcPr>
            <w:tcW w:w="1500" w:type="dxa"/>
          </w:tcPr>
          <w:p>
            <w:pPr>
              <w:rPr>
                <w:rFonts w:ascii="宋体" w:hAnsi="宋体" w:cs="宋体"/>
                <w:sz w:val="20"/>
                <w:szCs w:val="20"/>
              </w:rPr>
            </w:pPr>
            <w:r>
              <w:rPr>
                <w:rFonts w:hint="eastAsia" w:ascii="宋体" w:hAnsi="宋体" w:cs="宋体"/>
                <w:sz w:val="20"/>
                <w:szCs w:val="20"/>
              </w:rPr>
              <w:t>1.能够正确运用护理程序对眼科病人进行整体护理</w:t>
            </w:r>
          </w:p>
          <w:p>
            <w:pPr>
              <w:snapToGrid w:val="0"/>
              <w:spacing w:line="288" w:lineRule="auto"/>
              <w:jc w:val="left"/>
              <w:rPr>
                <w:rFonts w:ascii="宋体" w:hAnsi="宋体" w:cs="宋体"/>
                <w:color w:val="000000"/>
                <w:sz w:val="20"/>
                <w:szCs w:val="20"/>
              </w:rPr>
            </w:pPr>
            <w:r>
              <w:rPr>
                <w:rFonts w:hint="eastAsia" w:ascii="宋体" w:hAnsi="宋体" w:cs="宋体"/>
                <w:sz w:val="20"/>
                <w:szCs w:val="20"/>
              </w:rPr>
              <w:t>2.运用所学知识进行眼科常用的护理操作</w:t>
            </w:r>
          </w:p>
        </w:tc>
        <w:tc>
          <w:tcPr>
            <w:tcW w:w="965"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1.具有对病人高度负责的工作态度</w:t>
            </w:r>
          </w:p>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2.尊重、关心和体谅病人</w:t>
            </w:r>
          </w:p>
          <w:p>
            <w:pPr>
              <w:snapToGrid w:val="0"/>
              <w:spacing w:line="288" w:lineRule="auto"/>
              <w:jc w:val="left"/>
              <w:rPr>
                <w:rFonts w:ascii="宋体" w:hAnsi="宋体" w:cs="宋体"/>
                <w:color w:val="000000"/>
                <w:sz w:val="20"/>
                <w:szCs w:val="20"/>
              </w:rPr>
            </w:pPr>
          </w:p>
        </w:tc>
        <w:tc>
          <w:tcPr>
            <w:tcW w:w="1101"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1.</w:t>
            </w:r>
            <w:r>
              <w:rPr>
                <w:rFonts w:hint="eastAsia" w:ascii="宋体" w:hAnsi="宋体" w:cs="宋体"/>
                <w:sz w:val="20"/>
                <w:szCs w:val="20"/>
              </w:rPr>
              <w:t>眼科病人护理评估的内容</w:t>
            </w:r>
          </w:p>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2.</w:t>
            </w:r>
            <w:r>
              <w:rPr>
                <w:rFonts w:hint="eastAsia" w:ascii="宋体" w:hAnsi="宋体" w:cs="宋体"/>
                <w:sz w:val="20"/>
                <w:szCs w:val="20"/>
              </w:rPr>
              <w:t>常用的眼科检查和护理配合</w:t>
            </w:r>
          </w:p>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3.</w:t>
            </w:r>
            <w:r>
              <w:rPr>
                <w:rFonts w:hint="eastAsia" w:ascii="宋体" w:hAnsi="宋体" w:cs="宋体"/>
                <w:sz w:val="20"/>
                <w:szCs w:val="20"/>
              </w:rPr>
              <w:t>眼科常用的护理操作技术</w:t>
            </w: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3</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3</w:t>
            </w:r>
          </w:p>
        </w:tc>
        <w:tc>
          <w:tcPr>
            <w:tcW w:w="690" w:type="dxa"/>
            <w:vAlign w:val="center"/>
          </w:tcPr>
          <w:p>
            <w:pPr>
              <w:snapToGrid w:val="0"/>
              <w:spacing w:line="288" w:lineRule="auto"/>
              <w:jc w:val="center"/>
              <w:rPr>
                <w:rFonts w:ascii="宋体" w:hAnsi="宋体" w:cs="宋体"/>
                <w:color w:val="000000"/>
                <w:sz w:val="20"/>
                <w:szCs w:val="20"/>
              </w:rPr>
            </w:pPr>
            <w:r>
              <w:rPr>
                <w:rFonts w:hint="eastAsia" w:ascii="宋体" w:hAnsi="宋体" w:cs="宋体"/>
                <w:sz w:val="20"/>
                <w:szCs w:val="20"/>
              </w:rPr>
              <w:t>眼睑及泪器病病人的护理</w:t>
            </w:r>
          </w:p>
        </w:tc>
        <w:tc>
          <w:tcPr>
            <w:tcW w:w="2720" w:type="dxa"/>
          </w:tcPr>
          <w:p>
            <w:pPr>
              <w:rPr>
                <w:rFonts w:ascii="宋体" w:hAnsi="宋体" w:cs="宋体"/>
                <w:sz w:val="20"/>
                <w:szCs w:val="20"/>
              </w:rPr>
            </w:pPr>
            <w:r>
              <w:rPr>
                <w:rFonts w:hint="eastAsia" w:ascii="宋体" w:hAnsi="宋体" w:cs="宋体"/>
                <w:sz w:val="20"/>
                <w:szCs w:val="20"/>
              </w:rPr>
              <w:t>1.能正确复述睑腺炎、睑板腺囊肿、急性泪囊炎、慢性泪囊炎的定义</w:t>
            </w:r>
          </w:p>
          <w:p>
            <w:pPr>
              <w:rPr>
                <w:rFonts w:ascii="宋体" w:hAnsi="宋体" w:cs="宋体"/>
                <w:sz w:val="20"/>
                <w:szCs w:val="20"/>
              </w:rPr>
            </w:pPr>
            <w:r>
              <w:rPr>
                <w:rFonts w:hint="eastAsia" w:ascii="宋体" w:hAnsi="宋体" w:cs="宋体"/>
                <w:sz w:val="20"/>
                <w:szCs w:val="20"/>
              </w:rPr>
              <w:t>2.能正确复述睑腺炎、睑板腺囊肿、睑缘炎、睑内翻和倒睫、睑外翻、眼睑闭合不全、上睑下垂、急性泪囊炎、慢性泪囊炎病人的护理评估、治疗要点和护理措施</w:t>
            </w:r>
          </w:p>
          <w:p>
            <w:pPr>
              <w:rPr>
                <w:rFonts w:ascii="宋体" w:hAnsi="宋体" w:cs="宋体"/>
                <w:sz w:val="20"/>
                <w:szCs w:val="20"/>
              </w:rPr>
            </w:pPr>
            <w:r>
              <w:rPr>
                <w:rFonts w:hint="eastAsia" w:ascii="宋体" w:hAnsi="宋体" w:cs="宋体"/>
                <w:sz w:val="20"/>
                <w:szCs w:val="20"/>
              </w:rPr>
              <w:t>3.能正确描述睑腺炎切开排脓时切口的位置及方向</w:t>
            </w:r>
          </w:p>
          <w:p>
            <w:pPr>
              <w:rPr>
                <w:rFonts w:ascii="宋体" w:hAnsi="宋体" w:cs="宋体"/>
                <w:sz w:val="20"/>
                <w:szCs w:val="20"/>
              </w:rPr>
            </w:pPr>
            <w:r>
              <w:rPr>
                <w:rFonts w:hint="eastAsia" w:ascii="宋体" w:hAnsi="宋体" w:cs="宋体"/>
                <w:sz w:val="20"/>
                <w:szCs w:val="20"/>
              </w:rPr>
              <w:t>4.能正确判断泪道冲洗时泪道是否通畅及可能阻塞部位</w:t>
            </w:r>
          </w:p>
          <w:p>
            <w:pPr>
              <w:rPr>
                <w:rFonts w:ascii="宋体" w:hAnsi="宋体" w:cs="宋体"/>
                <w:color w:val="000000"/>
                <w:sz w:val="20"/>
                <w:szCs w:val="20"/>
              </w:rPr>
            </w:pPr>
            <w:r>
              <w:rPr>
                <w:rFonts w:hint="eastAsia" w:ascii="宋体" w:hAnsi="宋体" w:cs="宋体"/>
                <w:sz w:val="20"/>
                <w:szCs w:val="20"/>
              </w:rPr>
              <w:t>5.能正确描述泪道阻塞或狭窄的常见原因和护理评估</w:t>
            </w:r>
          </w:p>
        </w:tc>
        <w:tc>
          <w:tcPr>
            <w:tcW w:w="1500" w:type="dxa"/>
          </w:tcPr>
          <w:p>
            <w:pPr>
              <w:snapToGrid w:val="0"/>
              <w:spacing w:line="288" w:lineRule="auto"/>
              <w:jc w:val="left"/>
              <w:rPr>
                <w:rFonts w:ascii="宋体" w:hAnsi="宋体" w:cs="宋体"/>
                <w:color w:val="000000"/>
                <w:sz w:val="20"/>
                <w:szCs w:val="20"/>
              </w:rPr>
            </w:pPr>
            <w:r>
              <w:rPr>
                <w:rFonts w:hint="eastAsia" w:ascii="宋体" w:hAnsi="宋体" w:cs="宋体"/>
                <w:sz w:val="20"/>
                <w:szCs w:val="20"/>
              </w:rPr>
              <w:t>能运用本章所学知识为睑腺炎及急性泪囊炎病人制订完善的护理计划</w:t>
            </w:r>
          </w:p>
        </w:tc>
        <w:tc>
          <w:tcPr>
            <w:tcW w:w="965"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具有严谨求实的工作作风和对病人高度负责的工作态度</w:t>
            </w:r>
          </w:p>
          <w:p>
            <w:pPr>
              <w:snapToGrid w:val="0"/>
              <w:spacing w:line="288" w:lineRule="auto"/>
              <w:jc w:val="left"/>
              <w:rPr>
                <w:rFonts w:ascii="宋体" w:hAnsi="宋体" w:cs="宋体"/>
                <w:color w:val="000000"/>
                <w:sz w:val="20"/>
                <w:szCs w:val="20"/>
              </w:rPr>
            </w:pPr>
          </w:p>
        </w:tc>
        <w:tc>
          <w:tcPr>
            <w:tcW w:w="1101" w:type="dxa"/>
          </w:tcPr>
          <w:p>
            <w:pPr>
              <w:snapToGrid w:val="0"/>
              <w:spacing w:line="288" w:lineRule="auto"/>
              <w:jc w:val="left"/>
              <w:rPr>
                <w:rFonts w:ascii="宋体" w:hAnsi="宋体" w:cs="宋体"/>
                <w:sz w:val="20"/>
                <w:szCs w:val="20"/>
              </w:rPr>
            </w:pPr>
            <w:r>
              <w:rPr>
                <w:rFonts w:hint="eastAsia" w:ascii="宋体" w:hAnsi="宋体" w:cs="宋体"/>
                <w:sz w:val="20"/>
                <w:szCs w:val="20"/>
              </w:rPr>
              <w:t>眼睑炎症病人的护理措施</w:t>
            </w:r>
          </w:p>
          <w:p>
            <w:pPr>
              <w:snapToGrid w:val="0"/>
              <w:spacing w:line="288" w:lineRule="auto"/>
              <w:jc w:val="left"/>
              <w:rPr>
                <w:rFonts w:ascii="宋体" w:hAnsi="宋体" w:cs="宋体"/>
                <w:color w:val="000000"/>
                <w:sz w:val="20"/>
                <w:szCs w:val="20"/>
              </w:rPr>
            </w:pP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0.5</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4</w:t>
            </w:r>
          </w:p>
        </w:tc>
        <w:tc>
          <w:tcPr>
            <w:tcW w:w="690" w:type="dxa"/>
            <w:vAlign w:val="center"/>
          </w:tcPr>
          <w:p>
            <w:pPr>
              <w:snapToGrid w:val="0"/>
              <w:spacing w:line="288" w:lineRule="auto"/>
              <w:jc w:val="center"/>
              <w:rPr>
                <w:rFonts w:ascii="宋体" w:hAnsi="宋体" w:cs="宋体"/>
                <w:color w:val="000000"/>
                <w:sz w:val="20"/>
                <w:szCs w:val="20"/>
              </w:rPr>
            </w:pPr>
            <w:r>
              <w:rPr>
                <w:rFonts w:hint="eastAsia" w:ascii="宋体" w:hAnsi="宋体" w:cs="宋体"/>
                <w:sz w:val="20"/>
                <w:szCs w:val="20"/>
              </w:rPr>
              <w:t>眼表疾病病人的护理</w:t>
            </w:r>
          </w:p>
        </w:tc>
        <w:tc>
          <w:tcPr>
            <w:tcW w:w="2720" w:type="dxa"/>
          </w:tcPr>
          <w:p>
            <w:pPr>
              <w:rPr>
                <w:rFonts w:ascii="宋体" w:hAnsi="宋体" w:cs="宋体"/>
                <w:sz w:val="20"/>
                <w:szCs w:val="20"/>
              </w:rPr>
            </w:pPr>
            <w:r>
              <w:rPr>
                <w:rFonts w:hint="eastAsia" w:ascii="宋体" w:hAnsi="宋体" w:cs="宋体"/>
                <w:sz w:val="20"/>
                <w:szCs w:val="20"/>
              </w:rPr>
              <w:t>1.能正确描述干眼症病人的典型症状、体征、治疗要点、主要护理诊断与措施</w:t>
            </w:r>
          </w:p>
          <w:p>
            <w:pPr>
              <w:rPr>
                <w:rFonts w:ascii="宋体" w:hAnsi="宋体" w:cs="宋体"/>
                <w:sz w:val="20"/>
                <w:szCs w:val="20"/>
              </w:rPr>
            </w:pPr>
            <w:r>
              <w:rPr>
                <w:rFonts w:hint="eastAsia" w:ascii="宋体" w:hAnsi="宋体" w:cs="宋体"/>
                <w:sz w:val="20"/>
                <w:szCs w:val="20"/>
              </w:rPr>
              <w:t>2.能正确描述睑板腺功能异常常见的症状、主要的护理诊断与措施</w:t>
            </w:r>
          </w:p>
          <w:p>
            <w:pPr>
              <w:rPr>
                <w:rFonts w:ascii="宋体" w:hAnsi="宋体" w:cs="宋体"/>
                <w:sz w:val="20"/>
                <w:szCs w:val="20"/>
              </w:rPr>
            </w:pPr>
            <w:r>
              <w:rPr>
                <w:rFonts w:hint="eastAsia" w:ascii="宋体" w:hAnsi="宋体" w:cs="宋体"/>
                <w:sz w:val="20"/>
                <w:szCs w:val="20"/>
              </w:rPr>
              <w:t>3.理解干眼症的病因和发病机制</w:t>
            </w:r>
          </w:p>
          <w:p>
            <w:pPr>
              <w:rPr>
                <w:rFonts w:ascii="宋体" w:hAnsi="宋体" w:cs="宋体"/>
                <w:color w:val="000000"/>
                <w:sz w:val="20"/>
                <w:szCs w:val="20"/>
              </w:rPr>
            </w:pPr>
            <w:r>
              <w:rPr>
                <w:rFonts w:hint="eastAsia" w:ascii="宋体" w:hAnsi="宋体" w:cs="宋体"/>
                <w:sz w:val="20"/>
                <w:szCs w:val="20"/>
              </w:rPr>
              <w:t>4.理解睑板腺功能障碍的发病因素、主要治疗方法</w:t>
            </w:r>
          </w:p>
        </w:tc>
        <w:tc>
          <w:tcPr>
            <w:tcW w:w="1500" w:type="dxa"/>
          </w:tcPr>
          <w:p>
            <w:pPr>
              <w:snapToGrid w:val="0"/>
              <w:spacing w:line="288" w:lineRule="auto"/>
              <w:jc w:val="left"/>
              <w:rPr>
                <w:rFonts w:ascii="宋体" w:hAnsi="宋体" w:cs="宋体"/>
                <w:color w:val="000000"/>
                <w:sz w:val="20"/>
                <w:szCs w:val="20"/>
              </w:rPr>
            </w:pPr>
            <w:r>
              <w:rPr>
                <w:rFonts w:hint="eastAsia" w:ascii="宋体" w:hAnsi="宋体" w:cs="宋体"/>
                <w:sz w:val="20"/>
                <w:szCs w:val="20"/>
              </w:rPr>
              <w:t>能够运用所学知识为干眼症病人及睑板腺功能障碍病人进行健康教育</w:t>
            </w:r>
          </w:p>
        </w:tc>
        <w:tc>
          <w:tcPr>
            <w:tcW w:w="965"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具有严谨求实的工作作风和对病人高度负责的工作态度</w:t>
            </w:r>
          </w:p>
          <w:p>
            <w:pPr>
              <w:snapToGrid w:val="0"/>
              <w:spacing w:line="288" w:lineRule="auto"/>
              <w:jc w:val="left"/>
              <w:rPr>
                <w:rFonts w:ascii="宋体" w:hAnsi="宋体" w:cs="宋体"/>
                <w:color w:val="000000"/>
                <w:sz w:val="20"/>
                <w:szCs w:val="20"/>
              </w:rPr>
            </w:pPr>
          </w:p>
        </w:tc>
        <w:tc>
          <w:tcPr>
            <w:tcW w:w="1101"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1.</w:t>
            </w:r>
            <w:r>
              <w:rPr>
                <w:rFonts w:hint="eastAsia" w:ascii="宋体" w:hAnsi="宋体" w:cs="宋体"/>
                <w:sz w:val="20"/>
                <w:szCs w:val="20"/>
              </w:rPr>
              <w:t>干眼症病人的主要护理诊断与措施</w:t>
            </w:r>
          </w:p>
          <w:p>
            <w:pPr>
              <w:rPr>
                <w:rFonts w:ascii="宋体" w:hAnsi="宋体" w:cs="宋体"/>
                <w:sz w:val="20"/>
                <w:szCs w:val="20"/>
              </w:rPr>
            </w:pPr>
            <w:r>
              <w:rPr>
                <w:rFonts w:hint="eastAsia" w:ascii="宋体" w:hAnsi="宋体" w:cs="宋体"/>
                <w:color w:val="000000"/>
                <w:sz w:val="20"/>
                <w:szCs w:val="20"/>
              </w:rPr>
              <w:t>2.</w:t>
            </w:r>
            <w:r>
              <w:rPr>
                <w:rFonts w:hint="eastAsia" w:ascii="宋体" w:hAnsi="宋体" w:cs="宋体"/>
                <w:sz w:val="20"/>
                <w:szCs w:val="20"/>
              </w:rPr>
              <w:t>睑板腺功能异常的主要护理诊断与措施</w:t>
            </w:r>
          </w:p>
          <w:p>
            <w:pPr>
              <w:snapToGrid w:val="0"/>
              <w:spacing w:line="288" w:lineRule="auto"/>
              <w:jc w:val="left"/>
              <w:rPr>
                <w:rFonts w:ascii="宋体" w:hAnsi="宋体" w:cs="宋体"/>
                <w:color w:val="000000"/>
                <w:sz w:val="20"/>
                <w:szCs w:val="20"/>
              </w:rPr>
            </w:pP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0.5</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5</w:t>
            </w:r>
          </w:p>
        </w:tc>
        <w:tc>
          <w:tcPr>
            <w:tcW w:w="690" w:type="dxa"/>
            <w:vAlign w:val="center"/>
          </w:tcPr>
          <w:p>
            <w:pPr>
              <w:snapToGrid w:val="0"/>
              <w:spacing w:line="288" w:lineRule="auto"/>
              <w:jc w:val="center"/>
              <w:rPr>
                <w:rFonts w:ascii="宋体" w:hAnsi="宋体" w:cs="宋体"/>
                <w:color w:val="000000"/>
                <w:sz w:val="20"/>
                <w:szCs w:val="20"/>
              </w:rPr>
            </w:pPr>
            <w:r>
              <w:rPr>
                <w:rFonts w:hint="eastAsia" w:ascii="宋体" w:hAnsi="宋体" w:cs="宋体"/>
                <w:sz w:val="20"/>
                <w:szCs w:val="20"/>
              </w:rPr>
              <w:t>结膜病病人的护理</w:t>
            </w:r>
          </w:p>
        </w:tc>
        <w:tc>
          <w:tcPr>
            <w:tcW w:w="2720" w:type="dxa"/>
          </w:tcPr>
          <w:p>
            <w:pPr>
              <w:rPr>
                <w:rFonts w:ascii="宋体" w:hAnsi="宋体" w:cs="宋体"/>
                <w:sz w:val="20"/>
                <w:szCs w:val="20"/>
              </w:rPr>
            </w:pPr>
            <w:r>
              <w:rPr>
                <w:rFonts w:hint="eastAsia" w:ascii="宋体" w:hAnsi="宋体" w:cs="宋体"/>
                <w:sz w:val="20"/>
                <w:szCs w:val="20"/>
              </w:rPr>
              <w:t>1.能正确描述细菌性结膜炎、病毒性结膜炎、免疫性结膜炎病人的典型症状、体征、治疗要点、主要护理诊断和护理措施</w:t>
            </w:r>
          </w:p>
          <w:p>
            <w:pPr>
              <w:rPr>
                <w:rFonts w:ascii="宋体" w:hAnsi="宋体" w:cs="宋体"/>
                <w:sz w:val="20"/>
                <w:szCs w:val="20"/>
              </w:rPr>
            </w:pPr>
            <w:r>
              <w:rPr>
                <w:rFonts w:hint="eastAsia" w:ascii="宋体" w:hAnsi="宋体" w:cs="宋体"/>
                <w:sz w:val="20"/>
                <w:szCs w:val="20"/>
              </w:rPr>
              <w:t>2.能正确描述翼状胬肉病人的典型症状、体征及治疗要点</w:t>
            </w:r>
          </w:p>
          <w:p>
            <w:pPr>
              <w:rPr>
                <w:rFonts w:ascii="宋体" w:hAnsi="宋体" w:cs="宋体"/>
                <w:color w:val="000000"/>
                <w:sz w:val="20"/>
                <w:szCs w:val="20"/>
              </w:rPr>
            </w:pPr>
            <w:r>
              <w:rPr>
                <w:rFonts w:hint="eastAsia" w:ascii="宋体" w:hAnsi="宋体" w:cs="宋体"/>
                <w:sz w:val="20"/>
                <w:szCs w:val="20"/>
              </w:rPr>
              <w:t>3.能列表比较细菌性结膜炎、病毒性结膜炎、免疫性结膜炎病人的治疗要点和护理措施，分析其异同点</w:t>
            </w:r>
          </w:p>
        </w:tc>
        <w:tc>
          <w:tcPr>
            <w:tcW w:w="1500" w:type="dxa"/>
          </w:tcPr>
          <w:p>
            <w:pPr>
              <w:rPr>
                <w:rFonts w:ascii="宋体" w:hAnsi="宋体" w:cs="宋体"/>
                <w:sz w:val="20"/>
                <w:szCs w:val="20"/>
              </w:rPr>
            </w:pPr>
            <w:r>
              <w:rPr>
                <w:rFonts w:hint="eastAsia" w:ascii="宋体" w:hAnsi="宋体" w:cs="宋体"/>
                <w:sz w:val="20"/>
                <w:szCs w:val="20"/>
              </w:rPr>
              <w:t>1.能运用本章所学知识为急性细菌性结膜炎和病毒性结膜炎病人制订护理计划</w:t>
            </w:r>
          </w:p>
          <w:p>
            <w:pPr>
              <w:snapToGrid w:val="0"/>
              <w:spacing w:line="288" w:lineRule="auto"/>
              <w:jc w:val="left"/>
              <w:rPr>
                <w:rFonts w:ascii="宋体" w:hAnsi="宋体" w:cs="宋体"/>
                <w:color w:val="000000"/>
                <w:sz w:val="20"/>
                <w:szCs w:val="20"/>
              </w:rPr>
            </w:pPr>
            <w:r>
              <w:rPr>
                <w:rFonts w:hint="eastAsia" w:ascii="宋体" w:hAnsi="宋体" w:cs="宋体"/>
                <w:sz w:val="20"/>
                <w:szCs w:val="20"/>
              </w:rPr>
              <w:t>2.能运用所学知识对传染性结膜炎病人采取接触性隔离措施</w:t>
            </w:r>
          </w:p>
        </w:tc>
        <w:tc>
          <w:tcPr>
            <w:tcW w:w="965"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尊重、关心和体谅病人</w:t>
            </w:r>
          </w:p>
          <w:p>
            <w:pPr>
              <w:snapToGrid w:val="0"/>
              <w:spacing w:line="288" w:lineRule="auto"/>
              <w:jc w:val="left"/>
              <w:rPr>
                <w:rFonts w:ascii="宋体" w:hAnsi="宋体" w:cs="宋体"/>
                <w:color w:val="000000"/>
                <w:sz w:val="20"/>
                <w:szCs w:val="20"/>
              </w:rPr>
            </w:pPr>
          </w:p>
        </w:tc>
        <w:tc>
          <w:tcPr>
            <w:tcW w:w="1101" w:type="dxa"/>
          </w:tcPr>
          <w:p>
            <w:pPr>
              <w:snapToGrid w:val="0"/>
              <w:spacing w:line="288" w:lineRule="auto"/>
              <w:jc w:val="left"/>
              <w:rPr>
                <w:rFonts w:ascii="宋体" w:hAnsi="宋体" w:cs="宋体"/>
                <w:color w:val="000000"/>
                <w:sz w:val="20"/>
                <w:szCs w:val="20"/>
              </w:rPr>
            </w:pPr>
            <w:r>
              <w:rPr>
                <w:rFonts w:hint="eastAsia" w:ascii="宋体" w:hAnsi="宋体" w:cs="宋体"/>
                <w:sz w:val="20"/>
                <w:szCs w:val="20"/>
              </w:rPr>
              <w:t>细菌性结膜炎、病毒性结膜炎、免疫性结膜炎病人的护理措施及其异同点</w:t>
            </w: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0.5</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6</w:t>
            </w:r>
          </w:p>
        </w:tc>
        <w:tc>
          <w:tcPr>
            <w:tcW w:w="690" w:type="dxa"/>
            <w:vAlign w:val="center"/>
          </w:tcPr>
          <w:p>
            <w:pPr>
              <w:snapToGrid w:val="0"/>
              <w:spacing w:line="288" w:lineRule="auto"/>
              <w:jc w:val="center"/>
              <w:rPr>
                <w:rFonts w:ascii="宋体" w:hAnsi="宋体" w:cs="宋体"/>
                <w:color w:val="000000"/>
                <w:sz w:val="20"/>
                <w:szCs w:val="20"/>
              </w:rPr>
            </w:pPr>
            <w:r>
              <w:rPr>
                <w:rFonts w:hint="eastAsia" w:ascii="宋体" w:hAnsi="宋体" w:cs="宋体"/>
                <w:sz w:val="20"/>
                <w:szCs w:val="20"/>
              </w:rPr>
              <w:t>角膜病病人的护理</w:t>
            </w:r>
          </w:p>
        </w:tc>
        <w:tc>
          <w:tcPr>
            <w:tcW w:w="2720" w:type="dxa"/>
          </w:tcPr>
          <w:p>
            <w:pPr>
              <w:rPr>
                <w:rFonts w:ascii="宋体" w:hAnsi="宋体" w:cs="宋体"/>
                <w:sz w:val="20"/>
                <w:szCs w:val="20"/>
              </w:rPr>
            </w:pPr>
            <w:r>
              <w:rPr>
                <w:rFonts w:hint="eastAsia" w:ascii="宋体" w:hAnsi="宋体" w:cs="宋体"/>
                <w:sz w:val="20"/>
                <w:szCs w:val="20"/>
              </w:rPr>
              <w:t>1.能正确描述角膜炎的病理变化过程</w:t>
            </w:r>
          </w:p>
          <w:p>
            <w:pPr>
              <w:rPr>
                <w:rFonts w:ascii="宋体" w:hAnsi="宋体" w:cs="宋体"/>
                <w:sz w:val="20"/>
                <w:szCs w:val="20"/>
              </w:rPr>
            </w:pPr>
            <w:r>
              <w:rPr>
                <w:rFonts w:hint="eastAsia" w:ascii="宋体" w:hAnsi="宋体" w:cs="宋体"/>
                <w:sz w:val="20"/>
                <w:szCs w:val="20"/>
              </w:rPr>
              <w:t>2.能正确描述细菌性角膜炎、单纯疱疹病毒性角膜炎、真菌性角膜炎的病因和发病机制、病人身体状况的评估、治疗要点、护理诊断及护理要点</w:t>
            </w:r>
          </w:p>
          <w:p>
            <w:pPr>
              <w:rPr>
                <w:rFonts w:ascii="宋体" w:hAnsi="宋体" w:cs="宋体"/>
                <w:sz w:val="20"/>
                <w:szCs w:val="20"/>
              </w:rPr>
            </w:pPr>
            <w:r>
              <w:rPr>
                <w:rFonts w:hint="eastAsia" w:ascii="宋体" w:hAnsi="宋体" w:cs="宋体"/>
                <w:sz w:val="20"/>
                <w:szCs w:val="20"/>
              </w:rPr>
              <w:t>3.能正确描述常见的几种非感染性角膜炎的病因和发病机制、病人身体状况的评估、治疗要点、护理诊断及护理要点</w:t>
            </w:r>
          </w:p>
          <w:p>
            <w:pPr>
              <w:rPr>
                <w:rFonts w:ascii="宋体" w:hAnsi="宋体" w:cs="宋体"/>
                <w:sz w:val="20"/>
                <w:szCs w:val="20"/>
              </w:rPr>
            </w:pPr>
            <w:r>
              <w:rPr>
                <w:rFonts w:hint="eastAsia" w:ascii="宋体" w:hAnsi="宋体" w:cs="宋体"/>
                <w:sz w:val="20"/>
                <w:szCs w:val="20"/>
              </w:rPr>
              <w:t>4.能正确描述角膜移植手术病人的护理诊断及护理要点</w:t>
            </w:r>
          </w:p>
          <w:p>
            <w:pPr>
              <w:rPr>
                <w:rFonts w:ascii="宋体" w:hAnsi="宋体" w:cs="宋体"/>
                <w:color w:val="000000"/>
                <w:sz w:val="20"/>
                <w:szCs w:val="20"/>
              </w:rPr>
            </w:pPr>
            <w:r>
              <w:rPr>
                <w:rFonts w:hint="eastAsia" w:ascii="宋体" w:hAnsi="宋体" w:cs="宋体"/>
                <w:sz w:val="20"/>
                <w:szCs w:val="20"/>
              </w:rPr>
              <w:t>5.能列表比较细菌性角膜炎、单纯疱疹病毒性角膜炎、真菌性角膜炎的病因、身体状况的评估和治疗要点、主要护理诊断、护理要点，分析其异同点</w:t>
            </w:r>
          </w:p>
        </w:tc>
        <w:tc>
          <w:tcPr>
            <w:tcW w:w="1500" w:type="dxa"/>
          </w:tcPr>
          <w:p>
            <w:pPr>
              <w:snapToGrid w:val="0"/>
              <w:spacing w:line="288" w:lineRule="auto"/>
              <w:jc w:val="left"/>
              <w:rPr>
                <w:rFonts w:ascii="宋体" w:hAnsi="宋体" w:cs="宋体"/>
                <w:color w:val="000000"/>
                <w:sz w:val="20"/>
                <w:szCs w:val="20"/>
              </w:rPr>
            </w:pPr>
            <w:r>
              <w:rPr>
                <w:rFonts w:hint="eastAsia" w:ascii="宋体" w:hAnsi="宋体" w:cs="宋体"/>
                <w:sz w:val="20"/>
                <w:szCs w:val="20"/>
              </w:rPr>
              <w:t>能运用本章所学知识为角膜病病人制订完善的护理计划</w:t>
            </w:r>
          </w:p>
        </w:tc>
        <w:tc>
          <w:tcPr>
            <w:tcW w:w="965"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具有严谨求实的工作作风和对病人高度负责的工作态度</w:t>
            </w:r>
          </w:p>
          <w:p>
            <w:pPr>
              <w:snapToGrid w:val="0"/>
              <w:spacing w:line="288" w:lineRule="auto"/>
              <w:jc w:val="left"/>
              <w:rPr>
                <w:rFonts w:ascii="宋体" w:hAnsi="宋体" w:cs="宋体"/>
                <w:color w:val="000000"/>
                <w:sz w:val="20"/>
                <w:szCs w:val="20"/>
              </w:rPr>
            </w:pPr>
          </w:p>
        </w:tc>
        <w:tc>
          <w:tcPr>
            <w:tcW w:w="1101" w:type="dxa"/>
          </w:tcPr>
          <w:p>
            <w:pPr>
              <w:rPr>
                <w:rFonts w:ascii="宋体" w:hAnsi="宋体" w:cs="宋体"/>
                <w:sz w:val="20"/>
                <w:szCs w:val="20"/>
              </w:rPr>
            </w:pPr>
            <w:r>
              <w:rPr>
                <w:rFonts w:hint="eastAsia" w:ascii="宋体" w:hAnsi="宋体" w:cs="宋体"/>
                <w:sz w:val="20"/>
                <w:szCs w:val="20"/>
              </w:rPr>
              <w:t>感染性角膜炎的护理诊断及护理要点</w:t>
            </w:r>
          </w:p>
          <w:p>
            <w:pPr>
              <w:snapToGrid w:val="0"/>
              <w:spacing w:line="288" w:lineRule="auto"/>
              <w:jc w:val="left"/>
              <w:rPr>
                <w:rFonts w:ascii="宋体" w:hAnsi="宋体" w:cs="宋体"/>
                <w:color w:val="000000"/>
                <w:sz w:val="20"/>
                <w:szCs w:val="20"/>
              </w:rPr>
            </w:pP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0.5</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7</w:t>
            </w:r>
          </w:p>
        </w:tc>
        <w:tc>
          <w:tcPr>
            <w:tcW w:w="690" w:type="dxa"/>
            <w:vAlign w:val="center"/>
          </w:tcPr>
          <w:p>
            <w:pPr>
              <w:snapToGrid w:val="0"/>
              <w:spacing w:line="288" w:lineRule="auto"/>
              <w:jc w:val="center"/>
              <w:rPr>
                <w:rFonts w:ascii="宋体" w:hAnsi="宋体" w:cs="宋体"/>
                <w:color w:val="000000"/>
                <w:sz w:val="20"/>
                <w:szCs w:val="20"/>
              </w:rPr>
            </w:pPr>
            <w:r>
              <w:rPr>
                <w:rFonts w:hint="eastAsia" w:ascii="宋体" w:hAnsi="宋体" w:cs="宋体"/>
                <w:sz w:val="20"/>
                <w:szCs w:val="20"/>
              </w:rPr>
              <w:t>白内障病人的护理</w:t>
            </w:r>
          </w:p>
        </w:tc>
        <w:tc>
          <w:tcPr>
            <w:tcW w:w="2720" w:type="dxa"/>
          </w:tcPr>
          <w:p>
            <w:pPr>
              <w:rPr>
                <w:rFonts w:ascii="宋体" w:hAnsi="宋体" w:cs="宋体"/>
                <w:sz w:val="20"/>
                <w:szCs w:val="20"/>
              </w:rPr>
            </w:pPr>
            <w:r>
              <w:rPr>
                <w:rFonts w:hint="eastAsia" w:ascii="宋体" w:hAnsi="宋体" w:cs="宋体"/>
                <w:sz w:val="20"/>
                <w:szCs w:val="20"/>
              </w:rPr>
              <w:t>1.能正确描述白内障的定义及主要症状</w:t>
            </w:r>
          </w:p>
          <w:p>
            <w:pPr>
              <w:rPr>
                <w:rFonts w:ascii="宋体" w:hAnsi="宋体" w:cs="宋体"/>
                <w:sz w:val="20"/>
                <w:szCs w:val="20"/>
              </w:rPr>
            </w:pPr>
            <w:r>
              <w:rPr>
                <w:rFonts w:hint="eastAsia" w:ascii="宋体" w:hAnsi="宋体" w:cs="宋体"/>
                <w:sz w:val="20"/>
                <w:szCs w:val="20"/>
              </w:rPr>
              <w:t>2.能正确描述年龄相关性白内障病人的类型，皮质性白内障的临床分期、治疗要点、主要护理诊断和护理措施</w:t>
            </w:r>
          </w:p>
          <w:p>
            <w:pPr>
              <w:rPr>
                <w:rFonts w:ascii="宋体" w:hAnsi="宋体" w:cs="宋体"/>
                <w:sz w:val="20"/>
                <w:szCs w:val="20"/>
              </w:rPr>
            </w:pPr>
            <w:r>
              <w:rPr>
                <w:rFonts w:hint="eastAsia" w:ascii="宋体" w:hAnsi="宋体" w:cs="宋体"/>
                <w:sz w:val="20"/>
                <w:szCs w:val="20"/>
              </w:rPr>
              <w:t>3.能正确描述糖尿病性白内障病人身体状况的评估和治疗要点，主要护理诊断和护理措施</w:t>
            </w:r>
          </w:p>
          <w:p>
            <w:pPr>
              <w:rPr>
                <w:rFonts w:ascii="宋体" w:hAnsi="宋体" w:cs="宋体"/>
                <w:sz w:val="20"/>
                <w:szCs w:val="20"/>
              </w:rPr>
            </w:pPr>
            <w:r>
              <w:rPr>
                <w:rFonts w:hint="eastAsia" w:ascii="宋体" w:hAnsi="宋体" w:cs="宋体"/>
                <w:sz w:val="20"/>
                <w:szCs w:val="20"/>
              </w:rPr>
              <w:t>4.理解白内障的分类</w:t>
            </w:r>
          </w:p>
          <w:p>
            <w:pPr>
              <w:rPr>
                <w:rFonts w:ascii="宋体" w:hAnsi="宋体" w:cs="宋体"/>
                <w:color w:val="000000"/>
                <w:sz w:val="20"/>
                <w:szCs w:val="20"/>
              </w:rPr>
            </w:pPr>
            <w:r>
              <w:rPr>
                <w:rFonts w:hint="eastAsia" w:ascii="宋体" w:hAnsi="宋体" w:cs="宋体"/>
                <w:sz w:val="20"/>
                <w:szCs w:val="20"/>
              </w:rPr>
              <w:t>5.理解先天性白内障的相关发病因素、治疗要点、主要护理诊断和护理措施</w:t>
            </w:r>
          </w:p>
        </w:tc>
        <w:tc>
          <w:tcPr>
            <w:tcW w:w="1500" w:type="dxa"/>
          </w:tcPr>
          <w:p>
            <w:pPr>
              <w:snapToGrid w:val="0"/>
              <w:spacing w:line="288" w:lineRule="auto"/>
              <w:jc w:val="left"/>
              <w:rPr>
                <w:rFonts w:ascii="宋体" w:hAnsi="宋体" w:cs="宋体"/>
                <w:color w:val="000000"/>
                <w:sz w:val="20"/>
                <w:szCs w:val="20"/>
              </w:rPr>
            </w:pPr>
            <w:r>
              <w:rPr>
                <w:rFonts w:hint="eastAsia" w:ascii="宋体" w:hAnsi="宋体" w:cs="宋体"/>
                <w:sz w:val="20"/>
                <w:szCs w:val="20"/>
              </w:rPr>
              <w:t>能运用所学知识，为白内障病人制订手术护理计划</w:t>
            </w:r>
          </w:p>
        </w:tc>
        <w:tc>
          <w:tcPr>
            <w:tcW w:w="965"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具有严谨求实的工作作风和对病人高度负责的工作态度</w:t>
            </w:r>
          </w:p>
          <w:p>
            <w:pPr>
              <w:snapToGrid w:val="0"/>
              <w:spacing w:line="288" w:lineRule="auto"/>
              <w:jc w:val="left"/>
              <w:rPr>
                <w:rFonts w:ascii="宋体" w:hAnsi="宋体" w:cs="宋体"/>
                <w:color w:val="000000"/>
                <w:sz w:val="20"/>
                <w:szCs w:val="20"/>
              </w:rPr>
            </w:pPr>
          </w:p>
        </w:tc>
        <w:tc>
          <w:tcPr>
            <w:tcW w:w="1101" w:type="dxa"/>
          </w:tcPr>
          <w:p>
            <w:pPr>
              <w:rPr>
                <w:rFonts w:ascii="宋体" w:hAnsi="宋体" w:cs="宋体"/>
                <w:sz w:val="20"/>
                <w:szCs w:val="20"/>
              </w:rPr>
            </w:pPr>
            <w:r>
              <w:rPr>
                <w:rFonts w:hint="eastAsia" w:ascii="宋体" w:hAnsi="宋体" w:cs="宋体"/>
                <w:sz w:val="20"/>
                <w:szCs w:val="20"/>
              </w:rPr>
              <w:t>年龄相关性白内障病人的类型，皮质性白内障的主要护理诊断和护理措施</w:t>
            </w:r>
          </w:p>
          <w:p>
            <w:pPr>
              <w:snapToGrid w:val="0"/>
              <w:spacing w:line="288" w:lineRule="auto"/>
              <w:jc w:val="left"/>
              <w:rPr>
                <w:rFonts w:ascii="宋体" w:hAnsi="宋体" w:cs="宋体"/>
                <w:color w:val="000000"/>
                <w:sz w:val="20"/>
                <w:szCs w:val="20"/>
              </w:rPr>
            </w:pP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8</w:t>
            </w:r>
          </w:p>
        </w:tc>
        <w:tc>
          <w:tcPr>
            <w:tcW w:w="690" w:type="dxa"/>
            <w:vAlign w:val="center"/>
          </w:tcPr>
          <w:p>
            <w:pPr>
              <w:snapToGrid w:val="0"/>
              <w:spacing w:line="288" w:lineRule="auto"/>
              <w:jc w:val="center"/>
              <w:rPr>
                <w:rFonts w:ascii="宋体" w:hAnsi="宋体" w:cs="宋体"/>
                <w:color w:val="000000"/>
                <w:sz w:val="20"/>
                <w:szCs w:val="20"/>
              </w:rPr>
            </w:pPr>
            <w:r>
              <w:rPr>
                <w:rFonts w:hint="eastAsia" w:ascii="宋体" w:hAnsi="宋体" w:cs="宋体"/>
                <w:sz w:val="20"/>
                <w:szCs w:val="20"/>
              </w:rPr>
              <w:t>青光眼病人的护理</w:t>
            </w:r>
          </w:p>
        </w:tc>
        <w:tc>
          <w:tcPr>
            <w:tcW w:w="2720" w:type="dxa"/>
          </w:tcPr>
          <w:p>
            <w:pPr>
              <w:rPr>
                <w:rFonts w:ascii="宋体" w:hAnsi="宋体" w:cs="宋体"/>
                <w:sz w:val="20"/>
                <w:szCs w:val="20"/>
              </w:rPr>
            </w:pPr>
            <w:r>
              <w:rPr>
                <w:rFonts w:hint="eastAsia" w:ascii="宋体" w:hAnsi="宋体" w:cs="宋体"/>
                <w:sz w:val="20"/>
                <w:szCs w:val="20"/>
              </w:rPr>
              <w:t>1.能正确描述青光眼的定义</w:t>
            </w:r>
          </w:p>
          <w:p>
            <w:pPr>
              <w:rPr>
                <w:rFonts w:ascii="宋体" w:hAnsi="宋体" w:cs="宋体"/>
                <w:sz w:val="20"/>
                <w:szCs w:val="20"/>
              </w:rPr>
            </w:pPr>
            <w:r>
              <w:rPr>
                <w:rFonts w:hint="eastAsia" w:ascii="宋体" w:hAnsi="宋体" w:cs="宋体"/>
                <w:sz w:val="20"/>
                <w:szCs w:val="20"/>
              </w:rPr>
              <w:t>2.能正确描述青光眼的临床分类</w:t>
            </w:r>
          </w:p>
          <w:p>
            <w:pPr>
              <w:rPr>
                <w:rFonts w:ascii="宋体" w:hAnsi="宋体" w:cs="宋体"/>
                <w:sz w:val="20"/>
                <w:szCs w:val="20"/>
              </w:rPr>
            </w:pPr>
            <w:r>
              <w:rPr>
                <w:rFonts w:hint="eastAsia" w:ascii="宋体" w:hAnsi="宋体" w:cs="宋体"/>
                <w:sz w:val="20"/>
                <w:szCs w:val="20"/>
              </w:rPr>
              <w:t>3.能正确描述急性闭角型青光眼的病因和发病机制</w:t>
            </w:r>
          </w:p>
          <w:p>
            <w:pPr>
              <w:rPr>
                <w:rFonts w:ascii="宋体" w:hAnsi="宋体" w:cs="宋体"/>
                <w:sz w:val="20"/>
                <w:szCs w:val="20"/>
              </w:rPr>
            </w:pPr>
            <w:r>
              <w:rPr>
                <w:rFonts w:hint="eastAsia" w:ascii="宋体" w:hAnsi="宋体" w:cs="宋体"/>
                <w:sz w:val="20"/>
                <w:szCs w:val="20"/>
              </w:rPr>
              <w:t>4.能正确描述急性闭角型青光眼病人急性发作时护理评估和治疗要点、主要护理诊断和护理措施</w:t>
            </w:r>
          </w:p>
          <w:p>
            <w:pPr>
              <w:rPr>
                <w:rFonts w:ascii="宋体" w:hAnsi="宋体" w:cs="宋体"/>
                <w:sz w:val="20"/>
                <w:szCs w:val="20"/>
              </w:rPr>
            </w:pPr>
            <w:r>
              <w:rPr>
                <w:rFonts w:hint="eastAsia" w:ascii="宋体" w:hAnsi="宋体" w:cs="宋体"/>
                <w:sz w:val="20"/>
                <w:szCs w:val="20"/>
              </w:rPr>
              <w:t>5.能正确描述原发性开角型青光眼病人的护理评估、护理措施和治疗要点</w:t>
            </w:r>
          </w:p>
          <w:p>
            <w:pPr>
              <w:rPr>
                <w:rFonts w:ascii="宋体" w:hAnsi="宋体" w:cs="宋体"/>
                <w:sz w:val="20"/>
                <w:szCs w:val="20"/>
              </w:rPr>
            </w:pPr>
            <w:r>
              <w:rPr>
                <w:rFonts w:hint="eastAsia" w:ascii="宋体" w:hAnsi="宋体" w:cs="宋体"/>
                <w:sz w:val="20"/>
                <w:szCs w:val="20"/>
              </w:rPr>
              <w:t>6.理解发育性青光眼病人的评估、护理措施</w:t>
            </w:r>
          </w:p>
          <w:p>
            <w:pPr>
              <w:rPr>
                <w:rFonts w:ascii="宋体" w:hAnsi="宋体" w:cs="宋体"/>
                <w:color w:val="000000"/>
                <w:sz w:val="20"/>
                <w:szCs w:val="20"/>
              </w:rPr>
            </w:pPr>
            <w:r>
              <w:rPr>
                <w:rFonts w:hint="eastAsia" w:ascii="宋体" w:hAnsi="宋体" w:cs="宋体"/>
                <w:sz w:val="20"/>
                <w:szCs w:val="20"/>
              </w:rPr>
              <w:t>7.能比较原发性闭角型青光眼病人与原发性开角型青光眼病人的身体状况的评估，治疗要点的不同</w:t>
            </w:r>
          </w:p>
        </w:tc>
        <w:tc>
          <w:tcPr>
            <w:tcW w:w="1500" w:type="dxa"/>
          </w:tcPr>
          <w:p>
            <w:pPr>
              <w:snapToGrid w:val="0"/>
              <w:spacing w:line="288" w:lineRule="auto"/>
              <w:jc w:val="left"/>
              <w:rPr>
                <w:rFonts w:ascii="宋体" w:hAnsi="宋体" w:cs="宋体"/>
                <w:color w:val="000000"/>
                <w:sz w:val="20"/>
                <w:szCs w:val="20"/>
              </w:rPr>
            </w:pPr>
            <w:r>
              <w:rPr>
                <w:rFonts w:hint="eastAsia" w:ascii="宋体" w:hAnsi="宋体" w:cs="宋体"/>
                <w:sz w:val="20"/>
                <w:szCs w:val="20"/>
              </w:rPr>
              <w:t>能运用所学知识为青光眼病人制订完善的护理计划</w:t>
            </w:r>
          </w:p>
        </w:tc>
        <w:tc>
          <w:tcPr>
            <w:tcW w:w="965"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具有严谨求实的工作作风和对病人高度负责的工作态度</w:t>
            </w:r>
          </w:p>
          <w:p>
            <w:pPr>
              <w:snapToGrid w:val="0"/>
              <w:spacing w:line="288" w:lineRule="auto"/>
              <w:jc w:val="left"/>
              <w:rPr>
                <w:rFonts w:ascii="宋体" w:hAnsi="宋体" w:cs="宋体"/>
                <w:color w:val="000000"/>
                <w:sz w:val="20"/>
                <w:szCs w:val="20"/>
              </w:rPr>
            </w:pPr>
          </w:p>
        </w:tc>
        <w:tc>
          <w:tcPr>
            <w:tcW w:w="1101" w:type="dxa"/>
          </w:tcPr>
          <w:p>
            <w:pPr>
              <w:rPr>
                <w:rFonts w:ascii="宋体" w:hAnsi="宋体" w:cs="宋体"/>
                <w:sz w:val="20"/>
                <w:szCs w:val="20"/>
              </w:rPr>
            </w:pPr>
            <w:r>
              <w:rPr>
                <w:rFonts w:hint="eastAsia" w:ascii="宋体" w:hAnsi="宋体" w:cs="宋体"/>
                <w:sz w:val="20"/>
                <w:szCs w:val="20"/>
              </w:rPr>
              <w:t>原发性青光眼病人的主要护理诊断和护理措施</w:t>
            </w:r>
          </w:p>
          <w:p>
            <w:pPr>
              <w:snapToGrid w:val="0"/>
              <w:spacing w:line="288" w:lineRule="auto"/>
              <w:jc w:val="left"/>
              <w:rPr>
                <w:rFonts w:ascii="宋体" w:hAnsi="宋体" w:cs="宋体"/>
                <w:color w:val="000000"/>
                <w:sz w:val="20"/>
                <w:szCs w:val="20"/>
              </w:rPr>
            </w:pP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0.5</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2"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9</w:t>
            </w:r>
          </w:p>
        </w:tc>
        <w:tc>
          <w:tcPr>
            <w:tcW w:w="690" w:type="dxa"/>
            <w:vAlign w:val="center"/>
          </w:tcPr>
          <w:p>
            <w:pPr>
              <w:snapToGrid w:val="0"/>
              <w:spacing w:line="288" w:lineRule="auto"/>
              <w:jc w:val="center"/>
              <w:rPr>
                <w:rFonts w:ascii="宋体" w:hAnsi="宋体" w:cs="宋体"/>
                <w:sz w:val="20"/>
                <w:szCs w:val="20"/>
              </w:rPr>
            </w:pPr>
            <w:r>
              <w:rPr>
                <w:rFonts w:hint="eastAsia" w:ascii="宋体" w:hAnsi="宋体" w:cs="宋体"/>
                <w:sz w:val="20"/>
                <w:szCs w:val="20"/>
              </w:rPr>
              <w:t>葡萄膜炎病人的护理</w:t>
            </w:r>
          </w:p>
        </w:tc>
        <w:tc>
          <w:tcPr>
            <w:tcW w:w="2720" w:type="dxa"/>
          </w:tcPr>
          <w:p>
            <w:pPr>
              <w:rPr>
                <w:rFonts w:ascii="宋体" w:hAnsi="宋体" w:cs="宋体"/>
                <w:sz w:val="20"/>
                <w:szCs w:val="20"/>
              </w:rPr>
            </w:pPr>
            <w:r>
              <w:rPr>
                <w:rFonts w:hint="eastAsia" w:ascii="宋体" w:hAnsi="宋体" w:cs="宋体"/>
                <w:sz w:val="20"/>
                <w:szCs w:val="20"/>
              </w:rPr>
              <w:t>1.能正确描述急性虹膜睫状体炎病人的护理评估内容</w:t>
            </w:r>
          </w:p>
          <w:p>
            <w:pPr>
              <w:rPr>
                <w:rFonts w:ascii="宋体" w:hAnsi="宋体" w:cs="宋体"/>
                <w:sz w:val="20"/>
                <w:szCs w:val="20"/>
              </w:rPr>
            </w:pPr>
            <w:r>
              <w:rPr>
                <w:rFonts w:hint="eastAsia" w:ascii="宋体" w:hAnsi="宋体" w:cs="宋体"/>
                <w:sz w:val="20"/>
                <w:szCs w:val="20"/>
              </w:rPr>
              <w:t>2.能正确描述急性虹膜睫状体炎的病因及治疗原则</w:t>
            </w:r>
          </w:p>
          <w:p>
            <w:pPr>
              <w:rPr>
                <w:rFonts w:ascii="宋体" w:hAnsi="宋体" w:cs="宋体"/>
                <w:sz w:val="20"/>
                <w:szCs w:val="20"/>
              </w:rPr>
            </w:pPr>
            <w:r>
              <w:rPr>
                <w:rFonts w:hint="eastAsia" w:ascii="宋体" w:hAnsi="宋体" w:cs="宋体"/>
                <w:sz w:val="20"/>
                <w:szCs w:val="20"/>
              </w:rPr>
              <w:t>3.理解急性虹膜睫状体炎的临床表现和治疗原则</w:t>
            </w:r>
          </w:p>
          <w:p>
            <w:pPr>
              <w:rPr>
                <w:rFonts w:ascii="宋体" w:hAnsi="宋体" w:cs="宋体"/>
                <w:color w:val="000000"/>
                <w:sz w:val="20"/>
                <w:szCs w:val="20"/>
              </w:rPr>
            </w:pPr>
            <w:r>
              <w:rPr>
                <w:rFonts w:hint="eastAsia" w:ascii="宋体" w:hAnsi="宋体" w:cs="宋体"/>
                <w:sz w:val="20"/>
                <w:szCs w:val="20"/>
              </w:rPr>
              <w:t>4.理解急性虹膜睫状体炎药物治疗的护理</w:t>
            </w:r>
          </w:p>
        </w:tc>
        <w:tc>
          <w:tcPr>
            <w:tcW w:w="1500" w:type="dxa"/>
          </w:tcPr>
          <w:p>
            <w:pPr>
              <w:snapToGrid w:val="0"/>
              <w:spacing w:line="288" w:lineRule="auto"/>
              <w:jc w:val="left"/>
              <w:rPr>
                <w:rFonts w:ascii="宋体" w:hAnsi="宋体" w:cs="宋体"/>
                <w:sz w:val="20"/>
                <w:szCs w:val="20"/>
              </w:rPr>
            </w:pPr>
            <w:r>
              <w:rPr>
                <w:rFonts w:hint="eastAsia" w:ascii="宋体" w:hAnsi="宋体" w:cs="宋体"/>
                <w:sz w:val="20"/>
                <w:szCs w:val="20"/>
              </w:rPr>
              <w:t>能运用所学知识为急性虹膜睫状体炎病人制订完善的护理方案</w:t>
            </w:r>
          </w:p>
        </w:tc>
        <w:tc>
          <w:tcPr>
            <w:tcW w:w="965"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具有严谨求实的工作作风和对病人高度负责的工作态度</w:t>
            </w:r>
          </w:p>
        </w:tc>
        <w:tc>
          <w:tcPr>
            <w:tcW w:w="1101" w:type="dxa"/>
          </w:tcPr>
          <w:p>
            <w:pPr>
              <w:snapToGrid w:val="0"/>
              <w:spacing w:line="288" w:lineRule="auto"/>
              <w:jc w:val="left"/>
              <w:rPr>
                <w:rFonts w:ascii="宋体" w:hAnsi="宋体" w:cs="宋体"/>
                <w:color w:val="000000"/>
                <w:sz w:val="20"/>
                <w:szCs w:val="20"/>
              </w:rPr>
            </w:pPr>
            <w:r>
              <w:rPr>
                <w:rFonts w:hint="eastAsia" w:ascii="宋体" w:hAnsi="宋体" w:cs="宋体"/>
                <w:sz w:val="20"/>
                <w:szCs w:val="20"/>
              </w:rPr>
              <w:t>急性虹膜睫状体炎病人的主要护理诊断和护理措施</w:t>
            </w: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0.5</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10</w:t>
            </w:r>
          </w:p>
        </w:tc>
        <w:tc>
          <w:tcPr>
            <w:tcW w:w="690" w:type="dxa"/>
            <w:vAlign w:val="center"/>
          </w:tcPr>
          <w:p>
            <w:pPr>
              <w:snapToGrid w:val="0"/>
              <w:spacing w:line="288" w:lineRule="auto"/>
              <w:jc w:val="center"/>
              <w:rPr>
                <w:rFonts w:ascii="宋体" w:hAnsi="宋体" w:cs="宋体"/>
                <w:sz w:val="20"/>
                <w:szCs w:val="20"/>
              </w:rPr>
            </w:pPr>
            <w:r>
              <w:rPr>
                <w:rFonts w:hint="eastAsia" w:ascii="宋体" w:hAnsi="宋体" w:cs="宋体"/>
                <w:sz w:val="20"/>
                <w:szCs w:val="20"/>
              </w:rPr>
              <w:t>玻璃体和视网膜病病人的护理</w:t>
            </w:r>
          </w:p>
        </w:tc>
        <w:tc>
          <w:tcPr>
            <w:tcW w:w="2720" w:type="dxa"/>
          </w:tcPr>
          <w:p>
            <w:pPr>
              <w:rPr>
                <w:rFonts w:ascii="宋体" w:hAnsi="宋体" w:cs="宋体"/>
                <w:sz w:val="20"/>
                <w:szCs w:val="20"/>
              </w:rPr>
            </w:pPr>
            <w:r>
              <w:rPr>
                <w:rFonts w:hint="eastAsia" w:ascii="宋体" w:hAnsi="宋体" w:cs="宋体"/>
                <w:sz w:val="20"/>
                <w:szCs w:val="20"/>
              </w:rPr>
              <w:t>1.能正确描述玻璃体疾病、视网膜动、静脉阻塞、高血压性视网膜病变、糖尿病性视网膜病变、视网膜脱离、老年性黄斑变性、黄斑裂孔疾病病人的护理评估内容、病因、发病机制及治疗原则</w:t>
            </w:r>
          </w:p>
          <w:p>
            <w:pPr>
              <w:rPr>
                <w:rFonts w:ascii="宋体" w:hAnsi="宋体" w:cs="宋体"/>
                <w:sz w:val="20"/>
                <w:szCs w:val="20"/>
              </w:rPr>
            </w:pPr>
            <w:r>
              <w:rPr>
                <w:rFonts w:hint="eastAsia" w:ascii="宋体" w:hAnsi="宋体" w:cs="宋体"/>
                <w:sz w:val="20"/>
                <w:szCs w:val="20"/>
              </w:rPr>
              <w:t>2.分析比较玻璃体液化和玻璃体积血的发病机制及临床表现</w:t>
            </w:r>
          </w:p>
          <w:p>
            <w:pPr>
              <w:rPr>
                <w:rFonts w:ascii="宋体" w:hAnsi="宋体" w:cs="宋体"/>
                <w:sz w:val="20"/>
                <w:szCs w:val="20"/>
              </w:rPr>
            </w:pPr>
            <w:r>
              <w:rPr>
                <w:rFonts w:hint="eastAsia" w:ascii="宋体" w:hAnsi="宋体" w:cs="宋体"/>
                <w:sz w:val="20"/>
                <w:szCs w:val="20"/>
              </w:rPr>
              <w:t>3.分析比较视网膜动脉阻塞、视网膜静脉阻塞的临床表现、治疗原则、护理要点</w:t>
            </w:r>
          </w:p>
          <w:p>
            <w:pPr>
              <w:rPr>
                <w:rFonts w:ascii="宋体" w:hAnsi="宋体" w:cs="宋体"/>
                <w:sz w:val="20"/>
                <w:szCs w:val="20"/>
              </w:rPr>
            </w:pPr>
            <w:r>
              <w:rPr>
                <w:rFonts w:hint="eastAsia" w:ascii="宋体" w:hAnsi="宋体" w:cs="宋体"/>
                <w:sz w:val="20"/>
                <w:szCs w:val="20"/>
              </w:rPr>
              <w:t>4.分析比较糖尿病性视网膜病变和高血压性视网膜病变的临床表现和治疗原则</w:t>
            </w:r>
          </w:p>
          <w:p>
            <w:pPr>
              <w:rPr>
                <w:rFonts w:ascii="宋体" w:hAnsi="宋体" w:cs="宋体"/>
                <w:sz w:val="20"/>
                <w:szCs w:val="20"/>
              </w:rPr>
            </w:pPr>
            <w:r>
              <w:rPr>
                <w:rFonts w:hint="eastAsia" w:ascii="宋体" w:hAnsi="宋体" w:cs="宋体"/>
                <w:sz w:val="20"/>
                <w:szCs w:val="20"/>
              </w:rPr>
              <w:t>5.理解视网膜脱离的临床表现、治疗原则和护理要点</w:t>
            </w:r>
          </w:p>
          <w:p>
            <w:pPr>
              <w:rPr>
                <w:rFonts w:ascii="宋体" w:hAnsi="宋体" w:cs="宋体"/>
                <w:color w:val="000000"/>
                <w:sz w:val="20"/>
                <w:szCs w:val="20"/>
              </w:rPr>
            </w:pPr>
            <w:r>
              <w:rPr>
                <w:rFonts w:hint="eastAsia" w:ascii="宋体" w:hAnsi="宋体" w:cs="宋体"/>
                <w:sz w:val="20"/>
                <w:szCs w:val="20"/>
              </w:rPr>
              <w:t>6.理解年龄相关性黄斑变性和黄斑裂孔的临床表现和治疗原则</w:t>
            </w:r>
          </w:p>
        </w:tc>
        <w:tc>
          <w:tcPr>
            <w:tcW w:w="1500" w:type="dxa"/>
          </w:tcPr>
          <w:p>
            <w:pPr>
              <w:snapToGrid w:val="0"/>
              <w:spacing w:line="288" w:lineRule="auto"/>
              <w:jc w:val="left"/>
              <w:rPr>
                <w:rFonts w:ascii="宋体" w:hAnsi="宋体" w:cs="宋体"/>
                <w:sz w:val="20"/>
                <w:szCs w:val="20"/>
              </w:rPr>
            </w:pPr>
            <w:r>
              <w:rPr>
                <w:rFonts w:hint="eastAsia" w:ascii="宋体" w:hAnsi="宋体" w:cs="宋体"/>
                <w:sz w:val="20"/>
                <w:szCs w:val="20"/>
              </w:rPr>
              <w:t>能运用所学知识为玻璃体和视网膜病病人制订完善的护理方案</w:t>
            </w:r>
          </w:p>
        </w:tc>
        <w:tc>
          <w:tcPr>
            <w:tcW w:w="965"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具有严谨求实的工作作风和对病人高度负责的工作态度</w:t>
            </w:r>
          </w:p>
          <w:p>
            <w:pPr>
              <w:snapToGrid w:val="0"/>
              <w:spacing w:line="288" w:lineRule="auto"/>
              <w:jc w:val="left"/>
              <w:rPr>
                <w:rFonts w:ascii="宋体" w:hAnsi="宋体" w:cs="宋体"/>
                <w:color w:val="000000"/>
                <w:sz w:val="20"/>
                <w:szCs w:val="20"/>
              </w:rPr>
            </w:pPr>
          </w:p>
        </w:tc>
        <w:tc>
          <w:tcPr>
            <w:tcW w:w="1101" w:type="dxa"/>
          </w:tcPr>
          <w:p>
            <w:pPr>
              <w:snapToGrid w:val="0"/>
              <w:spacing w:line="288" w:lineRule="auto"/>
              <w:jc w:val="left"/>
              <w:rPr>
                <w:rFonts w:ascii="宋体" w:hAnsi="宋体" w:cs="宋体"/>
                <w:sz w:val="20"/>
                <w:szCs w:val="20"/>
              </w:rPr>
            </w:pPr>
            <w:r>
              <w:rPr>
                <w:rFonts w:hint="eastAsia" w:ascii="宋体" w:hAnsi="宋体" w:cs="宋体"/>
                <w:sz w:val="20"/>
                <w:szCs w:val="20"/>
              </w:rPr>
              <w:t>1.视网膜动脉阻塞、视网膜静脉阻塞的护理要点</w:t>
            </w:r>
          </w:p>
          <w:p>
            <w:pPr>
              <w:rPr>
                <w:rFonts w:ascii="宋体" w:hAnsi="宋体" w:cs="宋体"/>
                <w:sz w:val="20"/>
                <w:szCs w:val="20"/>
              </w:rPr>
            </w:pPr>
            <w:r>
              <w:rPr>
                <w:rFonts w:hint="eastAsia" w:ascii="宋体" w:hAnsi="宋体" w:cs="宋体"/>
                <w:sz w:val="20"/>
                <w:szCs w:val="20"/>
              </w:rPr>
              <w:t>2.网膜脱离的护理要点</w:t>
            </w:r>
          </w:p>
          <w:p>
            <w:pPr>
              <w:snapToGrid w:val="0"/>
              <w:spacing w:line="288" w:lineRule="auto"/>
              <w:jc w:val="left"/>
              <w:rPr>
                <w:rFonts w:ascii="宋体" w:hAnsi="宋体" w:cs="宋体"/>
                <w:sz w:val="20"/>
                <w:szCs w:val="20"/>
              </w:rPr>
            </w:pP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11</w:t>
            </w:r>
          </w:p>
        </w:tc>
        <w:tc>
          <w:tcPr>
            <w:tcW w:w="690" w:type="dxa"/>
            <w:vAlign w:val="center"/>
          </w:tcPr>
          <w:p>
            <w:pPr>
              <w:snapToGrid w:val="0"/>
              <w:spacing w:line="288" w:lineRule="auto"/>
              <w:jc w:val="center"/>
              <w:rPr>
                <w:rFonts w:ascii="宋体" w:hAnsi="宋体" w:cs="宋体"/>
                <w:sz w:val="20"/>
                <w:szCs w:val="20"/>
              </w:rPr>
            </w:pPr>
            <w:r>
              <w:rPr>
                <w:rFonts w:hint="eastAsia" w:ascii="宋体" w:hAnsi="宋体" w:cs="宋体"/>
                <w:sz w:val="20"/>
                <w:szCs w:val="20"/>
              </w:rPr>
              <w:t>视神经疾病病人的护理</w:t>
            </w:r>
          </w:p>
        </w:tc>
        <w:tc>
          <w:tcPr>
            <w:tcW w:w="2720" w:type="dxa"/>
          </w:tcPr>
          <w:p>
            <w:pPr>
              <w:rPr>
                <w:rFonts w:ascii="宋体" w:hAnsi="宋体" w:cs="宋体"/>
                <w:sz w:val="20"/>
                <w:szCs w:val="20"/>
              </w:rPr>
            </w:pPr>
            <w:r>
              <w:rPr>
                <w:rFonts w:hint="eastAsia" w:ascii="宋体" w:hAnsi="宋体" w:cs="宋体"/>
                <w:sz w:val="20"/>
                <w:szCs w:val="20"/>
              </w:rPr>
              <w:t>1.能正确描述视神经炎病人的症状、体征、治疗要点、主要护理措施</w:t>
            </w:r>
          </w:p>
          <w:p>
            <w:pPr>
              <w:rPr>
                <w:rFonts w:ascii="宋体" w:hAnsi="宋体" w:cs="宋体"/>
                <w:sz w:val="20"/>
                <w:szCs w:val="20"/>
              </w:rPr>
            </w:pPr>
            <w:r>
              <w:rPr>
                <w:rFonts w:hint="eastAsia" w:ascii="宋体" w:hAnsi="宋体" w:cs="宋体"/>
                <w:sz w:val="20"/>
                <w:szCs w:val="20"/>
              </w:rPr>
              <w:t>2.能正确描述前部缺血性视神经病变病人的症状、体征、治疗要点、主要护理措施</w:t>
            </w:r>
          </w:p>
          <w:p>
            <w:pPr>
              <w:rPr>
                <w:rFonts w:ascii="宋体" w:hAnsi="宋体" w:cs="宋体"/>
                <w:sz w:val="20"/>
                <w:szCs w:val="20"/>
              </w:rPr>
            </w:pPr>
            <w:r>
              <w:rPr>
                <w:rFonts w:hint="eastAsia" w:ascii="宋体" w:hAnsi="宋体" w:cs="宋体"/>
                <w:sz w:val="20"/>
                <w:szCs w:val="20"/>
              </w:rPr>
              <w:t>3.理解视神经炎的病因、发病机制、常见护理诊断或护理问题</w:t>
            </w:r>
          </w:p>
          <w:p>
            <w:pPr>
              <w:rPr>
                <w:rFonts w:ascii="宋体" w:hAnsi="宋体" w:cs="宋体"/>
                <w:color w:val="000000"/>
                <w:sz w:val="20"/>
                <w:szCs w:val="20"/>
              </w:rPr>
            </w:pPr>
            <w:r>
              <w:rPr>
                <w:rFonts w:hint="eastAsia" w:ascii="宋体" w:hAnsi="宋体" w:cs="宋体"/>
                <w:sz w:val="20"/>
                <w:szCs w:val="20"/>
              </w:rPr>
              <w:t>4.理解前部缺血性视神经病变的病因、发病机制、常见护理诊断</w:t>
            </w:r>
          </w:p>
        </w:tc>
        <w:tc>
          <w:tcPr>
            <w:tcW w:w="1500" w:type="dxa"/>
          </w:tcPr>
          <w:p>
            <w:pPr>
              <w:snapToGrid w:val="0"/>
              <w:spacing w:line="288" w:lineRule="auto"/>
              <w:jc w:val="left"/>
              <w:rPr>
                <w:rFonts w:ascii="宋体" w:hAnsi="宋体" w:cs="宋体"/>
                <w:sz w:val="20"/>
                <w:szCs w:val="20"/>
              </w:rPr>
            </w:pPr>
            <w:r>
              <w:rPr>
                <w:rFonts w:hint="eastAsia" w:ascii="宋体" w:hAnsi="宋体" w:cs="宋体"/>
                <w:sz w:val="20"/>
                <w:szCs w:val="20"/>
              </w:rPr>
              <w:t>能运用所学知识帮助视神经炎病人控制疼痛、缓解焦虑情绪</w:t>
            </w:r>
          </w:p>
        </w:tc>
        <w:tc>
          <w:tcPr>
            <w:tcW w:w="965"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具有严谨求实的工作作风和对病人高度负责的工作态度</w:t>
            </w:r>
          </w:p>
          <w:p>
            <w:pPr>
              <w:snapToGrid w:val="0"/>
              <w:spacing w:line="288" w:lineRule="auto"/>
              <w:jc w:val="left"/>
              <w:rPr>
                <w:rFonts w:ascii="宋体" w:hAnsi="宋体" w:cs="宋体"/>
                <w:color w:val="000000"/>
                <w:sz w:val="20"/>
                <w:szCs w:val="20"/>
              </w:rPr>
            </w:pPr>
          </w:p>
        </w:tc>
        <w:tc>
          <w:tcPr>
            <w:tcW w:w="1101" w:type="dxa"/>
          </w:tcPr>
          <w:p>
            <w:pPr>
              <w:rPr>
                <w:rFonts w:ascii="宋体" w:hAnsi="宋体" w:cs="宋体"/>
                <w:sz w:val="20"/>
                <w:szCs w:val="20"/>
              </w:rPr>
            </w:pPr>
            <w:r>
              <w:rPr>
                <w:rFonts w:hint="eastAsia" w:ascii="宋体" w:hAnsi="宋体" w:cs="宋体"/>
                <w:color w:val="000000"/>
                <w:sz w:val="20"/>
                <w:szCs w:val="20"/>
              </w:rPr>
              <w:t>1.视</w:t>
            </w:r>
            <w:r>
              <w:rPr>
                <w:rFonts w:hint="eastAsia" w:ascii="宋体" w:hAnsi="宋体" w:cs="宋体"/>
                <w:sz w:val="20"/>
                <w:szCs w:val="20"/>
              </w:rPr>
              <w:t>神经炎病人的常见护理诊断及主要护理措施</w:t>
            </w:r>
          </w:p>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2.</w:t>
            </w:r>
            <w:r>
              <w:rPr>
                <w:rFonts w:hint="eastAsia" w:ascii="宋体" w:hAnsi="宋体" w:cs="宋体"/>
                <w:sz w:val="20"/>
                <w:szCs w:val="20"/>
              </w:rPr>
              <w:t>前部缺血性视神经病变的常见护理诊断</w:t>
            </w: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12</w:t>
            </w:r>
          </w:p>
        </w:tc>
        <w:tc>
          <w:tcPr>
            <w:tcW w:w="690" w:type="dxa"/>
            <w:vAlign w:val="center"/>
          </w:tcPr>
          <w:p>
            <w:pPr>
              <w:snapToGrid w:val="0"/>
              <w:spacing w:line="288" w:lineRule="auto"/>
              <w:jc w:val="center"/>
              <w:rPr>
                <w:rFonts w:ascii="宋体" w:hAnsi="宋体" w:cs="宋体"/>
                <w:sz w:val="20"/>
                <w:szCs w:val="20"/>
              </w:rPr>
            </w:pPr>
            <w:r>
              <w:rPr>
                <w:rFonts w:hint="eastAsia" w:ascii="宋体" w:hAnsi="宋体" w:cs="宋体"/>
                <w:sz w:val="20"/>
                <w:szCs w:val="20"/>
              </w:rPr>
              <w:t>屈光不正病人和老视的护理</w:t>
            </w:r>
          </w:p>
        </w:tc>
        <w:tc>
          <w:tcPr>
            <w:tcW w:w="2720" w:type="dxa"/>
          </w:tcPr>
          <w:p>
            <w:pPr>
              <w:rPr>
                <w:rFonts w:ascii="宋体" w:hAnsi="宋体" w:cs="宋体"/>
                <w:sz w:val="20"/>
                <w:szCs w:val="20"/>
              </w:rPr>
            </w:pPr>
            <w:r>
              <w:rPr>
                <w:rFonts w:hint="eastAsia" w:ascii="宋体" w:hAnsi="宋体" w:cs="宋体"/>
                <w:sz w:val="20"/>
                <w:szCs w:val="20"/>
              </w:rPr>
              <w:t>1.能正确叙述近视的病因及发病机制、分类方法、身体状况的评估、治疗要点、护理诊断和护理措施</w:t>
            </w:r>
          </w:p>
          <w:p>
            <w:pPr>
              <w:rPr>
                <w:rFonts w:ascii="宋体" w:hAnsi="宋体" w:cs="宋体"/>
                <w:sz w:val="20"/>
                <w:szCs w:val="20"/>
              </w:rPr>
            </w:pPr>
            <w:r>
              <w:rPr>
                <w:rFonts w:hint="eastAsia" w:ascii="宋体" w:hAnsi="宋体" w:cs="宋体"/>
                <w:sz w:val="20"/>
                <w:szCs w:val="20"/>
              </w:rPr>
              <w:t>2.能正确叙述远视的分类、身体状况的评估</w:t>
            </w:r>
          </w:p>
          <w:p>
            <w:pPr>
              <w:rPr>
                <w:rFonts w:ascii="宋体" w:hAnsi="宋体" w:cs="宋体"/>
                <w:b/>
                <w:bCs/>
                <w:sz w:val="20"/>
                <w:szCs w:val="20"/>
              </w:rPr>
            </w:pPr>
            <w:r>
              <w:rPr>
                <w:rFonts w:hint="eastAsia" w:ascii="宋体" w:hAnsi="宋体" w:cs="宋体"/>
                <w:sz w:val="20"/>
                <w:szCs w:val="20"/>
              </w:rPr>
              <w:t>3.能正确叙述散光的分类</w:t>
            </w:r>
          </w:p>
          <w:p>
            <w:pPr>
              <w:rPr>
                <w:rFonts w:ascii="宋体" w:hAnsi="宋体" w:cs="宋体"/>
                <w:sz w:val="20"/>
                <w:szCs w:val="20"/>
              </w:rPr>
            </w:pPr>
            <w:r>
              <w:rPr>
                <w:rFonts w:hint="eastAsia" w:ascii="宋体" w:hAnsi="宋体" w:cs="宋体"/>
                <w:sz w:val="20"/>
                <w:szCs w:val="20"/>
              </w:rPr>
              <w:t>4.理解远视的病因及发病机制、治疗要点、护理诊断和护理措施</w:t>
            </w:r>
          </w:p>
          <w:p>
            <w:pPr>
              <w:rPr>
                <w:rFonts w:ascii="宋体" w:hAnsi="宋体" w:cs="宋体"/>
                <w:sz w:val="20"/>
                <w:szCs w:val="20"/>
              </w:rPr>
            </w:pPr>
            <w:r>
              <w:rPr>
                <w:rFonts w:hint="eastAsia" w:ascii="宋体" w:hAnsi="宋体" w:cs="宋体"/>
                <w:sz w:val="20"/>
                <w:szCs w:val="20"/>
              </w:rPr>
              <w:t>5.理解散光的身体状况的评估、治疗要点、护理诊断和护理措施</w:t>
            </w:r>
          </w:p>
          <w:p>
            <w:pPr>
              <w:rPr>
                <w:rFonts w:ascii="宋体" w:hAnsi="宋体" w:cs="宋体"/>
                <w:color w:val="000000"/>
                <w:sz w:val="20"/>
                <w:szCs w:val="20"/>
              </w:rPr>
            </w:pPr>
            <w:r>
              <w:rPr>
                <w:rFonts w:hint="eastAsia" w:ascii="宋体" w:hAnsi="宋体" w:cs="宋体"/>
                <w:sz w:val="20"/>
                <w:szCs w:val="20"/>
              </w:rPr>
              <w:t>6.理解老视的病因及发病机制、身体状况的评估、治疗要点和护理措施</w:t>
            </w:r>
          </w:p>
        </w:tc>
        <w:tc>
          <w:tcPr>
            <w:tcW w:w="1500" w:type="dxa"/>
          </w:tcPr>
          <w:p>
            <w:pPr>
              <w:snapToGrid w:val="0"/>
              <w:spacing w:line="288" w:lineRule="auto"/>
              <w:jc w:val="left"/>
              <w:rPr>
                <w:rFonts w:ascii="宋体" w:hAnsi="宋体" w:cs="宋体"/>
                <w:sz w:val="20"/>
                <w:szCs w:val="20"/>
              </w:rPr>
            </w:pPr>
            <w:r>
              <w:rPr>
                <w:rFonts w:hint="eastAsia" w:ascii="宋体" w:hAnsi="宋体" w:cs="宋体"/>
                <w:sz w:val="20"/>
                <w:szCs w:val="20"/>
              </w:rPr>
              <w:t>能运用所学知识对近视、远视、散光和老视病人制订全面的护理计划</w:t>
            </w:r>
          </w:p>
        </w:tc>
        <w:tc>
          <w:tcPr>
            <w:tcW w:w="965"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具有严谨求实的工作作风和对病人高度负责的工作态度</w:t>
            </w:r>
          </w:p>
          <w:p>
            <w:pPr>
              <w:snapToGrid w:val="0"/>
              <w:spacing w:line="288" w:lineRule="auto"/>
              <w:jc w:val="left"/>
              <w:rPr>
                <w:rFonts w:ascii="宋体" w:hAnsi="宋体" w:cs="宋体"/>
                <w:color w:val="000000"/>
                <w:sz w:val="20"/>
                <w:szCs w:val="20"/>
              </w:rPr>
            </w:pPr>
          </w:p>
        </w:tc>
        <w:tc>
          <w:tcPr>
            <w:tcW w:w="1101" w:type="dxa"/>
          </w:tcPr>
          <w:p>
            <w:pPr>
              <w:snapToGrid w:val="0"/>
              <w:spacing w:line="288" w:lineRule="auto"/>
              <w:jc w:val="left"/>
              <w:rPr>
                <w:rFonts w:ascii="宋体" w:hAnsi="宋体" w:cs="宋体"/>
                <w:sz w:val="20"/>
                <w:szCs w:val="20"/>
              </w:rPr>
            </w:pPr>
            <w:r>
              <w:rPr>
                <w:rFonts w:hint="eastAsia" w:ascii="宋体" w:hAnsi="宋体" w:cs="宋体"/>
                <w:sz w:val="20"/>
                <w:szCs w:val="20"/>
              </w:rPr>
              <w:t>1.近视的治疗要点、护理诊断和护理措施</w:t>
            </w:r>
          </w:p>
          <w:p>
            <w:pPr>
              <w:snapToGrid w:val="0"/>
              <w:spacing w:line="288" w:lineRule="auto"/>
              <w:jc w:val="left"/>
              <w:rPr>
                <w:rFonts w:ascii="宋体" w:hAnsi="宋体" w:cs="宋体"/>
                <w:sz w:val="20"/>
                <w:szCs w:val="20"/>
              </w:rPr>
            </w:pPr>
            <w:r>
              <w:rPr>
                <w:rFonts w:hint="eastAsia" w:ascii="宋体" w:hAnsi="宋体" w:cs="宋体"/>
                <w:sz w:val="20"/>
                <w:szCs w:val="20"/>
              </w:rPr>
              <w:t>2.远视的护理诊断和护理措施</w:t>
            </w: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13</w:t>
            </w:r>
          </w:p>
        </w:tc>
        <w:tc>
          <w:tcPr>
            <w:tcW w:w="690" w:type="dxa"/>
            <w:vAlign w:val="center"/>
          </w:tcPr>
          <w:p>
            <w:pPr>
              <w:snapToGrid w:val="0"/>
              <w:spacing w:line="288" w:lineRule="auto"/>
              <w:jc w:val="center"/>
              <w:rPr>
                <w:rFonts w:ascii="宋体" w:hAnsi="宋体" w:cs="宋体"/>
                <w:sz w:val="20"/>
                <w:szCs w:val="20"/>
              </w:rPr>
            </w:pPr>
            <w:r>
              <w:rPr>
                <w:rFonts w:hint="eastAsia" w:ascii="宋体" w:hAnsi="宋体" w:cs="宋体"/>
                <w:sz w:val="20"/>
                <w:szCs w:val="20"/>
              </w:rPr>
              <w:t>斜视和弱视病人的护理</w:t>
            </w:r>
          </w:p>
        </w:tc>
        <w:tc>
          <w:tcPr>
            <w:tcW w:w="2720" w:type="dxa"/>
          </w:tcPr>
          <w:p>
            <w:pPr>
              <w:rPr>
                <w:rFonts w:ascii="宋体" w:hAnsi="宋体" w:cs="宋体"/>
                <w:sz w:val="20"/>
                <w:szCs w:val="20"/>
              </w:rPr>
            </w:pPr>
            <w:r>
              <w:rPr>
                <w:rFonts w:hint="eastAsia" w:ascii="宋体" w:hAnsi="宋体" w:cs="宋体"/>
                <w:sz w:val="20"/>
                <w:szCs w:val="20"/>
              </w:rPr>
              <w:t>1.能正确描述斜视和弱视的定义</w:t>
            </w:r>
          </w:p>
          <w:p>
            <w:pPr>
              <w:rPr>
                <w:rFonts w:ascii="宋体" w:hAnsi="宋体" w:cs="宋体"/>
                <w:sz w:val="20"/>
                <w:szCs w:val="20"/>
              </w:rPr>
            </w:pPr>
            <w:r>
              <w:rPr>
                <w:rFonts w:hint="eastAsia" w:ascii="宋体" w:hAnsi="宋体" w:cs="宋体"/>
                <w:sz w:val="20"/>
                <w:szCs w:val="20"/>
              </w:rPr>
              <w:t>2.能正确描述共同性斜视病人的护理评估、治疗要点和护理措施</w:t>
            </w:r>
          </w:p>
          <w:p>
            <w:pPr>
              <w:rPr>
                <w:rFonts w:ascii="宋体" w:hAnsi="宋体" w:cs="宋体"/>
                <w:sz w:val="20"/>
                <w:szCs w:val="20"/>
              </w:rPr>
            </w:pPr>
            <w:r>
              <w:rPr>
                <w:rFonts w:hint="eastAsia" w:ascii="宋体" w:hAnsi="宋体" w:cs="宋体"/>
                <w:sz w:val="20"/>
                <w:szCs w:val="20"/>
              </w:rPr>
              <w:t>3.能正确描述非共同性斜视病人的护理评估</w:t>
            </w:r>
          </w:p>
          <w:p>
            <w:pPr>
              <w:rPr>
                <w:rFonts w:ascii="宋体" w:hAnsi="宋体" w:cs="宋体"/>
                <w:sz w:val="20"/>
                <w:szCs w:val="20"/>
              </w:rPr>
            </w:pPr>
            <w:r>
              <w:rPr>
                <w:rFonts w:hint="eastAsia" w:ascii="宋体" w:hAnsi="宋体" w:cs="宋体"/>
                <w:sz w:val="20"/>
                <w:szCs w:val="20"/>
              </w:rPr>
              <w:t>4.能正确描述弱视病人的护理评估、治疗要点和护理措施</w:t>
            </w:r>
          </w:p>
          <w:p>
            <w:pPr>
              <w:rPr>
                <w:rFonts w:ascii="宋体" w:hAnsi="宋体" w:cs="宋体"/>
                <w:color w:val="000000"/>
                <w:sz w:val="20"/>
                <w:szCs w:val="20"/>
              </w:rPr>
            </w:pPr>
            <w:r>
              <w:rPr>
                <w:rFonts w:hint="eastAsia" w:ascii="宋体" w:hAnsi="宋体" w:cs="宋体"/>
                <w:sz w:val="20"/>
                <w:szCs w:val="20"/>
              </w:rPr>
              <w:t>5.能运用所学知识简述斜视和弱视的病因与发病机制</w:t>
            </w:r>
          </w:p>
        </w:tc>
        <w:tc>
          <w:tcPr>
            <w:tcW w:w="1500" w:type="dxa"/>
          </w:tcPr>
          <w:p>
            <w:pPr>
              <w:snapToGrid w:val="0"/>
              <w:spacing w:line="288" w:lineRule="auto"/>
              <w:jc w:val="left"/>
              <w:rPr>
                <w:rFonts w:ascii="宋体" w:hAnsi="宋体" w:cs="宋体"/>
                <w:sz w:val="20"/>
                <w:szCs w:val="20"/>
              </w:rPr>
            </w:pPr>
            <w:r>
              <w:rPr>
                <w:rFonts w:hint="eastAsia" w:ascii="宋体" w:hAnsi="宋体" w:cs="宋体"/>
                <w:sz w:val="20"/>
                <w:szCs w:val="20"/>
              </w:rPr>
              <w:t>能运用所学知识为斜视和弱视病人制订完善的护理计划</w:t>
            </w:r>
          </w:p>
        </w:tc>
        <w:tc>
          <w:tcPr>
            <w:tcW w:w="965"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具有严谨求实的工作作风和对病人高度负责的工作态度</w:t>
            </w:r>
          </w:p>
          <w:p>
            <w:pPr>
              <w:snapToGrid w:val="0"/>
              <w:spacing w:line="288" w:lineRule="auto"/>
              <w:jc w:val="left"/>
              <w:rPr>
                <w:rFonts w:ascii="宋体" w:hAnsi="宋体" w:cs="宋体"/>
                <w:color w:val="000000"/>
                <w:sz w:val="20"/>
                <w:szCs w:val="20"/>
              </w:rPr>
            </w:pPr>
          </w:p>
        </w:tc>
        <w:tc>
          <w:tcPr>
            <w:tcW w:w="1101" w:type="dxa"/>
          </w:tcPr>
          <w:p>
            <w:pPr>
              <w:rPr>
                <w:rFonts w:ascii="宋体" w:hAnsi="宋体" w:cs="宋体"/>
                <w:sz w:val="20"/>
                <w:szCs w:val="20"/>
              </w:rPr>
            </w:pPr>
            <w:r>
              <w:rPr>
                <w:rFonts w:hint="eastAsia" w:ascii="宋体" w:hAnsi="宋体" w:cs="宋体"/>
                <w:sz w:val="20"/>
                <w:szCs w:val="20"/>
              </w:rPr>
              <w:t>1.共同性斜视病人的护理措施</w:t>
            </w:r>
          </w:p>
          <w:p>
            <w:pPr>
              <w:rPr>
                <w:rFonts w:ascii="宋体" w:hAnsi="宋体" w:cs="宋体"/>
                <w:sz w:val="20"/>
                <w:szCs w:val="20"/>
              </w:rPr>
            </w:pPr>
            <w:r>
              <w:rPr>
                <w:rFonts w:hint="eastAsia" w:ascii="宋体" w:hAnsi="宋体" w:cs="宋体"/>
                <w:sz w:val="20"/>
                <w:szCs w:val="20"/>
              </w:rPr>
              <w:t>2.弱视病人的治疗要点和护理措施</w:t>
            </w:r>
          </w:p>
          <w:p>
            <w:pPr>
              <w:rPr>
                <w:rFonts w:ascii="宋体" w:hAnsi="宋体" w:cs="宋体"/>
                <w:sz w:val="20"/>
                <w:szCs w:val="20"/>
              </w:rPr>
            </w:pPr>
          </w:p>
          <w:p>
            <w:pPr>
              <w:snapToGrid w:val="0"/>
              <w:spacing w:line="288" w:lineRule="auto"/>
              <w:jc w:val="left"/>
              <w:rPr>
                <w:rFonts w:ascii="宋体" w:hAnsi="宋体" w:cs="宋体"/>
                <w:color w:val="000000"/>
                <w:sz w:val="20"/>
                <w:szCs w:val="20"/>
              </w:rPr>
            </w:pP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14</w:t>
            </w:r>
          </w:p>
        </w:tc>
        <w:tc>
          <w:tcPr>
            <w:tcW w:w="690" w:type="dxa"/>
            <w:vAlign w:val="center"/>
          </w:tcPr>
          <w:p>
            <w:pPr>
              <w:snapToGrid w:val="0"/>
              <w:spacing w:line="288" w:lineRule="auto"/>
              <w:jc w:val="center"/>
              <w:rPr>
                <w:rFonts w:ascii="宋体" w:hAnsi="宋体" w:cs="宋体"/>
                <w:sz w:val="20"/>
                <w:szCs w:val="20"/>
              </w:rPr>
            </w:pPr>
            <w:r>
              <w:rPr>
                <w:rFonts w:hint="eastAsia" w:ascii="宋体" w:hAnsi="宋体" w:cs="宋体"/>
                <w:sz w:val="20"/>
                <w:szCs w:val="20"/>
              </w:rPr>
              <w:t>眼外伤病人的护理</w:t>
            </w:r>
          </w:p>
        </w:tc>
        <w:tc>
          <w:tcPr>
            <w:tcW w:w="2720" w:type="dxa"/>
          </w:tcPr>
          <w:p>
            <w:pPr>
              <w:rPr>
                <w:rFonts w:ascii="宋体" w:hAnsi="宋体" w:cs="宋体"/>
                <w:sz w:val="20"/>
                <w:szCs w:val="20"/>
              </w:rPr>
            </w:pPr>
            <w:r>
              <w:rPr>
                <w:rFonts w:hint="eastAsia" w:ascii="宋体" w:hAnsi="宋体" w:cs="宋体"/>
                <w:sz w:val="20"/>
                <w:szCs w:val="20"/>
              </w:rPr>
              <w:t>1.能正确描述眼钝挫伤病人的治疗要点、护理措施</w:t>
            </w:r>
          </w:p>
          <w:p>
            <w:pPr>
              <w:rPr>
                <w:rFonts w:ascii="宋体" w:hAnsi="宋体" w:cs="宋体"/>
                <w:sz w:val="20"/>
                <w:szCs w:val="20"/>
              </w:rPr>
            </w:pPr>
            <w:r>
              <w:rPr>
                <w:rFonts w:hint="eastAsia" w:ascii="宋体" w:hAnsi="宋体" w:cs="宋体"/>
                <w:sz w:val="20"/>
                <w:szCs w:val="20"/>
              </w:rPr>
              <w:t>2.能正确描述眼球穿通伤病人的治疗要点、护理措施</w:t>
            </w:r>
          </w:p>
          <w:p>
            <w:pPr>
              <w:rPr>
                <w:rFonts w:ascii="宋体" w:hAnsi="宋体" w:cs="宋体"/>
                <w:sz w:val="20"/>
                <w:szCs w:val="20"/>
              </w:rPr>
            </w:pPr>
            <w:r>
              <w:rPr>
                <w:rFonts w:hint="eastAsia" w:ascii="宋体" w:hAnsi="宋体" w:cs="宋体"/>
                <w:sz w:val="20"/>
                <w:szCs w:val="20"/>
              </w:rPr>
              <w:t>3.能正确描述角膜、结膜异物伤病人治疗要点、护理措施</w:t>
            </w:r>
          </w:p>
          <w:p>
            <w:pPr>
              <w:rPr>
                <w:rFonts w:ascii="宋体" w:hAnsi="宋体" w:cs="宋体"/>
                <w:sz w:val="20"/>
                <w:szCs w:val="20"/>
              </w:rPr>
            </w:pPr>
            <w:r>
              <w:rPr>
                <w:rFonts w:hint="eastAsia" w:ascii="宋体" w:hAnsi="宋体" w:cs="宋体"/>
                <w:sz w:val="20"/>
                <w:szCs w:val="20"/>
              </w:rPr>
              <w:t>4.能正确描述眼内异物病人的治疗要点、护理措施</w:t>
            </w:r>
          </w:p>
          <w:p>
            <w:pPr>
              <w:rPr>
                <w:rFonts w:ascii="宋体" w:hAnsi="宋体" w:cs="宋体"/>
                <w:sz w:val="20"/>
                <w:szCs w:val="20"/>
              </w:rPr>
            </w:pPr>
            <w:r>
              <w:rPr>
                <w:rFonts w:hint="eastAsia" w:ascii="宋体" w:hAnsi="宋体" w:cs="宋体"/>
                <w:sz w:val="20"/>
                <w:szCs w:val="20"/>
              </w:rPr>
              <w:t>5.能正确描述眼化学伤病人的症状、体征、治疗要点、护理措施</w:t>
            </w:r>
          </w:p>
          <w:p>
            <w:pPr>
              <w:rPr>
                <w:rFonts w:ascii="宋体" w:hAnsi="宋体" w:cs="宋体"/>
                <w:sz w:val="20"/>
                <w:szCs w:val="20"/>
              </w:rPr>
            </w:pPr>
            <w:r>
              <w:rPr>
                <w:rFonts w:hint="eastAsia" w:ascii="宋体" w:hAnsi="宋体" w:cs="宋体"/>
                <w:sz w:val="20"/>
                <w:szCs w:val="20"/>
              </w:rPr>
              <w:t>6.能正确描述辐射性眼外伤病人的症状、体征、治疗要点、护理措施</w:t>
            </w:r>
          </w:p>
          <w:p>
            <w:pPr>
              <w:rPr>
                <w:rFonts w:ascii="宋体" w:hAnsi="宋体" w:cs="宋体"/>
                <w:sz w:val="20"/>
                <w:szCs w:val="20"/>
              </w:rPr>
            </w:pPr>
            <w:r>
              <w:rPr>
                <w:rFonts w:hint="eastAsia" w:ascii="宋体" w:hAnsi="宋体" w:cs="宋体"/>
                <w:sz w:val="20"/>
                <w:szCs w:val="20"/>
              </w:rPr>
              <w:t>7.理解眼钝挫伤和穿通伤病人的症状、体征</w:t>
            </w:r>
          </w:p>
          <w:p>
            <w:pPr>
              <w:rPr>
                <w:rFonts w:ascii="宋体" w:hAnsi="宋体" w:cs="宋体"/>
                <w:sz w:val="20"/>
                <w:szCs w:val="20"/>
              </w:rPr>
            </w:pPr>
            <w:r>
              <w:rPr>
                <w:rFonts w:hint="eastAsia" w:ascii="宋体" w:hAnsi="宋体" w:cs="宋体"/>
                <w:sz w:val="20"/>
                <w:szCs w:val="20"/>
              </w:rPr>
              <w:t>8.理解角膜、结膜异物和眼内异物病人的症状、体征</w:t>
            </w:r>
          </w:p>
          <w:p>
            <w:pPr>
              <w:rPr>
                <w:rFonts w:ascii="宋体" w:hAnsi="宋体" w:cs="宋体"/>
                <w:sz w:val="20"/>
                <w:szCs w:val="20"/>
              </w:rPr>
            </w:pPr>
            <w:r>
              <w:rPr>
                <w:rFonts w:hint="eastAsia" w:ascii="宋体" w:hAnsi="宋体" w:cs="宋体"/>
                <w:sz w:val="20"/>
                <w:szCs w:val="20"/>
              </w:rPr>
              <w:t>9.理解眼化学伤的病因与发病机制</w:t>
            </w:r>
          </w:p>
          <w:p>
            <w:pPr>
              <w:rPr>
                <w:rFonts w:ascii="宋体" w:hAnsi="宋体" w:cs="宋体"/>
                <w:color w:val="000000"/>
                <w:sz w:val="20"/>
                <w:szCs w:val="20"/>
              </w:rPr>
            </w:pPr>
            <w:r>
              <w:rPr>
                <w:rFonts w:hint="eastAsia" w:ascii="宋体" w:hAnsi="宋体" w:cs="宋体"/>
                <w:sz w:val="20"/>
                <w:szCs w:val="20"/>
              </w:rPr>
              <w:t>10.理解辐射性眼外伤的病因与发病机制</w:t>
            </w:r>
          </w:p>
        </w:tc>
        <w:tc>
          <w:tcPr>
            <w:tcW w:w="1500" w:type="dxa"/>
          </w:tcPr>
          <w:p>
            <w:pPr>
              <w:rPr>
                <w:rFonts w:ascii="宋体" w:hAnsi="宋体" w:cs="宋体"/>
                <w:sz w:val="20"/>
                <w:szCs w:val="20"/>
              </w:rPr>
            </w:pPr>
            <w:r>
              <w:rPr>
                <w:rFonts w:hint="eastAsia" w:ascii="宋体" w:hAnsi="宋体" w:cs="宋体"/>
                <w:sz w:val="20"/>
                <w:szCs w:val="20"/>
              </w:rPr>
              <w:t>1.能用自己的语言阐述眼化学伤现场急救措施以及主要护理措施</w:t>
            </w:r>
          </w:p>
          <w:p>
            <w:pPr>
              <w:snapToGrid w:val="0"/>
              <w:spacing w:line="288" w:lineRule="auto"/>
              <w:jc w:val="left"/>
              <w:rPr>
                <w:rFonts w:ascii="宋体" w:hAnsi="宋体" w:cs="宋体"/>
                <w:sz w:val="20"/>
                <w:szCs w:val="20"/>
              </w:rPr>
            </w:pPr>
            <w:r>
              <w:rPr>
                <w:rFonts w:hint="eastAsia" w:ascii="宋体" w:hAnsi="宋体" w:cs="宋体"/>
                <w:sz w:val="20"/>
                <w:szCs w:val="20"/>
              </w:rPr>
              <w:t>2.能运用所学知识阐明如何预防各类眼外伤</w:t>
            </w:r>
          </w:p>
        </w:tc>
        <w:tc>
          <w:tcPr>
            <w:tcW w:w="965"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具有严谨求实的工作作风和对病人高度负责的工作态度</w:t>
            </w:r>
          </w:p>
          <w:p>
            <w:pPr>
              <w:snapToGrid w:val="0"/>
              <w:spacing w:line="288" w:lineRule="auto"/>
              <w:jc w:val="left"/>
              <w:rPr>
                <w:rFonts w:ascii="宋体" w:hAnsi="宋体" w:cs="宋体"/>
                <w:color w:val="000000"/>
                <w:sz w:val="20"/>
                <w:szCs w:val="20"/>
              </w:rPr>
            </w:pPr>
          </w:p>
        </w:tc>
        <w:tc>
          <w:tcPr>
            <w:tcW w:w="1101" w:type="dxa"/>
          </w:tcPr>
          <w:p>
            <w:pPr>
              <w:snapToGrid w:val="0"/>
              <w:spacing w:line="288" w:lineRule="auto"/>
              <w:jc w:val="left"/>
              <w:rPr>
                <w:rFonts w:ascii="宋体" w:hAnsi="宋体" w:cs="宋体"/>
                <w:sz w:val="20"/>
                <w:szCs w:val="20"/>
              </w:rPr>
            </w:pPr>
            <w:r>
              <w:rPr>
                <w:rFonts w:hint="eastAsia" w:ascii="宋体" w:hAnsi="宋体" w:cs="宋体"/>
                <w:sz w:val="20"/>
                <w:szCs w:val="20"/>
              </w:rPr>
              <w:t>1.眼钝挫伤病人的护理措施</w:t>
            </w:r>
          </w:p>
          <w:p>
            <w:pPr>
              <w:snapToGrid w:val="0"/>
              <w:spacing w:line="288" w:lineRule="auto"/>
              <w:jc w:val="left"/>
              <w:rPr>
                <w:rFonts w:ascii="宋体" w:hAnsi="宋体" w:cs="宋体"/>
                <w:sz w:val="20"/>
                <w:szCs w:val="20"/>
              </w:rPr>
            </w:pPr>
            <w:r>
              <w:rPr>
                <w:rFonts w:hint="eastAsia" w:ascii="宋体" w:hAnsi="宋体" w:cs="宋体"/>
                <w:sz w:val="20"/>
                <w:szCs w:val="20"/>
              </w:rPr>
              <w:t>2.眼化学伤病人的治疗要点、护理措施</w:t>
            </w: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15</w:t>
            </w:r>
          </w:p>
        </w:tc>
        <w:tc>
          <w:tcPr>
            <w:tcW w:w="690" w:type="dxa"/>
            <w:vAlign w:val="center"/>
          </w:tcPr>
          <w:p>
            <w:pPr>
              <w:snapToGrid w:val="0"/>
              <w:spacing w:line="288" w:lineRule="auto"/>
              <w:jc w:val="center"/>
              <w:rPr>
                <w:rFonts w:ascii="宋体" w:hAnsi="宋体" w:cs="宋体"/>
                <w:sz w:val="20"/>
                <w:szCs w:val="20"/>
              </w:rPr>
            </w:pPr>
            <w:r>
              <w:rPr>
                <w:rFonts w:hint="eastAsia" w:ascii="宋体" w:hAnsi="宋体" w:cs="宋体"/>
                <w:sz w:val="20"/>
                <w:szCs w:val="20"/>
              </w:rPr>
              <w:t>眼部恶性肿瘤病人的护理</w:t>
            </w:r>
          </w:p>
        </w:tc>
        <w:tc>
          <w:tcPr>
            <w:tcW w:w="2720" w:type="dxa"/>
          </w:tcPr>
          <w:p>
            <w:pPr>
              <w:rPr>
                <w:rFonts w:ascii="宋体" w:hAnsi="宋体" w:cs="宋体"/>
                <w:sz w:val="20"/>
                <w:szCs w:val="20"/>
              </w:rPr>
            </w:pPr>
            <w:r>
              <w:rPr>
                <w:rFonts w:hint="eastAsia" w:ascii="宋体" w:hAnsi="宋体" w:cs="宋体"/>
                <w:sz w:val="20"/>
                <w:szCs w:val="20"/>
              </w:rPr>
              <w:t>1.能正确描述眼睑恶性肿瘤、脉络膜恶性黑色素瘤、视网膜母细胞瘤和眼眶肿瘤病人的护理评估内容、治疗要点</w:t>
            </w:r>
          </w:p>
          <w:p>
            <w:pPr>
              <w:rPr>
                <w:rFonts w:ascii="宋体" w:hAnsi="宋体" w:cs="宋体"/>
                <w:sz w:val="20"/>
                <w:szCs w:val="20"/>
              </w:rPr>
            </w:pPr>
            <w:r>
              <w:rPr>
                <w:rFonts w:hint="eastAsia" w:ascii="宋体" w:hAnsi="宋体" w:cs="宋体"/>
                <w:sz w:val="20"/>
                <w:szCs w:val="20"/>
              </w:rPr>
              <w:t>2.能比较分析眼部不同部位恶性肿瘤的特点</w:t>
            </w:r>
          </w:p>
          <w:p>
            <w:pPr>
              <w:rPr>
                <w:rFonts w:ascii="宋体" w:hAnsi="宋体" w:cs="宋体"/>
                <w:sz w:val="20"/>
                <w:szCs w:val="20"/>
              </w:rPr>
            </w:pPr>
            <w:r>
              <w:rPr>
                <w:rFonts w:hint="eastAsia" w:ascii="宋体" w:hAnsi="宋体" w:cs="宋体"/>
                <w:sz w:val="20"/>
                <w:szCs w:val="20"/>
              </w:rPr>
              <w:t>3.能比较分析眼睑基底细胞癌、皮脂腺癌、鳞状细胞癌和恶性黑色素瘤的临床表现</w:t>
            </w:r>
          </w:p>
          <w:p>
            <w:pPr>
              <w:rPr>
                <w:rFonts w:ascii="宋体" w:hAnsi="宋体" w:cs="宋体"/>
                <w:color w:val="000000"/>
                <w:sz w:val="20"/>
                <w:szCs w:val="20"/>
              </w:rPr>
            </w:pPr>
            <w:r>
              <w:rPr>
                <w:rFonts w:hint="eastAsia" w:ascii="宋体" w:hAnsi="宋体" w:cs="宋体"/>
                <w:sz w:val="20"/>
                <w:szCs w:val="20"/>
              </w:rPr>
              <w:t>4.能比较分析眼睑恶性肿瘤、视网膜母细胞瘤和眼眶肿瘤的护理诊断与护理措施的异同之处</w:t>
            </w:r>
          </w:p>
        </w:tc>
        <w:tc>
          <w:tcPr>
            <w:tcW w:w="1500" w:type="dxa"/>
          </w:tcPr>
          <w:p>
            <w:pPr>
              <w:snapToGrid w:val="0"/>
              <w:spacing w:line="288" w:lineRule="auto"/>
              <w:jc w:val="left"/>
              <w:rPr>
                <w:rFonts w:ascii="宋体" w:hAnsi="宋体" w:cs="宋体"/>
                <w:sz w:val="20"/>
                <w:szCs w:val="20"/>
              </w:rPr>
            </w:pPr>
            <w:r>
              <w:rPr>
                <w:rFonts w:hint="eastAsia" w:ascii="宋体" w:hAnsi="宋体" w:cs="宋体"/>
                <w:sz w:val="20"/>
                <w:szCs w:val="20"/>
              </w:rPr>
              <w:t>能运用所学知识为眼部恶性肿瘤病人制订完善的护理方案</w:t>
            </w:r>
          </w:p>
        </w:tc>
        <w:tc>
          <w:tcPr>
            <w:tcW w:w="965"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具有严谨求实的工作作风和对病人高度负责的工作态度</w:t>
            </w:r>
          </w:p>
          <w:p>
            <w:pPr>
              <w:snapToGrid w:val="0"/>
              <w:spacing w:line="288" w:lineRule="auto"/>
              <w:jc w:val="left"/>
              <w:rPr>
                <w:rFonts w:ascii="宋体" w:hAnsi="宋体" w:cs="宋体"/>
                <w:color w:val="000000"/>
                <w:sz w:val="20"/>
                <w:szCs w:val="20"/>
              </w:rPr>
            </w:pPr>
          </w:p>
        </w:tc>
        <w:tc>
          <w:tcPr>
            <w:tcW w:w="1101" w:type="dxa"/>
          </w:tcPr>
          <w:p>
            <w:pPr>
              <w:snapToGrid w:val="0"/>
              <w:spacing w:line="288" w:lineRule="auto"/>
              <w:jc w:val="left"/>
              <w:rPr>
                <w:rFonts w:ascii="宋体" w:hAnsi="宋体" w:cs="宋体"/>
                <w:color w:val="000000"/>
                <w:sz w:val="20"/>
                <w:szCs w:val="20"/>
              </w:rPr>
            </w:pPr>
            <w:r>
              <w:rPr>
                <w:rFonts w:hint="eastAsia" w:ascii="宋体" w:hAnsi="宋体" w:cs="宋体"/>
                <w:sz w:val="20"/>
                <w:szCs w:val="20"/>
              </w:rPr>
              <w:t>眼睑恶性肿瘤、视网膜母细胞瘤和眼眶肿瘤的护理诊断与护理措施的异同之处</w:t>
            </w: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0.5</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16</w:t>
            </w:r>
          </w:p>
        </w:tc>
        <w:tc>
          <w:tcPr>
            <w:tcW w:w="690" w:type="dxa"/>
            <w:vAlign w:val="center"/>
          </w:tcPr>
          <w:p>
            <w:pPr>
              <w:snapToGrid w:val="0"/>
              <w:spacing w:line="288" w:lineRule="auto"/>
              <w:jc w:val="center"/>
              <w:rPr>
                <w:rFonts w:ascii="宋体" w:hAnsi="宋体" w:cs="宋体"/>
                <w:sz w:val="20"/>
                <w:szCs w:val="20"/>
              </w:rPr>
            </w:pPr>
            <w:r>
              <w:rPr>
                <w:rFonts w:hint="eastAsia" w:ascii="宋体" w:hAnsi="宋体" w:cs="宋体"/>
                <w:sz w:val="20"/>
                <w:szCs w:val="20"/>
              </w:rPr>
              <w:t>盲和低视力病人的康复及护理</w:t>
            </w:r>
          </w:p>
        </w:tc>
        <w:tc>
          <w:tcPr>
            <w:tcW w:w="2720" w:type="dxa"/>
          </w:tcPr>
          <w:p>
            <w:pPr>
              <w:rPr>
                <w:rFonts w:ascii="宋体" w:hAnsi="宋体" w:cs="宋体"/>
                <w:sz w:val="20"/>
                <w:szCs w:val="20"/>
              </w:rPr>
            </w:pPr>
            <w:r>
              <w:rPr>
                <w:rFonts w:hint="eastAsia" w:ascii="宋体" w:hAnsi="宋体" w:cs="宋体"/>
                <w:sz w:val="20"/>
                <w:szCs w:val="20"/>
              </w:rPr>
              <w:t>1.能正确叙述盲和低视力的标准</w:t>
            </w:r>
          </w:p>
          <w:p>
            <w:pPr>
              <w:rPr>
                <w:rFonts w:ascii="宋体" w:hAnsi="宋体" w:cs="宋体"/>
                <w:b/>
                <w:bCs/>
                <w:sz w:val="20"/>
                <w:szCs w:val="20"/>
              </w:rPr>
            </w:pPr>
            <w:r>
              <w:rPr>
                <w:rFonts w:hint="eastAsia" w:ascii="宋体" w:hAnsi="宋体" w:cs="宋体"/>
                <w:sz w:val="20"/>
                <w:szCs w:val="20"/>
              </w:rPr>
              <w:t>2.能正确叙述视力残疾病人身体状况的评估、治疗要点、主要护理诊断和护理措施</w:t>
            </w:r>
          </w:p>
          <w:p>
            <w:pPr>
              <w:rPr>
                <w:rFonts w:ascii="宋体" w:hAnsi="宋体" w:cs="宋体"/>
                <w:sz w:val="20"/>
                <w:szCs w:val="20"/>
              </w:rPr>
            </w:pPr>
            <w:r>
              <w:rPr>
                <w:rFonts w:hint="eastAsia" w:ascii="宋体" w:hAnsi="宋体" w:cs="宋体"/>
                <w:sz w:val="20"/>
                <w:szCs w:val="20"/>
              </w:rPr>
              <w:t>3.理解防盲治盲的现状</w:t>
            </w:r>
          </w:p>
          <w:p>
            <w:pPr>
              <w:snapToGrid w:val="0"/>
              <w:spacing w:line="288" w:lineRule="auto"/>
              <w:jc w:val="left"/>
              <w:rPr>
                <w:rFonts w:ascii="宋体" w:hAnsi="宋体" w:cs="宋体"/>
                <w:color w:val="000000"/>
                <w:sz w:val="20"/>
                <w:szCs w:val="20"/>
              </w:rPr>
            </w:pPr>
            <w:r>
              <w:rPr>
                <w:rFonts w:hint="eastAsia" w:ascii="宋体" w:hAnsi="宋体" w:cs="宋体"/>
                <w:sz w:val="20"/>
                <w:szCs w:val="20"/>
              </w:rPr>
              <w:t>4.理解视力残疾的病因及心理社会状况</w:t>
            </w:r>
          </w:p>
        </w:tc>
        <w:tc>
          <w:tcPr>
            <w:tcW w:w="1500" w:type="dxa"/>
          </w:tcPr>
          <w:p>
            <w:pPr>
              <w:snapToGrid w:val="0"/>
              <w:spacing w:line="288" w:lineRule="auto"/>
              <w:jc w:val="left"/>
              <w:rPr>
                <w:rFonts w:ascii="宋体" w:hAnsi="宋体" w:cs="宋体"/>
                <w:sz w:val="20"/>
                <w:szCs w:val="20"/>
              </w:rPr>
            </w:pPr>
            <w:r>
              <w:rPr>
                <w:rFonts w:hint="eastAsia" w:ascii="宋体" w:hAnsi="宋体" w:cs="宋体"/>
                <w:sz w:val="20"/>
                <w:szCs w:val="20"/>
              </w:rPr>
              <w:t>能运用所学知识对视力残疾病人制订全面的护理计划</w:t>
            </w:r>
          </w:p>
        </w:tc>
        <w:tc>
          <w:tcPr>
            <w:tcW w:w="965"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具有严谨求实的工作作风和对病人高度负责的工作态度</w:t>
            </w:r>
          </w:p>
        </w:tc>
        <w:tc>
          <w:tcPr>
            <w:tcW w:w="1101" w:type="dxa"/>
          </w:tcPr>
          <w:p>
            <w:pPr>
              <w:snapToGrid w:val="0"/>
              <w:spacing w:line="288" w:lineRule="auto"/>
              <w:jc w:val="left"/>
              <w:rPr>
                <w:rFonts w:ascii="宋体" w:hAnsi="宋体" w:cs="宋体"/>
                <w:color w:val="000000"/>
                <w:sz w:val="20"/>
                <w:szCs w:val="20"/>
              </w:rPr>
            </w:pPr>
            <w:r>
              <w:rPr>
                <w:rFonts w:hint="eastAsia" w:ascii="宋体" w:hAnsi="宋体" w:cs="宋体"/>
                <w:sz w:val="20"/>
                <w:szCs w:val="20"/>
              </w:rPr>
              <w:t>视力残疾病人的主要护理诊断和护理措施</w:t>
            </w: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0.5</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17</w:t>
            </w:r>
          </w:p>
        </w:tc>
        <w:tc>
          <w:tcPr>
            <w:tcW w:w="690" w:type="dxa"/>
            <w:vAlign w:val="center"/>
          </w:tcPr>
          <w:p>
            <w:pPr>
              <w:snapToGrid w:val="0"/>
              <w:spacing w:line="288" w:lineRule="auto"/>
              <w:jc w:val="center"/>
              <w:rPr>
                <w:rFonts w:ascii="宋体" w:hAnsi="宋体" w:cs="宋体"/>
                <w:sz w:val="20"/>
                <w:szCs w:val="20"/>
              </w:rPr>
            </w:pPr>
            <w:r>
              <w:rPr>
                <w:rFonts w:hint="eastAsia" w:ascii="宋体" w:hAnsi="宋体" w:cs="宋体"/>
                <w:sz w:val="20"/>
                <w:szCs w:val="20"/>
              </w:rPr>
              <w:t>耳鼻咽喉的应用解剖及生理</w:t>
            </w:r>
          </w:p>
        </w:tc>
        <w:tc>
          <w:tcPr>
            <w:tcW w:w="2720" w:type="dxa"/>
          </w:tcPr>
          <w:p>
            <w:pPr>
              <w:rPr>
                <w:rFonts w:ascii="宋体" w:hAnsi="宋体" w:cs="宋体"/>
                <w:sz w:val="20"/>
                <w:szCs w:val="20"/>
              </w:rPr>
            </w:pPr>
            <w:r>
              <w:rPr>
                <w:rFonts w:hint="eastAsia" w:ascii="宋体" w:hAnsi="宋体" w:cs="宋体"/>
                <w:sz w:val="20"/>
                <w:szCs w:val="20"/>
              </w:rPr>
              <w:t>1.能正确描述鼻腔、鼻窦、咽、喉、耳、气管、支气管、食管的解剖结构和生理功能</w:t>
            </w:r>
          </w:p>
          <w:p>
            <w:pPr>
              <w:rPr>
                <w:rFonts w:ascii="宋体" w:hAnsi="宋体" w:cs="宋体"/>
                <w:sz w:val="20"/>
                <w:szCs w:val="20"/>
              </w:rPr>
            </w:pPr>
            <w:r>
              <w:rPr>
                <w:rFonts w:hint="eastAsia" w:ascii="宋体" w:hAnsi="宋体" w:cs="宋体"/>
                <w:sz w:val="20"/>
                <w:szCs w:val="20"/>
              </w:rPr>
              <w:t>2.能正确描述咽鼓管的生理功能</w:t>
            </w:r>
          </w:p>
          <w:p>
            <w:pPr>
              <w:rPr>
                <w:rFonts w:ascii="宋体" w:hAnsi="宋体" w:cs="宋体"/>
                <w:sz w:val="20"/>
                <w:szCs w:val="20"/>
              </w:rPr>
            </w:pPr>
            <w:r>
              <w:rPr>
                <w:rFonts w:hint="eastAsia" w:ascii="宋体" w:hAnsi="宋体" w:cs="宋体"/>
                <w:sz w:val="20"/>
                <w:szCs w:val="20"/>
              </w:rPr>
              <w:t>3.能正确描述面神经分段</w:t>
            </w:r>
          </w:p>
          <w:p>
            <w:pPr>
              <w:rPr>
                <w:rFonts w:ascii="宋体" w:hAnsi="宋体" w:cs="宋体"/>
                <w:sz w:val="20"/>
                <w:szCs w:val="20"/>
              </w:rPr>
            </w:pPr>
            <w:r>
              <w:rPr>
                <w:rFonts w:hint="eastAsia" w:ascii="宋体" w:hAnsi="宋体" w:cs="宋体"/>
                <w:sz w:val="20"/>
                <w:szCs w:val="20"/>
              </w:rPr>
              <w:t>4.理解各鼻窦开口及鼻窦分组、窦口鼻道复合体、咽淋巴环、咽部筋膜间隙、喉腔分区、支气管树、食管生理狭窄、中耳的传音增益效应的临床意义</w:t>
            </w:r>
          </w:p>
          <w:p>
            <w:pPr>
              <w:rPr>
                <w:rFonts w:ascii="宋体" w:hAnsi="宋体" w:cs="宋体"/>
                <w:sz w:val="20"/>
                <w:szCs w:val="20"/>
              </w:rPr>
            </w:pPr>
            <w:r>
              <w:rPr>
                <w:rFonts w:hint="eastAsia" w:ascii="宋体" w:hAnsi="宋体" w:cs="宋体"/>
                <w:sz w:val="20"/>
                <w:szCs w:val="20"/>
              </w:rPr>
              <w:t>5.能用自己的语言描述小儿喉部的解剖特点及临床意义</w:t>
            </w:r>
          </w:p>
          <w:p>
            <w:pPr>
              <w:rPr>
                <w:rFonts w:ascii="宋体" w:hAnsi="宋体" w:cs="宋体"/>
                <w:sz w:val="20"/>
                <w:szCs w:val="20"/>
              </w:rPr>
            </w:pPr>
            <w:r>
              <w:rPr>
                <w:rFonts w:hint="eastAsia" w:ascii="宋体" w:hAnsi="宋体" w:cs="宋体"/>
                <w:sz w:val="20"/>
                <w:szCs w:val="20"/>
              </w:rPr>
              <w:t>6.能用自己的语言描述中枢性面瘫与外周性面瘫的区别</w:t>
            </w:r>
          </w:p>
        </w:tc>
        <w:tc>
          <w:tcPr>
            <w:tcW w:w="1500" w:type="dxa"/>
          </w:tcPr>
          <w:p>
            <w:pPr>
              <w:snapToGrid w:val="0"/>
              <w:spacing w:line="288" w:lineRule="auto"/>
              <w:jc w:val="left"/>
              <w:rPr>
                <w:rFonts w:ascii="宋体" w:hAnsi="宋体" w:cs="宋体"/>
                <w:sz w:val="20"/>
                <w:szCs w:val="20"/>
              </w:rPr>
            </w:pPr>
            <w:r>
              <w:rPr>
                <w:rFonts w:hint="eastAsia" w:ascii="宋体" w:hAnsi="宋体" w:cs="宋体"/>
                <w:sz w:val="20"/>
                <w:szCs w:val="20"/>
              </w:rPr>
              <w:t>能运用耳鼻咽喉的解剖和生理知识分析常见疾病的病因、病理、临床表现</w:t>
            </w:r>
          </w:p>
        </w:tc>
        <w:tc>
          <w:tcPr>
            <w:tcW w:w="965"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1.具有严谨求实的工作作风</w:t>
            </w:r>
          </w:p>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2.热爱护理学专业，具有为护理事业无私奉献的热情</w:t>
            </w:r>
          </w:p>
        </w:tc>
        <w:tc>
          <w:tcPr>
            <w:tcW w:w="1101" w:type="dxa"/>
          </w:tcPr>
          <w:p>
            <w:pPr>
              <w:rPr>
                <w:rFonts w:ascii="宋体" w:hAnsi="宋体" w:cs="宋体"/>
                <w:sz w:val="20"/>
                <w:szCs w:val="20"/>
              </w:rPr>
            </w:pPr>
            <w:r>
              <w:rPr>
                <w:rFonts w:hint="eastAsia" w:ascii="宋体" w:hAnsi="宋体" w:cs="宋体"/>
                <w:sz w:val="20"/>
                <w:szCs w:val="20"/>
              </w:rPr>
              <w:t>鼻腔、鼻窦、咽、喉、耳、气管、支气管、食管的解剖结构和生理功能</w:t>
            </w:r>
          </w:p>
          <w:p>
            <w:pPr>
              <w:snapToGrid w:val="0"/>
              <w:spacing w:line="288" w:lineRule="auto"/>
              <w:jc w:val="left"/>
              <w:rPr>
                <w:rFonts w:ascii="宋体" w:hAnsi="宋体" w:cs="宋体"/>
                <w:color w:val="000000"/>
                <w:sz w:val="20"/>
                <w:szCs w:val="20"/>
              </w:rPr>
            </w:pP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18</w:t>
            </w:r>
          </w:p>
        </w:tc>
        <w:tc>
          <w:tcPr>
            <w:tcW w:w="690" w:type="dxa"/>
            <w:vAlign w:val="center"/>
          </w:tcPr>
          <w:p>
            <w:pPr>
              <w:snapToGrid w:val="0"/>
              <w:spacing w:line="288" w:lineRule="auto"/>
              <w:jc w:val="center"/>
              <w:rPr>
                <w:rFonts w:ascii="宋体" w:hAnsi="宋体" w:cs="宋体"/>
                <w:sz w:val="20"/>
                <w:szCs w:val="20"/>
              </w:rPr>
            </w:pPr>
            <w:r>
              <w:rPr>
                <w:rFonts w:hint="eastAsia" w:ascii="宋体" w:hAnsi="宋体" w:cs="宋体"/>
                <w:sz w:val="20"/>
                <w:szCs w:val="20"/>
              </w:rPr>
              <w:t>耳鼻咽喉科病人的护理概述</w:t>
            </w:r>
          </w:p>
        </w:tc>
        <w:tc>
          <w:tcPr>
            <w:tcW w:w="2720" w:type="dxa"/>
          </w:tcPr>
          <w:p>
            <w:pPr>
              <w:rPr>
                <w:rFonts w:ascii="宋体" w:hAnsi="宋体" w:cs="宋体"/>
                <w:sz w:val="20"/>
                <w:szCs w:val="20"/>
              </w:rPr>
            </w:pPr>
            <w:r>
              <w:rPr>
                <w:rFonts w:hint="eastAsia" w:ascii="宋体" w:hAnsi="宋体" w:cs="宋体"/>
                <w:sz w:val="20"/>
                <w:szCs w:val="20"/>
              </w:rPr>
              <w:t>1.能正确叙述耳鼻咽喉科病人护理评估的主要内容及评估方法</w:t>
            </w:r>
          </w:p>
          <w:p>
            <w:pPr>
              <w:rPr>
                <w:rFonts w:ascii="宋体" w:hAnsi="宋体" w:cs="宋体"/>
                <w:sz w:val="20"/>
                <w:szCs w:val="20"/>
              </w:rPr>
            </w:pPr>
            <w:r>
              <w:rPr>
                <w:rFonts w:hint="eastAsia" w:ascii="宋体" w:hAnsi="宋体" w:cs="宋体"/>
                <w:sz w:val="20"/>
                <w:szCs w:val="20"/>
              </w:rPr>
              <w:t>2.能正确叙述耳鼻咽喉科手术病人手术前后的常规护理要点</w:t>
            </w:r>
          </w:p>
          <w:p>
            <w:pPr>
              <w:rPr>
                <w:rFonts w:ascii="宋体" w:hAnsi="宋体" w:cs="宋体"/>
                <w:sz w:val="20"/>
                <w:szCs w:val="20"/>
              </w:rPr>
            </w:pPr>
            <w:r>
              <w:rPr>
                <w:rFonts w:hint="eastAsia" w:ascii="宋体" w:hAnsi="宋体" w:cs="宋体"/>
                <w:sz w:val="20"/>
                <w:szCs w:val="20"/>
              </w:rPr>
              <w:t>3.能用自己的语言描述耳鼻咽喉科病人常见的症状和体征</w:t>
            </w:r>
          </w:p>
          <w:p>
            <w:pPr>
              <w:rPr>
                <w:rFonts w:ascii="宋体" w:hAnsi="宋体" w:cs="宋体"/>
                <w:sz w:val="20"/>
                <w:szCs w:val="20"/>
              </w:rPr>
            </w:pPr>
            <w:r>
              <w:rPr>
                <w:rFonts w:hint="eastAsia" w:ascii="宋体" w:hAnsi="宋体" w:cs="宋体"/>
                <w:sz w:val="20"/>
                <w:szCs w:val="20"/>
              </w:rPr>
              <w:t>4.能用自己的语言阐述耳鼻咽喉科常用的专科检查项目的分类、名称和目的</w:t>
            </w:r>
          </w:p>
          <w:p>
            <w:pPr>
              <w:rPr>
                <w:rFonts w:ascii="宋体" w:hAnsi="宋体" w:cs="宋体"/>
                <w:sz w:val="20"/>
                <w:szCs w:val="20"/>
              </w:rPr>
            </w:pPr>
            <w:r>
              <w:rPr>
                <w:rFonts w:hint="eastAsia" w:ascii="宋体" w:hAnsi="宋体" w:cs="宋体"/>
                <w:sz w:val="20"/>
                <w:szCs w:val="20"/>
              </w:rPr>
              <w:t>5.能比较分析不同专科护理技术操作的目的和用途</w:t>
            </w:r>
          </w:p>
        </w:tc>
        <w:tc>
          <w:tcPr>
            <w:tcW w:w="1500" w:type="dxa"/>
          </w:tcPr>
          <w:p>
            <w:pPr>
              <w:rPr>
                <w:rFonts w:ascii="宋体" w:hAnsi="宋体" w:cs="宋体"/>
                <w:sz w:val="20"/>
                <w:szCs w:val="20"/>
              </w:rPr>
            </w:pPr>
            <w:r>
              <w:rPr>
                <w:rFonts w:hint="eastAsia" w:ascii="宋体" w:hAnsi="宋体" w:cs="宋体"/>
                <w:sz w:val="20"/>
                <w:szCs w:val="20"/>
              </w:rPr>
              <w:t>1.能正确运用护理程序对耳鼻咽喉科病人进行整体护理</w:t>
            </w:r>
          </w:p>
          <w:p>
            <w:pPr>
              <w:snapToGrid w:val="0"/>
              <w:spacing w:line="288" w:lineRule="auto"/>
              <w:jc w:val="left"/>
              <w:rPr>
                <w:rFonts w:ascii="宋体" w:hAnsi="宋体" w:cs="宋体"/>
                <w:sz w:val="20"/>
                <w:szCs w:val="20"/>
              </w:rPr>
            </w:pPr>
            <w:r>
              <w:rPr>
                <w:rFonts w:hint="eastAsia" w:ascii="宋体" w:hAnsi="宋体" w:cs="宋体"/>
                <w:sz w:val="20"/>
                <w:szCs w:val="20"/>
              </w:rPr>
              <w:t>2.能正确演示耳鼻咽喉科常用的简单的护理技术操作，包括滴鼻法、滴耳法、外耳道冲洗等</w:t>
            </w:r>
          </w:p>
        </w:tc>
        <w:tc>
          <w:tcPr>
            <w:tcW w:w="965"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1.具有对病人高度负责的工作态度</w:t>
            </w:r>
          </w:p>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2.尊重、关心和体谅病人</w:t>
            </w:r>
          </w:p>
          <w:p>
            <w:pPr>
              <w:snapToGrid w:val="0"/>
              <w:spacing w:line="288" w:lineRule="auto"/>
              <w:jc w:val="left"/>
              <w:rPr>
                <w:rFonts w:ascii="宋体" w:hAnsi="宋体" w:cs="宋体"/>
                <w:color w:val="000000"/>
                <w:sz w:val="20"/>
                <w:szCs w:val="20"/>
              </w:rPr>
            </w:pPr>
          </w:p>
        </w:tc>
        <w:tc>
          <w:tcPr>
            <w:tcW w:w="1101"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1.</w:t>
            </w:r>
            <w:r>
              <w:rPr>
                <w:rFonts w:hint="eastAsia" w:ascii="宋体" w:hAnsi="宋体" w:cs="宋体"/>
                <w:sz w:val="20"/>
                <w:szCs w:val="20"/>
              </w:rPr>
              <w:t>耳鼻咽喉科病人护理评估的内容</w:t>
            </w:r>
          </w:p>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2.</w:t>
            </w:r>
            <w:r>
              <w:rPr>
                <w:rFonts w:hint="eastAsia" w:ascii="宋体" w:hAnsi="宋体" w:cs="宋体"/>
                <w:sz w:val="20"/>
                <w:szCs w:val="20"/>
              </w:rPr>
              <w:t>常用的耳鼻咽喉科检查和护理配合</w:t>
            </w:r>
          </w:p>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3.</w:t>
            </w:r>
            <w:r>
              <w:rPr>
                <w:rFonts w:hint="eastAsia" w:ascii="宋体" w:hAnsi="宋体" w:cs="宋体"/>
                <w:sz w:val="20"/>
                <w:szCs w:val="20"/>
              </w:rPr>
              <w:t>耳鼻咽喉科常用的护理操作技术</w:t>
            </w: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4</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19</w:t>
            </w:r>
          </w:p>
        </w:tc>
        <w:tc>
          <w:tcPr>
            <w:tcW w:w="690" w:type="dxa"/>
            <w:vAlign w:val="center"/>
          </w:tcPr>
          <w:p>
            <w:pPr>
              <w:snapToGrid w:val="0"/>
              <w:spacing w:line="288" w:lineRule="auto"/>
              <w:jc w:val="center"/>
              <w:rPr>
                <w:rFonts w:ascii="宋体" w:hAnsi="宋体" w:cs="宋体"/>
                <w:sz w:val="20"/>
                <w:szCs w:val="20"/>
              </w:rPr>
            </w:pPr>
            <w:r>
              <w:rPr>
                <w:rFonts w:hint="eastAsia" w:ascii="宋体" w:hAnsi="宋体" w:cs="宋体"/>
                <w:sz w:val="20"/>
                <w:szCs w:val="20"/>
              </w:rPr>
              <w:t>鼻科病人的护理</w:t>
            </w:r>
          </w:p>
        </w:tc>
        <w:tc>
          <w:tcPr>
            <w:tcW w:w="2720" w:type="dxa"/>
          </w:tcPr>
          <w:p>
            <w:pPr>
              <w:rPr>
                <w:rFonts w:ascii="宋体" w:hAnsi="宋体" w:cs="宋体"/>
                <w:sz w:val="20"/>
                <w:szCs w:val="20"/>
              </w:rPr>
            </w:pPr>
            <w:r>
              <w:rPr>
                <w:rFonts w:hint="eastAsia" w:ascii="宋体" w:hAnsi="宋体" w:cs="宋体"/>
                <w:sz w:val="20"/>
                <w:szCs w:val="20"/>
              </w:rPr>
              <w:t>1.能正确描述外鼻及鼻腔炎症病人的典型症状、治疗要点、主要护理诊断及护理措施</w:t>
            </w:r>
          </w:p>
          <w:p>
            <w:pPr>
              <w:rPr>
                <w:rFonts w:ascii="宋体" w:hAnsi="宋体" w:cs="宋体"/>
                <w:sz w:val="20"/>
                <w:szCs w:val="20"/>
              </w:rPr>
            </w:pPr>
            <w:r>
              <w:rPr>
                <w:rFonts w:hint="eastAsia" w:ascii="宋体" w:hAnsi="宋体" w:cs="宋体"/>
                <w:sz w:val="20"/>
                <w:szCs w:val="20"/>
              </w:rPr>
              <w:t>2.能正确描述鼻中隔穿孔病人的典型症状、治疗要点、主要护理诊断及护理措施</w:t>
            </w:r>
          </w:p>
          <w:p>
            <w:pPr>
              <w:rPr>
                <w:rFonts w:ascii="宋体" w:hAnsi="宋体" w:cs="宋体"/>
                <w:sz w:val="20"/>
                <w:szCs w:val="20"/>
              </w:rPr>
            </w:pPr>
            <w:r>
              <w:rPr>
                <w:rFonts w:hint="eastAsia" w:ascii="宋体" w:hAnsi="宋体" w:cs="宋体"/>
                <w:sz w:val="20"/>
                <w:szCs w:val="20"/>
              </w:rPr>
              <w:t>3.能正确描述急慢性鼻炎、鼻窦炎及鼻出血的病因、身体状况、治疗要点、主要护理问题与护理措施</w:t>
            </w:r>
          </w:p>
          <w:p>
            <w:pPr>
              <w:rPr>
                <w:rFonts w:ascii="宋体" w:hAnsi="宋体" w:cs="宋体"/>
                <w:sz w:val="20"/>
                <w:szCs w:val="20"/>
              </w:rPr>
            </w:pPr>
            <w:r>
              <w:rPr>
                <w:rFonts w:hint="eastAsia" w:ascii="宋体" w:hAnsi="宋体" w:cs="宋体"/>
                <w:sz w:val="20"/>
                <w:szCs w:val="20"/>
              </w:rPr>
              <w:t>4.能正确描述变应性鼻炎、鼻息肉、鼻中隔偏曲病人的身体状况与治疗要点</w:t>
            </w:r>
          </w:p>
          <w:p>
            <w:pPr>
              <w:rPr>
                <w:rFonts w:ascii="宋体" w:hAnsi="宋体" w:cs="宋体"/>
                <w:sz w:val="20"/>
                <w:szCs w:val="20"/>
              </w:rPr>
            </w:pPr>
            <w:r>
              <w:rPr>
                <w:rFonts w:hint="eastAsia" w:ascii="宋体" w:hAnsi="宋体" w:cs="宋体"/>
                <w:sz w:val="20"/>
                <w:szCs w:val="20"/>
              </w:rPr>
              <w:t>5.能正确描述鼻外伤病人的治疗与观察要点</w:t>
            </w:r>
          </w:p>
          <w:p>
            <w:pPr>
              <w:rPr>
                <w:rFonts w:ascii="宋体" w:hAnsi="宋体" w:cs="宋体"/>
                <w:sz w:val="20"/>
                <w:szCs w:val="20"/>
              </w:rPr>
            </w:pPr>
            <w:r>
              <w:rPr>
                <w:rFonts w:hint="eastAsia" w:ascii="宋体" w:hAnsi="宋体" w:cs="宋体"/>
                <w:sz w:val="20"/>
                <w:szCs w:val="20"/>
              </w:rPr>
              <w:t>6.能正确描述鼻腔鼻窦恶性肿瘤病人的主要护理问题及护理措施</w:t>
            </w:r>
          </w:p>
          <w:p>
            <w:pPr>
              <w:rPr>
                <w:rFonts w:ascii="宋体" w:hAnsi="宋体" w:cs="宋体"/>
                <w:sz w:val="20"/>
                <w:szCs w:val="20"/>
              </w:rPr>
            </w:pPr>
            <w:r>
              <w:rPr>
                <w:rFonts w:hint="eastAsia" w:ascii="宋体" w:hAnsi="宋体" w:cs="宋体"/>
                <w:sz w:val="20"/>
                <w:szCs w:val="20"/>
              </w:rPr>
              <w:t>7.理解鼻黏膜高反应性疾病病因和发病机制</w:t>
            </w:r>
          </w:p>
          <w:p>
            <w:pPr>
              <w:rPr>
                <w:rFonts w:ascii="宋体" w:hAnsi="宋体" w:cs="宋体"/>
                <w:sz w:val="20"/>
                <w:szCs w:val="20"/>
              </w:rPr>
            </w:pPr>
            <w:r>
              <w:rPr>
                <w:rFonts w:hint="eastAsia" w:ascii="宋体" w:hAnsi="宋体" w:cs="宋体"/>
                <w:sz w:val="20"/>
                <w:szCs w:val="20"/>
              </w:rPr>
              <w:t>8.理解鼻中隔血肿和脓肿的定义及处理措施</w:t>
            </w:r>
          </w:p>
          <w:p>
            <w:pPr>
              <w:rPr>
                <w:rFonts w:ascii="宋体" w:hAnsi="宋体" w:cs="宋体"/>
                <w:sz w:val="20"/>
                <w:szCs w:val="20"/>
              </w:rPr>
            </w:pPr>
            <w:r>
              <w:rPr>
                <w:rFonts w:hint="eastAsia" w:ascii="宋体" w:hAnsi="宋体" w:cs="宋体"/>
                <w:sz w:val="20"/>
                <w:szCs w:val="20"/>
              </w:rPr>
              <w:t>9.能比较说明慢性鼻炎与慢性鼻窦炎在治疗、护理上的异同点</w:t>
            </w:r>
          </w:p>
        </w:tc>
        <w:tc>
          <w:tcPr>
            <w:tcW w:w="1500" w:type="dxa"/>
          </w:tcPr>
          <w:p>
            <w:pPr>
              <w:rPr>
                <w:rFonts w:ascii="宋体" w:hAnsi="宋体" w:cs="宋体"/>
                <w:sz w:val="20"/>
                <w:szCs w:val="20"/>
              </w:rPr>
            </w:pPr>
            <w:r>
              <w:rPr>
                <w:rFonts w:hint="eastAsia" w:ascii="宋体" w:hAnsi="宋体" w:cs="宋体"/>
                <w:sz w:val="20"/>
                <w:szCs w:val="20"/>
              </w:rPr>
              <w:t>1.能运用所学知识为鼻疖病人进行健康宣教</w:t>
            </w:r>
          </w:p>
          <w:p>
            <w:pPr>
              <w:rPr>
                <w:rFonts w:ascii="宋体" w:hAnsi="宋体" w:cs="宋体"/>
                <w:sz w:val="20"/>
                <w:szCs w:val="20"/>
              </w:rPr>
            </w:pPr>
            <w:r>
              <w:rPr>
                <w:rFonts w:hint="eastAsia" w:ascii="宋体" w:hAnsi="宋体" w:cs="宋体"/>
                <w:sz w:val="20"/>
                <w:szCs w:val="20"/>
              </w:rPr>
              <w:t>2.能运用所学知识为变应性鼻炎病人拟定护理措施</w:t>
            </w:r>
          </w:p>
          <w:p>
            <w:pPr>
              <w:snapToGrid w:val="0"/>
              <w:spacing w:line="288" w:lineRule="auto"/>
              <w:jc w:val="left"/>
              <w:rPr>
                <w:rFonts w:ascii="宋体" w:hAnsi="宋体" w:cs="宋体"/>
                <w:sz w:val="20"/>
                <w:szCs w:val="20"/>
              </w:rPr>
            </w:pPr>
            <w:r>
              <w:rPr>
                <w:rFonts w:hint="eastAsia" w:ascii="宋体" w:hAnsi="宋体" w:cs="宋体"/>
                <w:sz w:val="20"/>
                <w:szCs w:val="20"/>
              </w:rPr>
              <w:t>3.能结合鼻科病人的具体情况实施健康教育</w:t>
            </w:r>
          </w:p>
        </w:tc>
        <w:tc>
          <w:tcPr>
            <w:tcW w:w="965"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具有严谨求实的工作作风和对病人高度负责的工作态度</w:t>
            </w:r>
          </w:p>
          <w:p>
            <w:pPr>
              <w:snapToGrid w:val="0"/>
              <w:spacing w:line="288" w:lineRule="auto"/>
              <w:jc w:val="left"/>
              <w:rPr>
                <w:rFonts w:ascii="宋体" w:hAnsi="宋体" w:cs="宋体"/>
                <w:color w:val="000000"/>
                <w:sz w:val="20"/>
                <w:szCs w:val="20"/>
              </w:rPr>
            </w:pPr>
          </w:p>
        </w:tc>
        <w:tc>
          <w:tcPr>
            <w:tcW w:w="1101"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1.鼻科常见疾病的主要护理诊断及护理措施</w:t>
            </w:r>
          </w:p>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2.慢性鼻炎与慢性鼻窦炎在护理上的异同点</w:t>
            </w:r>
          </w:p>
          <w:p>
            <w:pPr>
              <w:snapToGrid w:val="0"/>
              <w:spacing w:line="288" w:lineRule="auto"/>
              <w:jc w:val="left"/>
              <w:rPr>
                <w:rFonts w:ascii="宋体" w:hAnsi="宋体" w:cs="宋体"/>
                <w:color w:val="000000"/>
                <w:sz w:val="20"/>
                <w:szCs w:val="20"/>
              </w:rPr>
            </w:pP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20</w:t>
            </w:r>
          </w:p>
        </w:tc>
        <w:tc>
          <w:tcPr>
            <w:tcW w:w="690" w:type="dxa"/>
            <w:vAlign w:val="center"/>
          </w:tcPr>
          <w:p>
            <w:pPr>
              <w:snapToGrid w:val="0"/>
              <w:spacing w:line="288" w:lineRule="auto"/>
              <w:jc w:val="center"/>
              <w:rPr>
                <w:rFonts w:ascii="宋体" w:hAnsi="宋体" w:cs="宋体"/>
                <w:sz w:val="20"/>
                <w:szCs w:val="20"/>
              </w:rPr>
            </w:pPr>
            <w:r>
              <w:rPr>
                <w:rFonts w:hint="eastAsia" w:ascii="宋体" w:hAnsi="宋体" w:cs="宋体"/>
                <w:sz w:val="20"/>
                <w:szCs w:val="20"/>
              </w:rPr>
              <w:t>咽科病人的护理</w:t>
            </w:r>
          </w:p>
        </w:tc>
        <w:tc>
          <w:tcPr>
            <w:tcW w:w="2720" w:type="dxa"/>
          </w:tcPr>
          <w:p>
            <w:pPr>
              <w:rPr>
                <w:rFonts w:ascii="宋体" w:hAnsi="宋体" w:cs="宋体"/>
                <w:sz w:val="20"/>
                <w:szCs w:val="20"/>
              </w:rPr>
            </w:pPr>
            <w:r>
              <w:rPr>
                <w:rFonts w:hint="eastAsia" w:ascii="宋体" w:hAnsi="宋体" w:cs="宋体"/>
                <w:sz w:val="20"/>
                <w:szCs w:val="20"/>
              </w:rPr>
              <w:t>1.能正确描述急性咽炎、慢性咽炎、急性扁桃体炎、慢性扁桃体炎、扁桃体周脓肿、急性腺样体炎和腺样体肥大的病因、典型症状、治疗要点、主要护理诊断及护理措施</w:t>
            </w:r>
          </w:p>
          <w:p>
            <w:pPr>
              <w:rPr>
                <w:rFonts w:ascii="宋体" w:hAnsi="宋体" w:cs="宋体"/>
                <w:sz w:val="20"/>
                <w:szCs w:val="20"/>
              </w:rPr>
            </w:pPr>
            <w:r>
              <w:rPr>
                <w:rFonts w:hint="eastAsia" w:ascii="宋体" w:hAnsi="宋体" w:cs="宋体"/>
                <w:sz w:val="20"/>
                <w:szCs w:val="20"/>
              </w:rPr>
              <w:t>2.能正确描述鼻咽纤维血管瘤、鼻咽癌、扁桃体恶性肿瘤的典型症状、主要护理诊断及护理措施</w:t>
            </w:r>
          </w:p>
          <w:p>
            <w:pPr>
              <w:rPr>
                <w:rFonts w:ascii="宋体" w:hAnsi="宋体" w:cs="宋体"/>
                <w:sz w:val="20"/>
                <w:szCs w:val="20"/>
              </w:rPr>
            </w:pPr>
            <w:r>
              <w:rPr>
                <w:rFonts w:hint="eastAsia" w:ascii="宋体" w:hAnsi="宋体" w:cs="宋体"/>
                <w:sz w:val="20"/>
                <w:szCs w:val="20"/>
              </w:rPr>
              <w:t>3.能正确描述阻塞性睡眠呼吸暂停低通气综合征的典型症状、治疗要点、主要护理诊断及护理措施</w:t>
            </w:r>
          </w:p>
          <w:p>
            <w:pPr>
              <w:rPr>
                <w:rFonts w:ascii="宋体" w:hAnsi="宋体" w:cs="宋体"/>
                <w:sz w:val="20"/>
                <w:szCs w:val="20"/>
              </w:rPr>
            </w:pPr>
            <w:r>
              <w:rPr>
                <w:rFonts w:hint="eastAsia" w:ascii="宋体" w:hAnsi="宋体" w:cs="宋体"/>
                <w:sz w:val="20"/>
                <w:szCs w:val="20"/>
              </w:rPr>
              <w:t>4.比较分析急性咽炎、慢性咽炎、急性扁桃体炎、慢性扁桃体炎、扁桃体周脓肿、急性腺样体炎和腺样体肥大各疾病之间的异同点</w:t>
            </w:r>
          </w:p>
          <w:p>
            <w:pPr>
              <w:rPr>
                <w:rFonts w:ascii="宋体" w:hAnsi="宋体" w:cs="宋体"/>
                <w:sz w:val="20"/>
                <w:szCs w:val="20"/>
              </w:rPr>
            </w:pPr>
            <w:r>
              <w:rPr>
                <w:rFonts w:hint="eastAsia" w:ascii="宋体" w:hAnsi="宋体" w:cs="宋体"/>
                <w:sz w:val="20"/>
                <w:szCs w:val="20"/>
              </w:rPr>
              <w:t>5.理解阻塞性睡眠呼吸暂停低通气综合征的病因及发病机制</w:t>
            </w:r>
          </w:p>
        </w:tc>
        <w:tc>
          <w:tcPr>
            <w:tcW w:w="1500" w:type="dxa"/>
          </w:tcPr>
          <w:p>
            <w:pPr>
              <w:snapToGrid w:val="0"/>
              <w:spacing w:line="288" w:lineRule="auto"/>
              <w:jc w:val="left"/>
              <w:rPr>
                <w:rFonts w:ascii="宋体" w:hAnsi="宋体" w:cs="宋体"/>
                <w:sz w:val="20"/>
                <w:szCs w:val="20"/>
              </w:rPr>
            </w:pPr>
            <w:r>
              <w:rPr>
                <w:rFonts w:hint="eastAsia" w:ascii="宋体" w:hAnsi="宋体" w:cs="宋体"/>
                <w:sz w:val="20"/>
                <w:szCs w:val="20"/>
              </w:rPr>
              <w:t>能运用所学知识对急性咽炎、慢性咽炎、急性扁桃体炎、慢性扁桃体炎、扁桃体周脓肿、急性腺样体炎和腺样体肥大、鼻咽纤维血管瘤、鼻咽癌、扁桃体恶性肿瘤、阻塞性睡眠呼吸暂停低通气综合征病人制订全面的护理计划</w:t>
            </w:r>
          </w:p>
        </w:tc>
        <w:tc>
          <w:tcPr>
            <w:tcW w:w="965"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具有严谨求实的工作作风和对病人高度负责的工作态度</w:t>
            </w:r>
          </w:p>
          <w:p>
            <w:pPr>
              <w:snapToGrid w:val="0"/>
              <w:spacing w:line="288" w:lineRule="auto"/>
              <w:jc w:val="left"/>
              <w:rPr>
                <w:rFonts w:ascii="宋体" w:hAnsi="宋体" w:cs="宋体"/>
                <w:color w:val="000000"/>
                <w:sz w:val="20"/>
                <w:szCs w:val="20"/>
              </w:rPr>
            </w:pPr>
          </w:p>
        </w:tc>
        <w:tc>
          <w:tcPr>
            <w:tcW w:w="1101"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1.咽科常见疾病之间的异同点</w:t>
            </w:r>
          </w:p>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2.咽科常见疾病的主要护理诊断及护理措施</w:t>
            </w:r>
          </w:p>
          <w:p>
            <w:pPr>
              <w:snapToGrid w:val="0"/>
              <w:spacing w:line="288" w:lineRule="auto"/>
              <w:jc w:val="left"/>
              <w:rPr>
                <w:rFonts w:ascii="宋体" w:hAnsi="宋体" w:cs="宋体"/>
                <w:color w:val="000000"/>
                <w:sz w:val="20"/>
                <w:szCs w:val="20"/>
              </w:rPr>
            </w:pP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21</w:t>
            </w:r>
          </w:p>
        </w:tc>
        <w:tc>
          <w:tcPr>
            <w:tcW w:w="690" w:type="dxa"/>
            <w:vAlign w:val="center"/>
          </w:tcPr>
          <w:p>
            <w:pPr>
              <w:snapToGrid w:val="0"/>
              <w:spacing w:line="288" w:lineRule="auto"/>
              <w:jc w:val="center"/>
              <w:rPr>
                <w:rFonts w:ascii="宋体" w:hAnsi="宋体" w:cs="宋体"/>
                <w:sz w:val="20"/>
                <w:szCs w:val="20"/>
              </w:rPr>
            </w:pPr>
            <w:r>
              <w:rPr>
                <w:rFonts w:hint="eastAsia" w:ascii="宋体" w:hAnsi="宋体" w:cs="宋体"/>
                <w:sz w:val="20"/>
                <w:szCs w:val="20"/>
              </w:rPr>
              <w:t>喉科病人的护理</w:t>
            </w:r>
          </w:p>
        </w:tc>
        <w:tc>
          <w:tcPr>
            <w:tcW w:w="2720" w:type="dxa"/>
          </w:tcPr>
          <w:p>
            <w:pPr>
              <w:rPr>
                <w:rFonts w:ascii="宋体" w:hAnsi="宋体" w:cs="宋体"/>
                <w:sz w:val="20"/>
                <w:szCs w:val="20"/>
              </w:rPr>
            </w:pPr>
            <w:r>
              <w:rPr>
                <w:rFonts w:hint="eastAsia" w:ascii="宋体" w:hAnsi="宋体" w:cs="宋体"/>
                <w:sz w:val="20"/>
                <w:szCs w:val="20"/>
              </w:rPr>
              <w:t>1.能正确描述急性会厌炎病人的典型症状、体征、治疗要点、主要护理诊断及护理措施</w:t>
            </w:r>
          </w:p>
          <w:p>
            <w:pPr>
              <w:rPr>
                <w:rFonts w:ascii="宋体" w:hAnsi="宋体" w:cs="宋体"/>
                <w:sz w:val="20"/>
                <w:szCs w:val="20"/>
              </w:rPr>
            </w:pPr>
            <w:r>
              <w:rPr>
                <w:rFonts w:hint="eastAsia" w:ascii="宋体" w:hAnsi="宋体" w:cs="宋体"/>
                <w:sz w:val="20"/>
                <w:szCs w:val="20"/>
              </w:rPr>
              <w:t>2.能正确描述小儿急性喉炎的发病机制、典型症状和治疗要点</w:t>
            </w:r>
          </w:p>
          <w:p>
            <w:pPr>
              <w:rPr>
                <w:rFonts w:ascii="宋体" w:hAnsi="宋体" w:cs="宋体"/>
                <w:sz w:val="20"/>
                <w:szCs w:val="20"/>
              </w:rPr>
            </w:pPr>
            <w:r>
              <w:rPr>
                <w:rFonts w:hint="eastAsia" w:ascii="宋体" w:hAnsi="宋体" w:cs="宋体"/>
                <w:sz w:val="20"/>
                <w:szCs w:val="20"/>
              </w:rPr>
              <w:t>3.能正确描述声带小结和声带息肉的典型症状和健康指导</w:t>
            </w:r>
          </w:p>
          <w:p>
            <w:pPr>
              <w:rPr>
                <w:rFonts w:ascii="宋体" w:hAnsi="宋体" w:cs="宋体"/>
                <w:sz w:val="20"/>
                <w:szCs w:val="20"/>
              </w:rPr>
            </w:pPr>
            <w:r>
              <w:rPr>
                <w:rFonts w:hint="eastAsia" w:ascii="宋体" w:hAnsi="宋体" w:cs="宋体"/>
                <w:sz w:val="20"/>
                <w:szCs w:val="20"/>
              </w:rPr>
              <w:t>4.能正确描述喉阻塞病人身体状况的评估、呼吸困难的分度和治疗要点</w:t>
            </w:r>
          </w:p>
          <w:p>
            <w:pPr>
              <w:rPr>
                <w:rFonts w:ascii="宋体" w:hAnsi="宋体" w:cs="宋体"/>
                <w:sz w:val="20"/>
                <w:szCs w:val="20"/>
              </w:rPr>
            </w:pPr>
            <w:r>
              <w:rPr>
                <w:rFonts w:hint="eastAsia" w:ascii="宋体" w:hAnsi="宋体" w:cs="宋体"/>
                <w:sz w:val="20"/>
                <w:szCs w:val="20"/>
              </w:rPr>
              <w:t>5.能正确描述喉癌常见的症状、主要的护理诊断</w:t>
            </w:r>
          </w:p>
          <w:p>
            <w:pPr>
              <w:rPr>
                <w:rFonts w:ascii="宋体" w:hAnsi="宋体" w:cs="宋体"/>
                <w:sz w:val="20"/>
                <w:szCs w:val="20"/>
              </w:rPr>
            </w:pPr>
            <w:r>
              <w:rPr>
                <w:rFonts w:hint="eastAsia" w:ascii="宋体" w:hAnsi="宋体" w:cs="宋体"/>
                <w:sz w:val="20"/>
                <w:szCs w:val="20"/>
              </w:rPr>
              <w:t>6.理解急性会厌炎的病因和发病机制</w:t>
            </w:r>
          </w:p>
          <w:p>
            <w:pPr>
              <w:rPr>
                <w:rFonts w:ascii="宋体" w:hAnsi="宋体" w:cs="宋体"/>
                <w:sz w:val="20"/>
                <w:szCs w:val="20"/>
              </w:rPr>
            </w:pPr>
            <w:r>
              <w:rPr>
                <w:rFonts w:hint="eastAsia" w:ascii="宋体" w:hAnsi="宋体" w:cs="宋体"/>
                <w:sz w:val="20"/>
                <w:szCs w:val="20"/>
              </w:rPr>
              <w:t>7.理解喉癌的发病因素、病理分型、喉癌病人身体和心理社会状况的评估、主要治疗方法</w:t>
            </w:r>
          </w:p>
        </w:tc>
        <w:tc>
          <w:tcPr>
            <w:tcW w:w="1500" w:type="dxa"/>
          </w:tcPr>
          <w:p>
            <w:pPr>
              <w:snapToGrid w:val="0"/>
              <w:spacing w:line="288" w:lineRule="auto"/>
              <w:jc w:val="left"/>
              <w:rPr>
                <w:rFonts w:ascii="宋体" w:hAnsi="宋体" w:cs="宋体"/>
                <w:sz w:val="20"/>
                <w:szCs w:val="20"/>
              </w:rPr>
            </w:pPr>
            <w:r>
              <w:rPr>
                <w:rFonts w:hint="eastAsia" w:ascii="宋体" w:hAnsi="宋体" w:cs="宋体"/>
                <w:sz w:val="20"/>
                <w:szCs w:val="20"/>
              </w:rPr>
              <w:t>能运用所学知识为不同年龄病人选择金属气管套管，为气管切开病人更换气管垫</w:t>
            </w:r>
          </w:p>
        </w:tc>
        <w:tc>
          <w:tcPr>
            <w:tcW w:w="965"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具有严谨求实的工作作风和对病人高度负责的工作态度</w:t>
            </w:r>
          </w:p>
          <w:p>
            <w:pPr>
              <w:snapToGrid w:val="0"/>
              <w:spacing w:line="288" w:lineRule="auto"/>
              <w:jc w:val="left"/>
              <w:rPr>
                <w:rFonts w:ascii="宋体" w:hAnsi="宋体" w:cs="宋体"/>
                <w:color w:val="000000"/>
                <w:sz w:val="20"/>
                <w:szCs w:val="20"/>
              </w:rPr>
            </w:pPr>
          </w:p>
        </w:tc>
        <w:tc>
          <w:tcPr>
            <w:tcW w:w="1101"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喉科常见疾病的主要护理诊断及护理措施</w:t>
            </w:r>
          </w:p>
          <w:p>
            <w:pPr>
              <w:snapToGrid w:val="0"/>
              <w:spacing w:line="288" w:lineRule="auto"/>
              <w:jc w:val="left"/>
              <w:rPr>
                <w:rFonts w:ascii="宋体" w:hAnsi="宋体" w:cs="宋体"/>
                <w:color w:val="000000"/>
                <w:sz w:val="20"/>
                <w:szCs w:val="20"/>
              </w:rPr>
            </w:pP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22</w:t>
            </w:r>
          </w:p>
        </w:tc>
        <w:tc>
          <w:tcPr>
            <w:tcW w:w="690" w:type="dxa"/>
            <w:vAlign w:val="center"/>
          </w:tcPr>
          <w:p>
            <w:pPr>
              <w:snapToGrid w:val="0"/>
              <w:spacing w:line="288" w:lineRule="auto"/>
              <w:jc w:val="center"/>
              <w:rPr>
                <w:rFonts w:ascii="宋体" w:hAnsi="宋体" w:cs="宋体"/>
                <w:sz w:val="20"/>
                <w:szCs w:val="20"/>
              </w:rPr>
            </w:pPr>
            <w:r>
              <w:rPr>
                <w:rFonts w:hint="eastAsia" w:ascii="宋体" w:hAnsi="宋体" w:cs="宋体"/>
                <w:sz w:val="20"/>
                <w:szCs w:val="20"/>
              </w:rPr>
              <w:t>气管食管异物病人的护理</w:t>
            </w:r>
          </w:p>
        </w:tc>
        <w:tc>
          <w:tcPr>
            <w:tcW w:w="2720" w:type="dxa"/>
          </w:tcPr>
          <w:p>
            <w:pPr>
              <w:rPr>
                <w:rFonts w:ascii="宋体" w:hAnsi="宋体" w:cs="宋体"/>
                <w:sz w:val="20"/>
                <w:szCs w:val="20"/>
              </w:rPr>
            </w:pPr>
            <w:r>
              <w:rPr>
                <w:rFonts w:hint="eastAsia" w:ascii="宋体" w:hAnsi="宋体" w:cs="宋体"/>
                <w:sz w:val="20"/>
                <w:szCs w:val="20"/>
              </w:rPr>
              <w:t>1.能正确描述气管、支气管异物病人的病因、典型症状、治疗要点、主要护理诊断及护理措施</w:t>
            </w:r>
          </w:p>
          <w:p>
            <w:pPr>
              <w:rPr>
                <w:rFonts w:ascii="宋体" w:hAnsi="宋体" w:cs="宋体"/>
                <w:sz w:val="20"/>
                <w:szCs w:val="20"/>
              </w:rPr>
            </w:pPr>
            <w:r>
              <w:rPr>
                <w:rFonts w:hint="eastAsia" w:ascii="宋体" w:hAnsi="宋体" w:cs="宋体"/>
                <w:sz w:val="20"/>
                <w:szCs w:val="20"/>
              </w:rPr>
              <w:t>2.能正确描述食管异物病人的病因、典型症状、治疗要点、主要护理诊断及护理措施</w:t>
            </w:r>
          </w:p>
          <w:p>
            <w:pPr>
              <w:rPr>
                <w:rFonts w:ascii="宋体" w:hAnsi="宋体" w:cs="宋体"/>
                <w:sz w:val="20"/>
                <w:szCs w:val="20"/>
              </w:rPr>
            </w:pPr>
            <w:r>
              <w:rPr>
                <w:rFonts w:hint="eastAsia" w:ascii="宋体" w:hAnsi="宋体" w:cs="宋体"/>
                <w:sz w:val="20"/>
                <w:szCs w:val="20"/>
              </w:rPr>
              <w:t>3.能比较说明气管、支气管异物与食管异物，说明它们之间在治疗、护理中的异同点</w:t>
            </w:r>
          </w:p>
        </w:tc>
        <w:tc>
          <w:tcPr>
            <w:tcW w:w="1500" w:type="dxa"/>
          </w:tcPr>
          <w:p>
            <w:pPr>
              <w:snapToGrid w:val="0"/>
              <w:spacing w:line="288" w:lineRule="auto"/>
              <w:jc w:val="left"/>
              <w:rPr>
                <w:rFonts w:ascii="宋体" w:hAnsi="宋体" w:cs="宋体"/>
                <w:sz w:val="20"/>
                <w:szCs w:val="20"/>
              </w:rPr>
            </w:pPr>
            <w:r>
              <w:rPr>
                <w:rFonts w:hint="eastAsia" w:ascii="宋体" w:hAnsi="宋体" w:cs="宋体"/>
                <w:sz w:val="20"/>
                <w:szCs w:val="20"/>
              </w:rPr>
              <w:t>能运用所学知识为气管、支气管异物与食管异物病人制订全面的护理计划，并结合病人的具体情况实施健康教育</w:t>
            </w:r>
          </w:p>
        </w:tc>
        <w:tc>
          <w:tcPr>
            <w:tcW w:w="965"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具有严谨求实的工作作风和对病人高度负责的工作态度</w:t>
            </w:r>
          </w:p>
          <w:p>
            <w:pPr>
              <w:snapToGrid w:val="0"/>
              <w:spacing w:line="288" w:lineRule="auto"/>
              <w:jc w:val="left"/>
              <w:rPr>
                <w:rFonts w:ascii="宋体" w:hAnsi="宋体" w:cs="宋体"/>
                <w:color w:val="000000"/>
                <w:sz w:val="20"/>
                <w:szCs w:val="20"/>
              </w:rPr>
            </w:pPr>
          </w:p>
        </w:tc>
        <w:tc>
          <w:tcPr>
            <w:tcW w:w="1101" w:type="dxa"/>
          </w:tcPr>
          <w:p>
            <w:pPr>
              <w:rPr>
                <w:rFonts w:ascii="宋体" w:hAnsi="宋体" w:cs="宋体"/>
                <w:sz w:val="20"/>
                <w:szCs w:val="20"/>
              </w:rPr>
            </w:pPr>
            <w:r>
              <w:rPr>
                <w:rFonts w:hint="eastAsia" w:ascii="宋体" w:hAnsi="宋体" w:cs="宋体"/>
                <w:sz w:val="20"/>
                <w:szCs w:val="20"/>
              </w:rPr>
              <w:t>1.气管食管异物病人的主要护理诊断及护理措施</w:t>
            </w:r>
          </w:p>
          <w:p>
            <w:pPr>
              <w:rPr>
                <w:rFonts w:ascii="宋体" w:hAnsi="宋体" w:cs="宋体"/>
                <w:color w:val="000000"/>
                <w:sz w:val="20"/>
                <w:szCs w:val="20"/>
              </w:rPr>
            </w:pPr>
            <w:r>
              <w:rPr>
                <w:rFonts w:hint="eastAsia" w:ascii="宋体" w:hAnsi="宋体" w:cs="宋体"/>
                <w:sz w:val="20"/>
                <w:szCs w:val="20"/>
              </w:rPr>
              <w:t>2.气管、支气管异物与食管异物，在护理中的异同点</w:t>
            </w: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23</w:t>
            </w:r>
          </w:p>
        </w:tc>
        <w:tc>
          <w:tcPr>
            <w:tcW w:w="690" w:type="dxa"/>
            <w:vAlign w:val="center"/>
          </w:tcPr>
          <w:p>
            <w:pPr>
              <w:snapToGrid w:val="0"/>
              <w:spacing w:line="288" w:lineRule="auto"/>
              <w:jc w:val="center"/>
              <w:rPr>
                <w:rFonts w:ascii="宋体" w:hAnsi="宋体" w:cs="宋体"/>
                <w:sz w:val="20"/>
                <w:szCs w:val="20"/>
              </w:rPr>
            </w:pPr>
            <w:r>
              <w:rPr>
                <w:rFonts w:hint="eastAsia" w:ascii="宋体" w:hAnsi="宋体" w:cs="宋体"/>
                <w:sz w:val="20"/>
                <w:szCs w:val="20"/>
              </w:rPr>
              <w:t>耳科病人的护理</w:t>
            </w:r>
          </w:p>
        </w:tc>
        <w:tc>
          <w:tcPr>
            <w:tcW w:w="2720" w:type="dxa"/>
          </w:tcPr>
          <w:p>
            <w:pPr>
              <w:rPr>
                <w:rFonts w:ascii="宋体" w:hAnsi="宋体" w:cs="宋体"/>
                <w:sz w:val="20"/>
                <w:szCs w:val="20"/>
              </w:rPr>
            </w:pPr>
            <w:r>
              <w:rPr>
                <w:rFonts w:hint="eastAsia" w:ascii="宋体" w:hAnsi="宋体" w:cs="宋体"/>
                <w:sz w:val="20"/>
                <w:szCs w:val="20"/>
              </w:rPr>
              <w:t>1.能正确描述分泌性中耳炎、急慢性化脓性中耳炎的病因、身体状况、治疗要点与护理措施</w:t>
            </w:r>
          </w:p>
          <w:p>
            <w:pPr>
              <w:rPr>
                <w:rFonts w:ascii="宋体" w:hAnsi="宋体" w:cs="宋体"/>
                <w:sz w:val="20"/>
                <w:szCs w:val="20"/>
              </w:rPr>
            </w:pPr>
            <w:r>
              <w:rPr>
                <w:rFonts w:hint="eastAsia" w:ascii="宋体" w:hAnsi="宋体" w:cs="宋体"/>
                <w:sz w:val="20"/>
                <w:szCs w:val="20"/>
              </w:rPr>
              <w:t>2.能正确描述先天性耳前瘘管病人的治疗要点、护理措施与健康教育</w:t>
            </w:r>
          </w:p>
          <w:p>
            <w:pPr>
              <w:rPr>
                <w:rFonts w:ascii="宋体" w:hAnsi="宋体" w:cs="宋体"/>
                <w:sz w:val="20"/>
                <w:szCs w:val="20"/>
              </w:rPr>
            </w:pPr>
            <w:r>
              <w:rPr>
                <w:rFonts w:hint="eastAsia" w:ascii="宋体" w:hAnsi="宋体" w:cs="宋体"/>
                <w:sz w:val="20"/>
                <w:szCs w:val="20"/>
              </w:rPr>
              <w:t>3.能正确叙述耳廓外伤、鼓膜外伤的常见病因、治疗要点和护理措施</w:t>
            </w:r>
          </w:p>
          <w:p>
            <w:pPr>
              <w:rPr>
                <w:rFonts w:ascii="宋体" w:hAnsi="宋体" w:cs="宋体"/>
                <w:sz w:val="20"/>
                <w:szCs w:val="20"/>
              </w:rPr>
            </w:pPr>
            <w:r>
              <w:rPr>
                <w:rFonts w:hint="eastAsia" w:ascii="宋体" w:hAnsi="宋体" w:cs="宋体"/>
                <w:sz w:val="20"/>
                <w:szCs w:val="20"/>
              </w:rPr>
              <w:t>4.能正确叙述耵聍栓塞、外耳道异物、耳廓假性囊肿、小耳畸形的常见病因、治疗要点和护理措施</w:t>
            </w:r>
          </w:p>
          <w:p>
            <w:pPr>
              <w:rPr>
                <w:rFonts w:ascii="宋体" w:hAnsi="宋体" w:cs="宋体"/>
                <w:sz w:val="20"/>
                <w:szCs w:val="20"/>
              </w:rPr>
            </w:pPr>
            <w:r>
              <w:rPr>
                <w:rFonts w:hint="eastAsia" w:ascii="宋体" w:hAnsi="宋体" w:cs="宋体"/>
                <w:sz w:val="20"/>
                <w:szCs w:val="20"/>
              </w:rPr>
              <w:t>5.能正确叙述耳硬化症、梅尼埃病、迷路炎的病因、临床表现、治疗要点和护理措施</w:t>
            </w:r>
          </w:p>
          <w:p>
            <w:pPr>
              <w:rPr>
                <w:rFonts w:ascii="宋体" w:hAnsi="宋体" w:cs="宋体"/>
                <w:sz w:val="20"/>
                <w:szCs w:val="20"/>
              </w:rPr>
            </w:pPr>
            <w:r>
              <w:rPr>
                <w:rFonts w:hint="eastAsia" w:ascii="宋体" w:hAnsi="宋体" w:cs="宋体"/>
                <w:sz w:val="20"/>
                <w:szCs w:val="20"/>
              </w:rPr>
              <w:t>6.能准确叙述耳聋的概念与分类</w:t>
            </w:r>
          </w:p>
          <w:p>
            <w:pPr>
              <w:rPr>
                <w:rFonts w:ascii="宋体" w:hAnsi="宋体" w:cs="宋体"/>
                <w:sz w:val="20"/>
                <w:szCs w:val="20"/>
              </w:rPr>
            </w:pPr>
            <w:r>
              <w:rPr>
                <w:rFonts w:hint="eastAsia" w:ascii="宋体" w:hAnsi="宋体" w:cs="宋体"/>
                <w:sz w:val="20"/>
                <w:szCs w:val="20"/>
              </w:rPr>
              <w:t>7.能准确叙述传导性聋、感音神经性聋的病因、治疗要点和护理措施</w:t>
            </w:r>
          </w:p>
          <w:p>
            <w:pPr>
              <w:rPr>
                <w:rFonts w:ascii="宋体" w:hAnsi="宋体" w:cs="宋体"/>
                <w:sz w:val="20"/>
                <w:szCs w:val="20"/>
              </w:rPr>
            </w:pPr>
            <w:r>
              <w:rPr>
                <w:rFonts w:hint="eastAsia" w:ascii="宋体" w:hAnsi="宋体" w:cs="宋体"/>
                <w:sz w:val="20"/>
                <w:szCs w:val="20"/>
              </w:rPr>
              <w:t>8.能准确叙述听神经瘤的临床表现、治疗要点和护理措施</w:t>
            </w:r>
          </w:p>
          <w:p>
            <w:pPr>
              <w:rPr>
                <w:rFonts w:ascii="宋体" w:hAnsi="宋体" w:cs="宋体"/>
                <w:sz w:val="20"/>
                <w:szCs w:val="20"/>
              </w:rPr>
            </w:pPr>
            <w:r>
              <w:rPr>
                <w:rFonts w:hint="eastAsia" w:ascii="宋体" w:hAnsi="宋体" w:cs="宋体"/>
                <w:sz w:val="20"/>
                <w:szCs w:val="20"/>
              </w:rPr>
              <w:t>9.能比较说明分泌性中耳炎与化脓性中耳炎在治疗、护理上的异同点</w:t>
            </w:r>
          </w:p>
          <w:p>
            <w:pPr>
              <w:rPr>
                <w:rFonts w:ascii="宋体" w:hAnsi="宋体" w:cs="宋体"/>
                <w:sz w:val="20"/>
                <w:szCs w:val="20"/>
              </w:rPr>
            </w:pPr>
            <w:r>
              <w:rPr>
                <w:rFonts w:hint="eastAsia" w:ascii="宋体" w:hAnsi="宋体" w:cs="宋体"/>
                <w:sz w:val="20"/>
                <w:szCs w:val="20"/>
              </w:rPr>
              <w:t>10.理解传导性聋、感音神经性聋的治疗要点、护理诊断和护理措施</w:t>
            </w:r>
          </w:p>
          <w:p>
            <w:pPr>
              <w:rPr>
                <w:rFonts w:ascii="宋体" w:hAnsi="宋体" w:cs="宋体"/>
                <w:sz w:val="20"/>
                <w:szCs w:val="20"/>
              </w:rPr>
            </w:pPr>
            <w:r>
              <w:rPr>
                <w:rFonts w:hint="eastAsia" w:ascii="宋体" w:hAnsi="宋体" w:cs="宋体"/>
                <w:sz w:val="20"/>
                <w:szCs w:val="20"/>
              </w:rPr>
              <w:t>11.理解耳鸣的病因、发病机制、治疗要点、护理诊断和护理措施</w:t>
            </w:r>
          </w:p>
          <w:p>
            <w:pPr>
              <w:rPr>
                <w:rFonts w:ascii="宋体" w:hAnsi="宋体" w:cs="宋体"/>
                <w:sz w:val="20"/>
                <w:szCs w:val="20"/>
              </w:rPr>
            </w:pPr>
            <w:r>
              <w:rPr>
                <w:rFonts w:hint="eastAsia" w:ascii="宋体" w:hAnsi="宋体" w:cs="宋体"/>
                <w:sz w:val="20"/>
                <w:szCs w:val="20"/>
              </w:rPr>
              <w:t>12.理解贝尔面瘫、半面痉挛的治疗要点、护理诊断和护理措施</w:t>
            </w:r>
          </w:p>
          <w:p>
            <w:pPr>
              <w:rPr>
                <w:rFonts w:ascii="宋体" w:hAnsi="宋体" w:cs="宋体"/>
                <w:sz w:val="20"/>
                <w:szCs w:val="20"/>
              </w:rPr>
            </w:pPr>
            <w:r>
              <w:rPr>
                <w:rFonts w:hint="eastAsia" w:ascii="宋体" w:hAnsi="宋体" w:cs="宋体"/>
                <w:sz w:val="20"/>
                <w:szCs w:val="20"/>
              </w:rPr>
              <w:t>13.理解听神经瘤、中耳癌的治疗要点、护理诊断和护理措施</w:t>
            </w:r>
          </w:p>
        </w:tc>
        <w:tc>
          <w:tcPr>
            <w:tcW w:w="1500" w:type="dxa"/>
          </w:tcPr>
          <w:p>
            <w:pPr>
              <w:snapToGrid w:val="0"/>
              <w:spacing w:line="288" w:lineRule="auto"/>
              <w:jc w:val="left"/>
              <w:rPr>
                <w:rFonts w:ascii="宋体" w:hAnsi="宋体" w:cs="宋体"/>
                <w:sz w:val="20"/>
                <w:szCs w:val="20"/>
              </w:rPr>
            </w:pPr>
            <w:r>
              <w:rPr>
                <w:rFonts w:hint="eastAsia" w:ascii="宋体" w:hAnsi="宋体" w:cs="宋体"/>
                <w:sz w:val="20"/>
                <w:szCs w:val="20"/>
              </w:rPr>
              <w:t>能运用所学知识为耳外伤、耵聍栓塞、外耳道异物、耳硬化症、梅尼埃病、迷路炎、耳聋以及听神经瘤病人制订完善的护理计划并实施，能结合病人具体情况实施健康教育</w:t>
            </w:r>
          </w:p>
        </w:tc>
        <w:tc>
          <w:tcPr>
            <w:tcW w:w="965"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具有严谨求实的工作作风和对病人高度负责的工作态度</w:t>
            </w:r>
          </w:p>
          <w:p>
            <w:pPr>
              <w:snapToGrid w:val="0"/>
              <w:spacing w:line="288" w:lineRule="auto"/>
              <w:jc w:val="left"/>
              <w:rPr>
                <w:rFonts w:ascii="宋体" w:hAnsi="宋体" w:cs="宋体"/>
                <w:color w:val="000000"/>
                <w:sz w:val="20"/>
                <w:szCs w:val="20"/>
              </w:rPr>
            </w:pPr>
          </w:p>
        </w:tc>
        <w:tc>
          <w:tcPr>
            <w:tcW w:w="1101"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1.耳科常见疾病的主要护理诊断及护理措施</w:t>
            </w:r>
          </w:p>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2.分泌性中耳炎与化脓性中耳炎在护理上的异同点</w:t>
            </w:r>
          </w:p>
          <w:p>
            <w:pPr>
              <w:snapToGrid w:val="0"/>
              <w:spacing w:line="288" w:lineRule="auto"/>
              <w:jc w:val="left"/>
              <w:rPr>
                <w:rFonts w:ascii="宋体" w:hAnsi="宋体" w:cs="宋体"/>
                <w:color w:val="000000"/>
                <w:sz w:val="20"/>
                <w:szCs w:val="20"/>
              </w:rPr>
            </w:pP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24</w:t>
            </w:r>
          </w:p>
        </w:tc>
        <w:tc>
          <w:tcPr>
            <w:tcW w:w="690" w:type="dxa"/>
            <w:vAlign w:val="center"/>
          </w:tcPr>
          <w:p>
            <w:pPr>
              <w:snapToGrid w:val="0"/>
              <w:spacing w:line="288" w:lineRule="auto"/>
              <w:jc w:val="center"/>
              <w:rPr>
                <w:rFonts w:ascii="宋体" w:hAnsi="宋体" w:cs="宋体"/>
                <w:sz w:val="20"/>
                <w:szCs w:val="20"/>
              </w:rPr>
            </w:pPr>
            <w:r>
              <w:rPr>
                <w:rFonts w:hint="eastAsia" w:ascii="宋体" w:hAnsi="宋体" w:cs="宋体"/>
                <w:sz w:val="20"/>
                <w:szCs w:val="20"/>
              </w:rPr>
              <w:t>口腔颌面部的应用解剖与生理</w:t>
            </w:r>
          </w:p>
        </w:tc>
        <w:tc>
          <w:tcPr>
            <w:tcW w:w="2720" w:type="dxa"/>
          </w:tcPr>
          <w:p>
            <w:pPr>
              <w:rPr>
                <w:rFonts w:ascii="宋体" w:hAnsi="宋体" w:cs="宋体"/>
                <w:sz w:val="20"/>
                <w:szCs w:val="20"/>
              </w:rPr>
            </w:pPr>
            <w:r>
              <w:rPr>
                <w:rFonts w:hint="eastAsia" w:ascii="宋体" w:hAnsi="宋体" w:cs="宋体"/>
                <w:sz w:val="20"/>
                <w:szCs w:val="20"/>
              </w:rPr>
              <w:t>1.能正确描述牙齿的名称、数目、符号表达，牙萌出的生理特点及顺序</w:t>
            </w:r>
          </w:p>
          <w:p>
            <w:pPr>
              <w:rPr>
                <w:rFonts w:ascii="宋体" w:hAnsi="宋体" w:cs="宋体"/>
                <w:sz w:val="20"/>
                <w:szCs w:val="20"/>
              </w:rPr>
            </w:pPr>
            <w:r>
              <w:rPr>
                <w:rFonts w:hint="eastAsia" w:ascii="宋体" w:hAnsi="宋体" w:cs="宋体"/>
                <w:sz w:val="20"/>
                <w:szCs w:val="20"/>
              </w:rPr>
              <w:t>2.能正确描述牙的组成，牙体组织结构和口腔黏膜组织结构</w:t>
            </w:r>
          </w:p>
          <w:p>
            <w:pPr>
              <w:rPr>
                <w:rFonts w:ascii="宋体" w:hAnsi="宋体" w:cs="宋体"/>
                <w:sz w:val="20"/>
                <w:szCs w:val="20"/>
              </w:rPr>
            </w:pPr>
            <w:r>
              <w:rPr>
                <w:rFonts w:hint="eastAsia" w:ascii="宋体" w:hAnsi="宋体" w:cs="宋体"/>
                <w:sz w:val="20"/>
                <w:szCs w:val="20"/>
              </w:rPr>
              <w:t>3.能正确描述口腔前庭的概念，口腔前庭重要解剖结构的位置；腮腺导管的开口、切牙孔、腭大孔、舌盲孔</w:t>
            </w:r>
          </w:p>
          <w:p>
            <w:pPr>
              <w:rPr>
                <w:rFonts w:ascii="宋体" w:hAnsi="宋体" w:cs="宋体"/>
                <w:sz w:val="20"/>
                <w:szCs w:val="20"/>
              </w:rPr>
            </w:pPr>
            <w:r>
              <w:rPr>
                <w:rFonts w:hint="eastAsia" w:ascii="宋体" w:hAnsi="宋体" w:cs="宋体"/>
                <w:sz w:val="20"/>
                <w:szCs w:val="20"/>
              </w:rPr>
              <w:t>4.理解牙冠、牙弓或牙列的概念解剖特点</w:t>
            </w:r>
          </w:p>
          <w:p>
            <w:pPr>
              <w:rPr>
                <w:rFonts w:ascii="宋体" w:hAnsi="宋体" w:cs="宋体"/>
                <w:sz w:val="20"/>
                <w:szCs w:val="20"/>
              </w:rPr>
            </w:pPr>
            <w:r>
              <w:rPr>
                <w:rFonts w:hint="eastAsia" w:ascii="宋体" w:hAnsi="宋体" w:cs="宋体"/>
                <w:sz w:val="20"/>
                <w:szCs w:val="20"/>
              </w:rPr>
              <w:t>5.理解唇、颊的解剖特点</w:t>
            </w:r>
          </w:p>
          <w:p>
            <w:pPr>
              <w:rPr>
                <w:rFonts w:ascii="宋体" w:hAnsi="宋体" w:cs="宋体"/>
                <w:sz w:val="20"/>
                <w:szCs w:val="20"/>
              </w:rPr>
            </w:pPr>
            <w:r>
              <w:rPr>
                <w:rFonts w:hint="eastAsia" w:ascii="宋体" w:hAnsi="宋体" w:cs="宋体"/>
                <w:sz w:val="20"/>
                <w:szCs w:val="20"/>
              </w:rPr>
              <w:t>6.理解颌面部应用解剖与生理特点</w:t>
            </w:r>
          </w:p>
        </w:tc>
        <w:tc>
          <w:tcPr>
            <w:tcW w:w="1500" w:type="dxa"/>
          </w:tcPr>
          <w:p>
            <w:pPr>
              <w:snapToGrid w:val="0"/>
              <w:spacing w:line="288" w:lineRule="auto"/>
              <w:jc w:val="left"/>
              <w:rPr>
                <w:rFonts w:ascii="宋体" w:hAnsi="宋体" w:cs="宋体"/>
                <w:sz w:val="20"/>
                <w:szCs w:val="20"/>
              </w:rPr>
            </w:pPr>
            <w:r>
              <w:rPr>
                <w:rFonts w:hint="eastAsia" w:ascii="宋体" w:hAnsi="宋体" w:cs="宋体"/>
                <w:sz w:val="20"/>
                <w:szCs w:val="20"/>
              </w:rPr>
              <w:t>能运用所学知识，并能根据口腔颌面部病人不同的临床表现，准确分析病人可能出现的并发症，并能采取正确的护理方法和措施</w:t>
            </w:r>
          </w:p>
        </w:tc>
        <w:tc>
          <w:tcPr>
            <w:tcW w:w="965"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1.具有严谨求实的工作作风</w:t>
            </w:r>
          </w:p>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2.热爱护理学专业，具有为护理事业无私奉献的热情</w:t>
            </w:r>
          </w:p>
        </w:tc>
        <w:tc>
          <w:tcPr>
            <w:tcW w:w="1101"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1.口腔的应用解剖与生理</w:t>
            </w:r>
          </w:p>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2.颌面部应用解剖与生理特点</w:t>
            </w: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25</w:t>
            </w:r>
          </w:p>
        </w:tc>
        <w:tc>
          <w:tcPr>
            <w:tcW w:w="690" w:type="dxa"/>
            <w:vAlign w:val="center"/>
          </w:tcPr>
          <w:p>
            <w:pPr>
              <w:snapToGrid w:val="0"/>
              <w:spacing w:line="288" w:lineRule="auto"/>
              <w:jc w:val="center"/>
              <w:rPr>
                <w:rFonts w:ascii="宋体" w:hAnsi="宋体" w:cs="宋体"/>
                <w:sz w:val="20"/>
                <w:szCs w:val="20"/>
              </w:rPr>
            </w:pPr>
            <w:r>
              <w:rPr>
                <w:rFonts w:hint="eastAsia" w:ascii="宋体" w:hAnsi="宋体" w:cs="宋体"/>
                <w:sz w:val="20"/>
                <w:szCs w:val="20"/>
              </w:rPr>
              <w:t>口腔科病人的护理概述</w:t>
            </w:r>
          </w:p>
        </w:tc>
        <w:tc>
          <w:tcPr>
            <w:tcW w:w="2720" w:type="dxa"/>
          </w:tcPr>
          <w:p>
            <w:pPr>
              <w:rPr>
                <w:rFonts w:ascii="宋体" w:hAnsi="宋体" w:cs="宋体"/>
                <w:sz w:val="20"/>
                <w:szCs w:val="20"/>
              </w:rPr>
            </w:pPr>
            <w:r>
              <w:rPr>
                <w:rFonts w:hint="eastAsia" w:ascii="宋体" w:hAnsi="宋体" w:cs="宋体"/>
                <w:sz w:val="20"/>
                <w:szCs w:val="20"/>
              </w:rPr>
              <w:t>1.能正确描述口腔科病人的常见症状和体征</w:t>
            </w:r>
          </w:p>
          <w:p>
            <w:pPr>
              <w:rPr>
                <w:rFonts w:ascii="宋体" w:hAnsi="宋体" w:cs="宋体"/>
                <w:sz w:val="20"/>
                <w:szCs w:val="20"/>
              </w:rPr>
            </w:pPr>
            <w:r>
              <w:rPr>
                <w:rFonts w:hint="eastAsia" w:ascii="宋体" w:hAnsi="宋体" w:cs="宋体"/>
                <w:sz w:val="20"/>
                <w:szCs w:val="20"/>
              </w:rPr>
              <w:t>2.能正确描述口腔门诊病人的护理常规内容</w:t>
            </w:r>
          </w:p>
          <w:p>
            <w:pPr>
              <w:rPr>
                <w:rFonts w:ascii="宋体" w:hAnsi="宋体" w:cs="宋体"/>
                <w:sz w:val="20"/>
                <w:szCs w:val="20"/>
              </w:rPr>
            </w:pPr>
            <w:r>
              <w:rPr>
                <w:rFonts w:hint="eastAsia" w:ascii="宋体" w:hAnsi="宋体" w:cs="宋体"/>
                <w:sz w:val="20"/>
                <w:szCs w:val="20"/>
              </w:rPr>
              <w:t>3.能正确描述口腔和牙齿检查基本方法和基本内容</w:t>
            </w:r>
          </w:p>
          <w:p>
            <w:pPr>
              <w:rPr>
                <w:rFonts w:ascii="宋体" w:hAnsi="宋体" w:cs="宋体"/>
                <w:sz w:val="20"/>
                <w:szCs w:val="20"/>
              </w:rPr>
            </w:pPr>
            <w:r>
              <w:rPr>
                <w:rFonts w:hint="eastAsia" w:ascii="宋体" w:hAnsi="宋体" w:cs="宋体"/>
                <w:sz w:val="20"/>
                <w:szCs w:val="20"/>
              </w:rPr>
              <w:t>4.能正确描述口腔治疗常用药物和局部麻醉药物的名称、适应证、用法用量及注意事项</w:t>
            </w:r>
          </w:p>
          <w:p>
            <w:pPr>
              <w:rPr>
                <w:rFonts w:ascii="宋体" w:hAnsi="宋体" w:cs="宋体"/>
                <w:sz w:val="20"/>
                <w:szCs w:val="20"/>
              </w:rPr>
            </w:pPr>
            <w:r>
              <w:rPr>
                <w:rFonts w:hint="eastAsia" w:ascii="宋体" w:hAnsi="宋体" w:cs="宋体"/>
                <w:sz w:val="20"/>
                <w:szCs w:val="20"/>
              </w:rPr>
              <w:t>5.理解口腔专科检查的方法和意义</w:t>
            </w:r>
          </w:p>
          <w:p>
            <w:pPr>
              <w:rPr>
                <w:rFonts w:ascii="宋体" w:hAnsi="宋体" w:cs="宋体"/>
                <w:sz w:val="20"/>
                <w:szCs w:val="20"/>
              </w:rPr>
            </w:pPr>
            <w:r>
              <w:rPr>
                <w:rFonts w:hint="eastAsia" w:ascii="宋体" w:hAnsi="宋体" w:cs="宋体"/>
                <w:sz w:val="20"/>
                <w:szCs w:val="20"/>
              </w:rPr>
              <w:t>6.理解口腔科检查所需基本器械和设备的使用方法和作用</w:t>
            </w:r>
          </w:p>
        </w:tc>
        <w:tc>
          <w:tcPr>
            <w:tcW w:w="1500" w:type="dxa"/>
          </w:tcPr>
          <w:p>
            <w:pPr>
              <w:snapToGrid w:val="0"/>
              <w:spacing w:line="288" w:lineRule="auto"/>
              <w:jc w:val="left"/>
              <w:rPr>
                <w:rFonts w:ascii="宋体" w:hAnsi="宋体" w:cs="宋体"/>
                <w:sz w:val="20"/>
                <w:szCs w:val="20"/>
              </w:rPr>
            </w:pPr>
            <w:r>
              <w:rPr>
                <w:rFonts w:hint="eastAsia" w:ascii="宋体" w:hAnsi="宋体" w:cs="宋体"/>
                <w:sz w:val="20"/>
                <w:szCs w:val="20"/>
              </w:rPr>
              <w:t>能运用口腔科常见的护理诊断知识，为颌面部手术病人制订相应的术前和术后护理计划</w:t>
            </w:r>
          </w:p>
        </w:tc>
        <w:tc>
          <w:tcPr>
            <w:tcW w:w="965"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1.具有对病人高度负责的工作态度</w:t>
            </w:r>
          </w:p>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2.尊重、关心和体谅病人</w:t>
            </w:r>
          </w:p>
          <w:p>
            <w:pPr>
              <w:snapToGrid w:val="0"/>
              <w:spacing w:line="288" w:lineRule="auto"/>
              <w:jc w:val="left"/>
              <w:rPr>
                <w:rFonts w:ascii="宋体" w:hAnsi="宋体" w:cs="宋体"/>
                <w:color w:val="000000"/>
                <w:sz w:val="20"/>
                <w:szCs w:val="20"/>
              </w:rPr>
            </w:pPr>
          </w:p>
        </w:tc>
        <w:tc>
          <w:tcPr>
            <w:tcW w:w="1101"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1.</w:t>
            </w:r>
            <w:r>
              <w:rPr>
                <w:rFonts w:hint="eastAsia" w:ascii="宋体" w:hAnsi="宋体" w:cs="宋体"/>
                <w:sz w:val="20"/>
                <w:szCs w:val="20"/>
              </w:rPr>
              <w:t>口腔科病人护理评估的内容</w:t>
            </w:r>
          </w:p>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2.</w:t>
            </w:r>
            <w:r>
              <w:rPr>
                <w:rFonts w:hint="eastAsia" w:ascii="宋体" w:hAnsi="宋体" w:cs="宋体"/>
                <w:sz w:val="20"/>
                <w:szCs w:val="20"/>
              </w:rPr>
              <w:t>常用的口腔科检查和护理配合</w:t>
            </w:r>
          </w:p>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3.</w:t>
            </w:r>
            <w:r>
              <w:rPr>
                <w:rFonts w:hint="eastAsia" w:ascii="宋体" w:hAnsi="宋体" w:cs="宋体"/>
                <w:sz w:val="20"/>
                <w:szCs w:val="20"/>
              </w:rPr>
              <w:t>口腔科常用的护理操作技术</w:t>
            </w: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2</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26</w:t>
            </w:r>
          </w:p>
        </w:tc>
        <w:tc>
          <w:tcPr>
            <w:tcW w:w="690" w:type="dxa"/>
            <w:vAlign w:val="center"/>
          </w:tcPr>
          <w:p>
            <w:pPr>
              <w:snapToGrid w:val="0"/>
              <w:spacing w:line="288" w:lineRule="auto"/>
              <w:jc w:val="center"/>
              <w:rPr>
                <w:rFonts w:ascii="宋体" w:hAnsi="宋体" w:cs="宋体"/>
                <w:sz w:val="20"/>
                <w:szCs w:val="20"/>
              </w:rPr>
            </w:pPr>
            <w:r>
              <w:rPr>
                <w:rFonts w:hint="eastAsia" w:ascii="宋体" w:hAnsi="宋体" w:cs="宋体"/>
                <w:sz w:val="20"/>
                <w:szCs w:val="20"/>
              </w:rPr>
              <w:t>口腔科病人的护理</w:t>
            </w:r>
          </w:p>
        </w:tc>
        <w:tc>
          <w:tcPr>
            <w:tcW w:w="2720" w:type="dxa"/>
          </w:tcPr>
          <w:p>
            <w:pPr>
              <w:rPr>
                <w:rFonts w:ascii="宋体" w:hAnsi="宋体" w:cs="宋体"/>
                <w:sz w:val="20"/>
                <w:szCs w:val="20"/>
              </w:rPr>
            </w:pPr>
            <w:r>
              <w:rPr>
                <w:rFonts w:hint="eastAsia" w:ascii="宋体" w:hAnsi="宋体" w:cs="宋体"/>
                <w:sz w:val="20"/>
                <w:szCs w:val="20"/>
              </w:rPr>
              <w:t>1.能正确描述龋病、牙周病三级预防的内容及方法</w:t>
            </w:r>
          </w:p>
          <w:p>
            <w:pPr>
              <w:rPr>
                <w:rFonts w:ascii="宋体" w:hAnsi="宋体" w:cs="宋体"/>
                <w:sz w:val="20"/>
                <w:szCs w:val="20"/>
              </w:rPr>
            </w:pPr>
            <w:r>
              <w:rPr>
                <w:rFonts w:hint="eastAsia" w:ascii="宋体" w:hAnsi="宋体" w:cs="宋体"/>
                <w:sz w:val="20"/>
                <w:szCs w:val="20"/>
              </w:rPr>
              <w:t>2.能正确描述牙体牙髓病的治疗安全及主要护理措施</w:t>
            </w:r>
          </w:p>
          <w:p>
            <w:pPr>
              <w:rPr>
                <w:rFonts w:ascii="宋体" w:hAnsi="宋体" w:cs="宋体"/>
                <w:sz w:val="20"/>
                <w:szCs w:val="20"/>
              </w:rPr>
            </w:pPr>
            <w:r>
              <w:rPr>
                <w:rFonts w:hint="eastAsia" w:ascii="宋体" w:hAnsi="宋体" w:cs="宋体"/>
                <w:sz w:val="20"/>
                <w:szCs w:val="20"/>
              </w:rPr>
              <w:t>3.能正确描述牙周病的临床特征及健康指导</w:t>
            </w:r>
          </w:p>
          <w:p>
            <w:pPr>
              <w:rPr>
                <w:rFonts w:ascii="宋体" w:hAnsi="宋体" w:cs="宋体"/>
                <w:sz w:val="20"/>
                <w:szCs w:val="20"/>
              </w:rPr>
            </w:pPr>
            <w:r>
              <w:rPr>
                <w:rFonts w:hint="eastAsia" w:ascii="宋体" w:hAnsi="宋体" w:cs="宋体"/>
                <w:sz w:val="20"/>
                <w:szCs w:val="20"/>
              </w:rPr>
              <w:t>4.能正确描述可摘义齿修复病人的主要护理</w:t>
            </w:r>
          </w:p>
          <w:p>
            <w:pPr>
              <w:rPr>
                <w:rFonts w:ascii="宋体" w:hAnsi="宋体" w:cs="宋体"/>
                <w:sz w:val="20"/>
                <w:szCs w:val="20"/>
              </w:rPr>
            </w:pPr>
            <w:r>
              <w:rPr>
                <w:rFonts w:hint="eastAsia" w:ascii="宋体" w:hAnsi="宋体" w:cs="宋体"/>
                <w:sz w:val="20"/>
                <w:szCs w:val="20"/>
              </w:rPr>
              <w:t>5.能正确描述口腔颌面部感染的途径</w:t>
            </w:r>
          </w:p>
          <w:p>
            <w:pPr>
              <w:rPr>
                <w:rFonts w:ascii="宋体" w:hAnsi="宋体" w:cs="宋体"/>
                <w:sz w:val="20"/>
                <w:szCs w:val="20"/>
              </w:rPr>
            </w:pPr>
            <w:r>
              <w:rPr>
                <w:rFonts w:hint="eastAsia" w:ascii="宋体" w:hAnsi="宋体" w:cs="宋体"/>
                <w:sz w:val="20"/>
                <w:szCs w:val="20"/>
              </w:rPr>
              <w:t>6.能正确描述游离组织瓣的观察及护理安全</w:t>
            </w:r>
          </w:p>
          <w:p>
            <w:pPr>
              <w:rPr>
                <w:rFonts w:ascii="宋体" w:hAnsi="宋体" w:cs="宋体"/>
                <w:sz w:val="20"/>
                <w:szCs w:val="20"/>
              </w:rPr>
            </w:pPr>
            <w:r>
              <w:rPr>
                <w:rFonts w:hint="eastAsia" w:ascii="宋体" w:hAnsi="宋体" w:cs="宋体"/>
                <w:b/>
                <w:bCs/>
                <w:sz w:val="20"/>
                <w:szCs w:val="20"/>
              </w:rPr>
              <w:t>7</w:t>
            </w:r>
            <w:r>
              <w:rPr>
                <w:rFonts w:hint="eastAsia" w:ascii="宋体" w:hAnsi="宋体" w:cs="宋体"/>
                <w:sz w:val="20"/>
                <w:szCs w:val="20"/>
              </w:rPr>
              <w:t>.理解龋病和根尖周病的临床表现</w:t>
            </w:r>
          </w:p>
          <w:p>
            <w:pPr>
              <w:rPr>
                <w:rFonts w:ascii="宋体" w:hAnsi="宋体" w:cs="宋体"/>
                <w:sz w:val="20"/>
                <w:szCs w:val="20"/>
              </w:rPr>
            </w:pPr>
            <w:r>
              <w:rPr>
                <w:rFonts w:hint="eastAsia" w:ascii="宋体" w:hAnsi="宋体" w:cs="宋体"/>
                <w:sz w:val="20"/>
                <w:szCs w:val="20"/>
              </w:rPr>
              <w:t>8.理解牙列缺失病人的健康指导方法</w:t>
            </w:r>
          </w:p>
          <w:p>
            <w:pPr>
              <w:rPr>
                <w:rFonts w:ascii="宋体" w:hAnsi="宋体" w:cs="宋体"/>
                <w:sz w:val="20"/>
                <w:szCs w:val="20"/>
              </w:rPr>
            </w:pPr>
            <w:r>
              <w:rPr>
                <w:rFonts w:hint="eastAsia" w:ascii="宋体" w:hAnsi="宋体" w:cs="宋体"/>
                <w:sz w:val="20"/>
                <w:szCs w:val="20"/>
              </w:rPr>
              <w:t>9.理解颌面部感染特点及护理安全</w:t>
            </w:r>
          </w:p>
          <w:p>
            <w:pPr>
              <w:rPr>
                <w:rFonts w:ascii="宋体" w:hAnsi="宋体" w:cs="宋体"/>
                <w:sz w:val="20"/>
                <w:szCs w:val="20"/>
              </w:rPr>
            </w:pPr>
            <w:r>
              <w:rPr>
                <w:rFonts w:hint="eastAsia" w:ascii="宋体" w:hAnsi="宋体" w:cs="宋体"/>
                <w:sz w:val="20"/>
                <w:szCs w:val="20"/>
              </w:rPr>
              <w:t>10.理解颌面外科术后病人的护理安全</w:t>
            </w:r>
          </w:p>
        </w:tc>
        <w:tc>
          <w:tcPr>
            <w:tcW w:w="1500" w:type="dxa"/>
          </w:tcPr>
          <w:p>
            <w:pPr>
              <w:rPr>
                <w:rFonts w:ascii="宋体" w:hAnsi="宋体" w:cs="宋体"/>
                <w:sz w:val="20"/>
                <w:szCs w:val="20"/>
              </w:rPr>
            </w:pPr>
            <w:r>
              <w:rPr>
                <w:rFonts w:hint="eastAsia" w:ascii="宋体" w:hAnsi="宋体" w:cs="宋体"/>
                <w:sz w:val="20"/>
                <w:szCs w:val="20"/>
              </w:rPr>
              <w:t>1.能运用三级预防相关知识对龋病、牙周病进行口腔健康指导</w:t>
            </w:r>
          </w:p>
          <w:p>
            <w:pPr>
              <w:rPr>
                <w:rFonts w:ascii="宋体" w:hAnsi="宋体" w:cs="宋体"/>
                <w:sz w:val="20"/>
                <w:szCs w:val="20"/>
              </w:rPr>
            </w:pPr>
            <w:r>
              <w:rPr>
                <w:rFonts w:hint="eastAsia" w:ascii="宋体" w:hAnsi="宋体" w:cs="宋体"/>
                <w:sz w:val="20"/>
                <w:szCs w:val="20"/>
              </w:rPr>
              <w:t>2.能运用错颌畸形的发病原因对正畸初诊病人作出相应的护理评估</w:t>
            </w:r>
          </w:p>
          <w:p>
            <w:pPr>
              <w:rPr>
                <w:rFonts w:ascii="宋体" w:hAnsi="宋体" w:cs="宋体"/>
                <w:sz w:val="20"/>
                <w:szCs w:val="20"/>
              </w:rPr>
            </w:pPr>
            <w:r>
              <w:rPr>
                <w:rFonts w:hint="eastAsia" w:ascii="宋体" w:hAnsi="宋体" w:cs="宋体"/>
                <w:sz w:val="20"/>
                <w:szCs w:val="20"/>
              </w:rPr>
              <w:t>3.能运用正确康复训练方法对口腔颌面外科术后病人进行康复指导</w:t>
            </w:r>
          </w:p>
          <w:p>
            <w:pPr>
              <w:snapToGrid w:val="0"/>
              <w:spacing w:line="288" w:lineRule="auto"/>
              <w:jc w:val="left"/>
              <w:rPr>
                <w:rFonts w:ascii="宋体" w:hAnsi="宋体" w:cs="宋体"/>
                <w:sz w:val="20"/>
                <w:szCs w:val="20"/>
              </w:rPr>
            </w:pPr>
            <w:r>
              <w:rPr>
                <w:rFonts w:hint="eastAsia" w:ascii="宋体" w:hAnsi="宋体" w:cs="宋体"/>
                <w:sz w:val="20"/>
                <w:szCs w:val="20"/>
              </w:rPr>
              <w:t>4.能运用唇腭裂患儿喂养知识指导家属掌握正确的喂养方法</w:t>
            </w:r>
          </w:p>
        </w:tc>
        <w:tc>
          <w:tcPr>
            <w:tcW w:w="965"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具有严谨求实的工作作风和对病人高度负责的工作态度</w:t>
            </w:r>
          </w:p>
          <w:p>
            <w:pPr>
              <w:snapToGrid w:val="0"/>
              <w:spacing w:line="288" w:lineRule="auto"/>
              <w:jc w:val="left"/>
              <w:rPr>
                <w:rFonts w:ascii="宋体" w:hAnsi="宋体" w:cs="宋体"/>
                <w:color w:val="000000"/>
                <w:sz w:val="20"/>
                <w:szCs w:val="20"/>
              </w:rPr>
            </w:pPr>
          </w:p>
        </w:tc>
        <w:tc>
          <w:tcPr>
            <w:tcW w:w="1101"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口腔科常见疾病的主要护理诊断及护理措施</w:t>
            </w:r>
          </w:p>
          <w:p>
            <w:pPr>
              <w:snapToGrid w:val="0"/>
              <w:spacing w:line="288" w:lineRule="auto"/>
              <w:jc w:val="left"/>
              <w:rPr>
                <w:rFonts w:ascii="宋体" w:hAnsi="宋体" w:cs="宋体"/>
                <w:color w:val="000000"/>
                <w:sz w:val="20"/>
                <w:szCs w:val="20"/>
              </w:rPr>
            </w:pP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27</w:t>
            </w:r>
          </w:p>
        </w:tc>
        <w:tc>
          <w:tcPr>
            <w:tcW w:w="690" w:type="dxa"/>
            <w:vAlign w:val="center"/>
          </w:tcPr>
          <w:p>
            <w:pPr>
              <w:snapToGrid w:val="0"/>
              <w:spacing w:line="288" w:lineRule="auto"/>
              <w:jc w:val="center"/>
              <w:rPr>
                <w:rFonts w:ascii="宋体" w:hAnsi="宋体" w:cs="宋体"/>
                <w:sz w:val="20"/>
                <w:szCs w:val="20"/>
              </w:rPr>
            </w:pPr>
            <w:r>
              <w:rPr>
                <w:rFonts w:hint="eastAsia" w:ascii="宋体" w:hAnsi="宋体" w:cs="宋体"/>
                <w:sz w:val="20"/>
                <w:szCs w:val="20"/>
              </w:rPr>
              <w:t>口腔医院感染护理管理</w:t>
            </w:r>
          </w:p>
        </w:tc>
        <w:tc>
          <w:tcPr>
            <w:tcW w:w="2720" w:type="dxa"/>
          </w:tcPr>
          <w:p>
            <w:pPr>
              <w:rPr>
                <w:rFonts w:ascii="宋体" w:hAnsi="宋体" w:cs="宋体"/>
                <w:sz w:val="20"/>
                <w:szCs w:val="20"/>
              </w:rPr>
            </w:pPr>
            <w:r>
              <w:rPr>
                <w:rFonts w:hint="eastAsia" w:ascii="宋体" w:hAnsi="宋体" w:cs="宋体"/>
                <w:sz w:val="20"/>
                <w:szCs w:val="20"/>
              </w:rPr>
              <w:t>1.能正确描述口腔医院感染的特点和感染途径</w:t>
            </w:r>
          </w:p>
          <w:p>
            <w:pPr>
              <w:rPr>
                <w:rFonts w:ascii="宋体" w:hAnsi="宋体" w:cs="宋体"/>
                <w:sz w:val="20"/>
                <w:szCs w:val="20"/>
              </w:rPr>
            </w:pPr>
            <w:r>
              <w:rPr>
                <w:rFonts w:hint="eastAsia" w:ascii="宋体" w:hAnsi="宋体" w:cs="宋体"/>
                <w:sz w:val="20"/>
                <w:szCs w:val="20"/>
              </w:rPr>
              <w:t>2.能正确描述洗手的方法并准确使用防护用具</w:t>
            </w:r>
          </w:p>
          <w:p>
            <w:pPr>
              <w:rPr>
                <w:rFonts w:ascii="宋体" w:hAnsi="宋体" w:cs="宋体"/>
                <w:sz w:val="20"/>
                <w:szCs w:val="20"/>
              </w:rPr>
            </w:pPr>
            <w:r>
              <w:rPr>
                <w:rFonts w:hint="eastAsia" w:ascii="宋体" w:hAnsi="宋体" w:cs="宋体"/>
                <w:sz w:val="20"/>
                <w:szCs w:val="20"/>
              </w:rPr>
              <w:t>3.能正确描述锐器损伤的处理流程</w:t>
            </w:r>
          </w:p>
          <w:p>
            <w:pPr>
              <w:rPr>
                <w:rFonts w:ascii="宋体" w:hAnsi="宋体" w:cs="宋体"/>
                <w:sz w:val="20"/>
                <w:szCs w:val="20"/>
              </w:rPr>
            </w:pPr>
            <w:r>
              <w:rPr>
                <w:rFonts w:hint="eastAsia" w:ascii="宋体" w:hAnsi="宋体" w:cs="宋体"/>
                <w:sz w:val="20"/>
                <w:szCs w:val="20"/>
              </w:rPr>
              <w:t>4.能正确描述医务人员自身健康的防护措施</w:t>
            </w:r>
          </w:p>
          <w:p>
            <w:pPr>
              <w:rPr>
                <w:rFonts w:ascii="宋体" w:hAnsi="宋体" w:cs="宋体"/>
                <w:sz w:val="20"/>
                <w:szCs w:val="20"/>
              </w:rPr>
            </w:pPr>
            <w:r>
              <w:rPr>
                <w:rFonts w:hint="eastAsia" w:ascii="宋体" w:hAnsi="宋体" w:cs="宋体"/>
                <w:b/>
                <w:bCs/>
                <w:sz w:val="20"/>
                <w:szCs w:val="20"/>
              </w:rPr>
              <w:t>5</w:t>
            </w:r>
            <w:r>
              <w:rPr>
                <w:rFonts w:hint="eastAsia" w:ascii="宋体" w:hAnsi="宋体" w:cs="宋体"/>
                <w:sz w:val="20"/>
                <w:szCs w:val="20"/>
              </w:rPr>
              <w:t>.理解口腔微生态环境与感染的关系</w:t>
            </w:r>
          </w:p>
          <w:p>
            <w:pPr>
              <w:rPr>
                <w:rFonts w:ascii="宋体" w:hAnsi="宋体" w:cs="宋体"/>
                <w:sz w:val="20"/>
                <w:szCs w:val="20"/>
              </w:rPr>
            </w:pPr>
            <w:r>
              <w:rPr>
                <w:rFonts w:hint="eastAsia" w:ascii="宋体" w:hAnsi="宋体" w:cs="宋体"/>
                <w:sz w:val="20"/>
                <w:szCs w:val="20"/>
              </w:rPr>
              <w:t>6.理解口腔医疗设备、器械、材料及药物成为口腔交叉感染的传播媒介的原理</w:t>
            </w:r>
          </w:p>
          <w:p>
            <w:pPr>
              <w:rPr>
                <w:rFonts w:ascii="宋体" w:hAnsi="宋体" w:cs="宋体"/>
                <w:sz w:val="20"/>
                <w:szCs w:val="20"/>
              </w:rPr>
            </w:pPr>
            <w:r>
              <w:rPr>
                <w:rFonts w:hint="eastAsia" w:ascii="宋体" w:hAnsi="宋体" w:cs="宋体"/>
                <w:sz w:val="20"/>
                <w:szCs w:val="20"/>
              </w:rPr>
              <w:t>7.理解口腔诊疗器械消毒与灭菌选择应遵循的原则及处理流程</w:t>
            </w:r>
          </w:p>
        </w:tc>
        <w:tc>
          <w:tcPr>
            <w:tcW w:w="1500" w:type="dxa"/>
          </w:tcPr>
          <w:p>
            <w:pPr>
              <w:snapToGrid w:val="0"/>
              <w:spacing w:line="288" w:lineRule="auto"/>
              <w:jc w:val="left"/>
              <w:rPr>
                <w:rFonts w:ascii="宋体" w:hAnsi="宋体" w:cs="宋体"/>
                <w:sz w:val="20"/>
                <w:szCs w:val="20"/>
              </w:rPr>
            </w:pPr>
            <w:r>
              <w:rPr>
                <w:rFonts w:hint="eastAsia" w:ascii="宋体" w:hAnsi="宋体" w:cs="宋体"/>
                <w:sz w:val="20"/>
                <w:szCs w:val="20"/>
              </w:rPr>
              <w:t>能运用所学医院感染相关知识对口腔诊室进行管理</w:t>
            </w:r>
          </w:p>
        </w:tc>
        <w:tc>
          <w:tcPr>
            <w:tcW w:w="965"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具有严谨求实的工作作风</w:t>
            </w:r>
          </w:p>
          <w:p>
            <w:pPr>
              <w:snapToGrid w:val="0"/>
              <w:spacing w:line="288" w:lineRule="auto"/>
              <w:jc w:val="left"/>
              <w:rPr>
                <w:rFonts w:ascii="宋体" w:hAnsi="宋体" w:cs="宋体"/>
                <w:color w:val="000000"/>
                <w:sz w:val="20"/>
                <w:szCs w:val="20"/>
              </w:rPr>
            </w:pPr>
          </w:p>
        </w:tc>
        <w:tc>
          <w:tcPr>
            <w:tcW w:w="1101" w:type="dxa"/>
          </w:tcPr>
          <w:p>
            <w:pPr>
              <w:snapToGrid w:val="0"/>
              <w:spacing w:line="288" w:lineRule="auto"/>
              <w:jc w:val="left"/>
              <w:rPr>
                <w:rFonts w:ascii="宋体" w:hAnsi="宋体" w:cs="宋体"/>
                <w:sz w:val="20"/>
                <w:szCs w:val="20"/>
              </w:rPr>
            </w:pPr>
            <w:r>
              <w:rPr>
                <w:rFonts w:hint="eastAsia" w:ascii="宋体" w:hAnsi="宋体" w:cs="宋体"/>
                <w:sz w:val="20"/>
                <w:szCs w:val="20"/>
              </w:rPr>
              <w:t>1.准确使用防护用具</w:t>
            </w:r>
          </w:p>
          <w:p>
            <w:pPr>
              <w:rPr>
                <w:rFonts w:ascii="宋体" w:hAnsi="宋体" w:cs="宋体"/>
                <w:sz w:val="20"/>
                <w:szCs w:val="20"/>
              </w:rPr>
            </w:pPr>
            <w:r>
              <w:rPr>
                <w:rFonts w:hint="eastAsia" w:ascii="宋体" w:hAnsi="宋体" w:cs="宋体"/>
                <w:sz w:val="20"/>
                <w:szCs w:val="20"/>
              </w:rPr>
              <w:t>2.锐器损伤的处理流程</w:t>
            </w:r>
          </w:p>
          <w:p>
            <w:pPr>
              <w:snapToGrid w:val="0"/>
              <w:spacing w:line="288" w:lineRule="auto"/>
              <w:jc w:val="left"/>
              <w:rPr>
                <w:rFonts w:ascii="宋体" w:hAnsi="宋体" w:cs="宋体"/>
                <w:sz w:val="20"/>
                <w:szCs w:val="20"/>
              </w:rPr>
            </w:pP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合计</w:t>
            </w:r>
          </w:p>
        </w:tc>
        <w:tc>
          <w:tcPr>
            <w:tcW w:w="690" w:type="dxa"/>
            <w:vAlign w:val="center"/>
          </w:tcPr>
          <w:p>
            <w:pPr>
              <w:snapToGrid w:val="0"/>
              <w:spacing w:line="288" w:lineRule="auto"/>
              <w:jc w:val="center"/>
              <w:rPr>
                <w:rFonts w:ascii="宋体" w:hAnsi="宋体" w:cs="宋体"/>
                <w:sz w:val="20"/>
                <w:szCs w:val="20"/>
              </w:rPr>
            </w:pPr>
          </w:p>
        </w:tc>
        <w:tc>
          <w:tcPr>
            <w:tcW w:w="2720" w:type="dxa"/>
          </w:tcPr>
          <w:p>
            <w:pPr>
              <w:rPr>
                <w:rFonts w:ascii="宋体" w:hAnsi="宋体" w:cs="宋体"/>
                <w:sz w:val="20"/>
                <w:szCs w:val="20"/>
              </w:rPr>
            </w:pPr>
          </w:p>
        </w:tc>
        <w:tc>
          <w:tcPr>
            <w:tcW w:w="1500" w:type="dxa"/>
          </w:tcPr>
          <w:p>
            <w:pPr>
              <w:snapToGrid w:val="0"/>
              <w:spacing w:line="288" w:lineRule="auto"/>
              <w:jc w:val="left"/>
              <w:rPr>
                <w:rFonts w:ascii="宋体" w:hAnsi="宋体" w:cs="宋体"/>
                <w:sz w:val="20"/>
                <w:szCs w:val="20"/>
              </w:rPr>
            </w:pPr>
          </w:p>
        </w:tc>
        <w:tc>
          <w:tcPr>
            <w:tcW w:w="965" w:type="dxa"/>
          </w:tcPr>
          <w:p>
            <w:pPr>
              <w:snapToGrid w:val="0"/>
              <w:spacing w:line="288" w:lineRule="auto"/>
              <w:jc w:val="left"/>
              <w:rPr>
                <w:rFonts w:ascii="宋体" w:hAnsi="宋体" w:cs="宋体"/>
                <w:color w:val="000000"/>
                <w:sz w:val="20"/>
                <w:szCs w:val="20"/>
              </w:rPr>
            </w:pPr>
          </w:p>
        </w:tc>
        <w:tc>
          <w:tcPr>
            <w:tcW w:w="1101" w:type="dxa"/>
          </w:tcPr>
          <w:p>
            <w:pPr>
              <w:snapToGrid w:val="0"/>
              <w:spacing w:line="288" w:lineRule="auto"/>
              <w:jc w:val="left"/>
              <w:rPr>
                <w:rFonts w:ascii="宋体" w:hAnsi="宋体" w:cs="宋体"/>
                <w:sz w:val="20"/>
                <w:szCs w:val="20"/>
              </w:rPr>
            </w:pP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24</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8</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32</w:t>
            </w:r>
          </w:p>
        </w:tc>
      </w:tr>
    </w:tbl>
    <w:p>
      <w:pPr>
        <w:snapToGrid w:val="0"/>
        <w:spacing w:line="288" w:lineRule="auto"/>
        <w:ind w:right="26"/>
        <w:rPr>
          <w:sz w:val="20"/>
          <w:szCs w:val="20"/>
        </w:rPr>
      </w:pPr>
    </w:p>
    <w:p>
      <w:pPr>
        <w:snapToGrid w:val="0"/>
        <w:spacing w:line="288" w:lineRule="auto"/>
        <w:ind w:right="26"/>
        <w:rPr>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tbl>
      <w:tblPr>
        <w:tblStyle w:val="5"/>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937"/>
        <w:gridCol w:w="2608"/>
        <w:gridCol w:w="759"/>
        <w:gridCol w:w="1062"/>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293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62"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999"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1</w:t>
            </w:r>
          </w:p>
        </w:tc>
        <w:tc>
          <w:tcPr>
            <w:tcW w:w="2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cs="宋体"/>
                <w:sz w:val="20"/>
                <w:szCs w:val="20"/>
              </w:rPr>
            </w:pPr>
            <w:bookmarkStart w:id="1" w:name="_Hlk81481669"/>
            <w:r>
              <w:rPr>
                <w:rFonts w:hint="eastAsia" w:ascii="宋体" w:hAnsi="宋体" w:cs="宋体"/>
                <w:sz w:val="20"/>
                <w:szCs w:val="20"/>
              </w:rPr>
              <w:t>眼科常用的护理操作技术</w:t>
            </w:r>
            <w:bookmarkEnd w:id="1"/>
          </w:p>
        </w:tc>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宋体" w:hAnsi="宋体" w:cs="宋体"/>
                <w:sz w:val="20"/>
                <w:szCs w:val="20"/>
              </w:rPr>
            </w:pPr>
            <w:r>
              <w:rPr>
                <w:rFonts w:hint="eastAsia" w:ascii="宋体" w:hAnsi="宋体" w:cs="宋体"/>
                <w:sz w:val="20"/>
                <w:szCs w:val="20"/>
              </w:rPr>
              <w:t>滴眼药法</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s="宋体"/>
                <w:sz w:val="20"/>
                <w:szCs w:val="20"/>
              </w:rPr>
            </w:pPr>
            <w:r>
              <w:rPr>
                <w:rFonts w:ascii="宋体" w:hAnsi="宋体" w:cs="宋体"/>
                <w:sz w:val="20"/>
                <w:szCs w:val="20"/>
              </w:rPr>
              <w:t>4</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s="宋体"/>
                <w:sz w:val="20"/>
                <w:szCs w:val="20"/>
              </w:rPr>
            </w:pPr>
            <w:r>
              <w:rPr>
                <w:rFonts w:hint="eastAsia" w:ascii="宋体" w:hAnsi="宋体" w:cs="宋体"/>
                <w:sz w:val="20"/>
                <w:szCs w:val="20"/>
              </w:rPr>
              <w:t>综合型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293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宋体" w:hAnsi="宋体" w:cs="宋体"/>
                <w:sz w:val="20"/>
                <w:szCs w:val="20"/>
              </w:rPr>
            </w:pPr>
            <w:r>
              <w:rPr>
                <w:rFonts w:hint="eastAsia" w:ascii="宋体" w:hAnsi="宋体" w:cs="宋体"/>
                <w:sz w:val="20"/>
                <w:szCs w:val="20"/>
              </w:rPr>
              <w:t>耳鼻咽喉科常用护理操作技术</w:t>
            </w:r>
          </w:p>
        </w:tc>
        <w:tc>
          <w:tcPr>
            <w:tcW w:w="260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宋体" w:hAnsi="宋体" w:cs="宋体"/>
                <w:sz w:val="20"/>
                <w:szCs w:val="20"/>
              </w:rPr>
            </w:pPr>
            <w:r>
              <w:rPr>
                <w:rFonts w:hint="eastAsia" w:ascii="宋体" w:hAnsi="宋体" w:cs="宋体"/>
                <w:sz w:val="20"/>
                <w:szCs w:val="20"/>
              </w:rPr>
              <w:t>外耳道滴药法</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s="宋体"/>
                <w:sz w:val="20"/>
                <w:szCs w:val="20"/>
              </w:rPr>
            </w:pPr>
            <w:r>
              <w:rPr>
                <w:rFonts w:hint="eastAsia" w:ascii="宋体" w:hAnsi="宋体" w:cs="宋体"/>
                <w:sz w:val="20"/>
                <w:szCs w:val="20"/>
              </w:rPr>
              <w:t>4</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s="宋体"/>
                <w:sz w:val="20"/>
                <w:szCs w:val="20"/>
              </w:rPr>
            </w:pPr>
            <w:r>
              <w:rPr>
                <w:rFonts w:hint="eastAsia" w:ascii="宋体" w:hAnsi="宋体" w:cs="宋体"/>
                <w:sz w:val="20"/>
                <w:szCs w:val="20"/>
              </w:rPr>
              <w:t>综合型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s="宋体"/>
                <w:sz w:val="20"/>
                <w:szCs w:val="20"/>
              </w:rPr>
            </w:pPr>
          </w:p>
        </w:tc>
      </w:tr>
    </w:tbl>
    <w:p>
      <w:pPr>
        <w:snapToGrid w:val="0"/>
        <w:spacing w:line="288" w:lineRule="auto"/>
        <w:ind w:right="2520" w:firstLine="480" w:firstLineChars="200"/>
        <w:rPr>
          <w:rFonts w:ascii="黑体" w:hAnsi="宋体" w:eastAsia="黑体"/>
          <w:sz w:val="24"/>
        </w:rPr>
      </w:pPr>
    </w:p>
    <w:p>
      <w:pPr>
        <w:snapToGrid w:val="0"/>
        <w:spacing w:line="288" w:lineRule="auto"/>
        <w:ind w:right="2520" w:firstLine="480" w:firstLineChars="200"/>
        <w:rPr>
          <w:rFonts w:ascii="黑体" w:hAnsi="宋体" w:eastAsia="黑体"/>
          <w:sz w:val="24"/>
        </w:rPr>
      </w:pPr>
      <w:r>
        <w:rPr>
          <w:rFonts w:hint="eastAsia" w:ascii="黑体" w:hAnsi="宋体" w:eastAsia="黑体"/>
          <w:sz w:val="24"/>
        </w:rPr>
        <w:t>八、评价方式与成绩</w:t>
      </w:r>
    </w:p>
    <w:tbl>
      <w:tblPr>
        <w:tblStyle w:val="5"/>
        <w:tblpPr w:leftFromText="180" w:rightFromText="180" w:vertAnchor="text" w:horzAnchor="margin" w:tblpXSpec="center" w:tblpY="202"/>
        <w:tblOverlap w:val="never"/>
        <w:tblW w:w="9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9"/>
        <w:gridCol w:w="5384"/>
        <w:gridCol w:w="1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9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384"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945"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909"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1</w:t>
            </w:r>
          </w:p>
        </w:tc>
        <w:tc>
          <w:tcPr>
            <w:tcW w:w="5384"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sz w:val="20"/>
                <w:szCs w:val="20"/>
              </w:rPr>
              <w:t>期末</w:t>
            </w:r>
            <w:r>
              <w:rPr>
                <w:rFonts w:ascii="宋体" w:hAnsi="宋体"/>
                <w:sz w:val="20"/>
                <w:szCs w:val="20"/>
              </w:rPr>
              <w:t>闭卷</w:t>
            </w:r>
            <w:r>
              <w:rPr>
                <w:rFonts w:hint="eastAsia" w:ascii="宋体" w:hAnsi="宋体"/>
                <w:sz w:val="20"/>
                <w:szCs w:val="20"/>
              </w:rPr>
              <w:t>考试</w:t>
            </w:r>
          </w:p>
        </w:tc>
        <w:tc>
          <w:tcPr>
            <w:tcW w:w="1945"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909"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X1</w:t>
            </w:r>
          </w:p>
        </w:tc>
        <w:tc>
          <w:tcPr>
            <w:tcW w:w="5384"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实训报告</w:t>
            </w:r>
          </w:p>
        </w:tc>
        <w:tc>
          <w:tcPr>
            <w:tcW w:w="1945"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909"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X2</w:t>
            </w:r>
          </w:p>
        </w:tc>
        <w:tc>
          <w:tcPr>
            <w:tcW w:w="5384"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sz w:val="20"/>
                <w:szCs w:val="20"/>
              </w:rPr>
              <w:t>课堂小测验</w:t>
            </w:r>
          </w:p>
        </w:tc>
        <w:tc>
          <w:tcPr>
            <w:tcW w:w="1945"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909"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X3</w:t>
            </w:r>
          </w:p>
        </w:tc>
        <w:tc>
          <w:tcPr>
            <w:tcW w:w="5384"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sz w:val="20"/>
                <w:szCs w:val="20"/>
              </w:rPr>
              <w:t>课堂表现</w:t>
            </w:r>
          </w:p>
        </w:tc>
        <w:tc>
          <w:tcPr>
            <w:tcW w:w="1945"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10%</w:t>
            </w:r>
          </w:p>
        </w:tc>
      </w:tr>
    </w:tbl>
    <w:p>
      <w:pPr>
        <w:tabs>
          <w:tab w:val="left" w:pos="3210"/>
          <w:tab w:val="left" w:pos="7560"/>
        </w:tabs>
        <w:spacing w:before="72" w:beforeLines="20" w:line="480" w:lineRule="auto"/>
        <w:jc w:val="both"/>
        <w:outlineLvl w:val="0"/>
        <w:rPr>
          <w:sz w:val="28"/>
          <w:szCs w:val="28"/>
        </w:rPr>
      </w:pPr>
      <w:r>
        <w:rPr>
          <w:rFonts w:hint="eastAsia" w:ascii="黑体" w:hAnsi="黑体" w:eastAsia="黑体" w:cs="黑体"/>
          <w:sz w:val="21"/>
          <w:szCs w:val="21"/>
        </w:rPr>
        <w:t>撰写人：</w:t>
      </w:r>
      <w:r>
        <w:rPr>
          <w:rFonts w:hint="eastAsia" w:ascii="黑体" w:hAnsi="黑体" w:eastAsia="黑体" w:cs="黑体"/>
          <w:sz w:val="21"/>
          <w:szCs w:val="21"/>
        </w:rPr>
        <w:drawing>
          <wp:inline distT="0" distB="0" distL="114300" distR="114300">
            <wp:extent cx="709930" cy="617855"/>
            <wp:effectExtent l="0" t="0" r="13970" b="10795"/>
            <wp:docPr id="2" name="图片 2" descr="7bf77f2d3c7398eb7529e30f4633f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bf77f2d3c7398eb7529e30f4633f38"/>
                    <pic:cNvPicPr>
                      <a:picLocks noChangeAspect="1"/>
                    </pic:cNvPicPr>
                  </pic:nvPicPr>
                  <pic:blipFill>
                    <a:blip r:embed="rId4"/>
                    <a:stretch>
                      <a:fillRect/>
                    </a:stretch>
                  </pic:blipFill>
                  <pic:spPr>
                    <a:xfrm>
                      <a:off x="0" y="0"/>
                      <a:ext cx="709930" cy="617855"/>
                    </a:xfrm>
                    <a:prstGeom prst="rect">
                      <a:avLst/>
                    </a:prstGeom>
                  </pic:spPr>
                </pic:pic>
              </a:graphicData>
            </a:graphic>
          </wp:inline>
        </w:drawing>
      </w:r>
      <w:r>
        <w:rPr>
          <w:rFonts w:hint="eastAsia" w:ascii="黑体" w:hAnsi="黑体" w:eastAsia="黑体" w:cs="黑体"/>
          <w:sz w:val="21"/>
          <w:szCs w:val="21"/>
        </w:rPr>
        <w:t xml:space="preserve">  系主任审核签名：</w:t>
      </w:r>
      <w:r>
        <w:rPr>
          <w:rFonts w:ascii="黑体" w:hAnsi="黑体" w:eastAsia="黑体"/>
          <w:color w:val="000000"/>
          <w:position w:val="-20"/>
          <w:sz w:val="21"/>
          <w:szCs w:val="21"/>
          <w:lang w:eastAsia="zh-CN"/>
        </w:rPr>
        <w:drawing>
          <wp:inline distT="0" distB="0" distL="0" distR="0">
            <wp:extent cx="694690" cy="384175"/>
            <wp:effectExtent l="0" t="0" r="10160" b="15875"/>
            <wp:docPr id="9668052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80523"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694690" cy="384175"/>
                    </a:xfrm>
                    <a:prstGeom prst="rect">
                      <a:avLst/>
                    </a:prstGeom>
                    <a:noFill/>
                  </pic:spPr>
                </pic:pic>
              </a:graphicData>
            </a:graphic>
          </wp:inline>
        </w:drawing>
      </w:r>
      <w:r>
        <w:rPr>
          <w:rFonts w:hint="eastAsia" w:ascii="黑体" w:hAnsi="黑体" w:eastAsia="黑体"/>
          <w:color w:val="000000"/>
          <w:position w:val="-20"/>
          <w:sz w:val="21"/>
          <w:szCs w:val="21"/>
          <w:lang w:val="en-US" w:eastAsia="zh-CN"/>
        </w:rPr>
        <w:t xml:space="preserve">  </w:t>
      </w:r>
      <w:r>
        <w:rPr>
          <w:rFonts w:hint="eastAsia" w:ascii="黑体" w:hAnsi="黑体" w:eastAsia="黑体" w:cs="黑体"/>
          <w:sz w:val="21"/>
          <w:szCs w:val="21"/>
        </w:rPr>
        <w:t xml:space="preserve">审核时间：   </w:t>
      </w:r>
      <w:r>
        <w:rPr>
          <w:rFonts w:hint="eastAsia" w:ascii="黑体" w:hAnsi="黑体" w:eastAsia="黑体" w:cs="黑体"/>
          <w:sz w:val="21"/>
          <w:szCs w:val="21"/>
          <w:lang w:val="en-US" w:eastAsia="zh-CN"/>
        </w:rPr>
        <w:t>2024</w:t>
      </w:r>
      <w:r>
        <w:rPr>
          <w:rFonts w:hint="eastAsia" w:ascii="黑体" w:hAnsi="黑体" w:eastAsia="黑体" w:cs="黑体"/>
          <w:sz w:val="21"/>
          <w:szCs w:val="21"/>
        </w:rPr>
        <w:t xml:space="preserve">年  </w:t>
      </w:r>
      <w:r>
        <w:rPr>
          <w:rFonts w:hint="eastAsia" w:ascii="黑体" w:hAnsi="黑体" w:eastAsia="黑体" w:cs="黑体"/>
          <w:sz w:val="21"/>
          <w:szCs w:val="21"/>
          <w:lang w:val="en-US" w:eastAsia="zh-CN"/>
        </w:rPr>
        <w:t>2</w:t>
      </w:r>
      <w:r>
        <w:rPr>
          <w:rFonts w:hint="eastAsia" w:ascii="黑体" w:hAnsi="黑体" w:eastAsia="黑体" w:cs="黑体"/>
          <w:sz w:val="21"/>
          <w:szCs w:val="21"/>
        </w:rPr>
        <w:t xml:space="preserve">  月    日  </w:t>
      </w:r>
      <w:r>
        <w:rPr>
          <w:rFonts w:hint="eastAsia"/>
          <w:sz w:val="28"/>
          <w:szCs w:val="28"/>
        </w:rPr>
        <w:t xml:space="preserve">                     </w:t>
      </w:r>
    </w:p>
    <w:p/>
    <w:p>
      <w:pPr>
        <w:snapToGrid w:val="0"/>
        <w:spacing w:before="120" w:after="120" w:line="288" w:lineRule="auto"/>
        <w:ind w:firstLine="400" w:firstLineChars="200"/>
        <w:rPr>
          <w:rFonts w:ascii="宋体" w:hAnsi="宋体"/>
          <w:sz w:val="20"/>
          <w:szCs w:val="20"/>
          <w:highlight w:val="yellow"/>
        </w:rPr>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hZTdhZWMxOTE3MWNjMzk4MzAyNWEyNjY2MjU1Y2IifQ=="/>
  </w:docVars>
  <w:rsids>
    <w:rsidRoot w:val="00B7651F"/>
    <w:rsid w:val="000E5D71"/>
    <w:rsid w:val="001072BC"/>
    <w:rsid w:val="001221A4"/>
    <w:rsid w:val="00151AD6"/>
    <w:rsid w:val="00197502"/>
    <w:rsid w:val="001E6DC3"/>
    <w:rsid w:val="00256B39"/>
    <w:rsid w:val="0026033C"/>
    <w:rsid w:val="002C4449"/>
    <w:rsid w:val="002E3721"/>
    <w:rsid w:val="00313BBA"/>
    <w:rsid w:val="0032602E"/>
    <w:rsid w:val="003367AE"/>
    <w:rsid w:val="0036372E"/>
    <w:rsid w:val="003B1258"/>
    <w:rsid w:val="004100B0"/>
    <w:rsid w:val="00417700"/>
    <w:rsid w:val="00470BBD"/>
    <w:rsid w:val="0049206D"/>
    <w:rsid w:val="004B26D0"/>
    <w:rsid w:val="004C691F"/>
    <w:rsid w:val="005467DC"/>
    <w:rsid w:val="00553D03"/>
    <w:rsid w:val="005B2B6D"/>
    <w:rsid w:val="005B2C6E"/>
    <w:rsid w:val="005B4B4E"/>
    <w:rsid w:val="006118AE"/>
    <w:rsid w:val="00624FE1"/>
    <w:rsid w:val="00654214"/>
    <w:rsid w:val="007200AE"/>
    <w:rsid w:val="007208D6"/>
    <w:rsid w:val="008075C7"/>
    <w:rsid w:val="008102F1"/>
    <w:rsid w:val="00894C46"/>
    <w:rsid w:val="008B397C"/>
    <w:rsid w:val="008B47F4"/>
    <w:rsid w:val="00900019"/>
    <w:rsid w:val="00947A95"/>
    <w:rsid w:val="00950240"/>
    <w:rsid w:val="00955F0D"/>
    <w:rsid w:val="0099063E"/>
    <w:rsid w:val="009B18A9"/>
    <w:rsid w:val="00A03BF6"/>
    <w:rsid w:val="00A23CD3"/>
    <w:rsid w:val="00A35633"/>
    <w:rsid w:val="00A520B5"/>
    <w:rsid w:val="00A769B1"/>
    <w:rsid w:val="00A837D5"/>
    <w:rsid w:val="00AC4C45"/>
    <w:rsid w:val="00B46F21"/>
    <w:rsid w:val="00B511A5"/>
    <w:rsid w:val="00B736A7"/>
    <w:rsid w:val="00B73E5A"/>
    <w:rsid w:val="00B7651F"/>
    <w:rsid w:val="00C239A0"/>
    <w:rsid w:val="00C27E34"/>
    <w:rsid w:val="00C56E09"/>
    <w:rsid w:val="00CF096B"/>
    <w:rsid w:val="00CF3752"/>
    <w:rsid w:val="00DC7C1D"/>
    <w:rsid w:val="00E16D30"/>
    <w:rsid w:val="00E33169"/>
    <w:rsid w:val="00E47F7D"/>
    <w:rsid w:val="00E70904"/>
    <w:rsid w:val="00E914BE"/>
    <w:rsid w:val="00EF44B1"/>
    <w:rsid w:val="00F35AA0"/>
    <w:rsid w:val="00F36D6C"/>
    <w:rsid w:val="01115B19"/>
    <w:rsid w:val="01231DAC"/>
    <w:rsid w:val="012D66CB"/>
    <w:rsid w:val="01514167"/>
    <w:rsid w:val="01625047"/>
    <w:rsid w:val="01667474"/>
    <w:rsid w:val="016E63C2"/>
    <w:rsid w:val="01727B94"/>
    <w:rsid w:val="017A0917"/>
    <w:rsid w:val="01AE69A8"/>
    <w:rsid w:val="01B61F54"/>
    <w:rsid w:val="01C42224"/>
    <w:rsid w:val="01C963F3"/>
    <w:rsid w:val="01FA08BE"/>
    <w:rsid w:val="01FC7983"/>
    <w:rsid w:val="020D1098"/>
    <w:rsid w:val="02110665"/>
    <w:rsid w:val="02111B48"/>
    <w:rsid w:val="02135A8C"/>
    <w:rsid w:val="02283E26"/>
    <w:rsid w:val="022F1507"/>
    <w:rsid w:val="0233386D"/>
    <w:rsid w:val="023C201B"/>
    <w:rsid w:val="02445A7A"/>
    <w:rsid w:val="024807CB"/>
    <w:rsid w:val="024B0C39"/>
    <w:rsid w:val="02B12FF3"/>
    <w:rsid w:val="02DE588D"/>
    <w:rsid w:val="02DE5ECF"/>
    <w:rsid w:val="02EE5BC0"/>
    <w:rsid w:val="03125AFA"/>
    <w:rsid w:val="031A25E6"/>
    <w:rsid w:val="031E276F"/>
    <w:rsid w:val="031E62CB"/>
    <w:rsid w:val="03293A42"/>
    <w:rsid w:val="03440793"/>
    <w:rsid w:val="03497F22"/>
    <w:rsid w:val="034A5312"/>
    <w:rsid w:val="034B1CBD"/>
    <w:rsid w:val="03694906"/>
    <w:rsid w:val="03791753"/>
    <w:rsid w:val="037B54CB"/>
    <w:rsid w:val="03807341"/>
    <w:rsid w:val="038A6FEC"/>
    <w:rsid w:val="03990047"/>
    <w:rsid w:val="03A57F3B"/>
    <w:rsid w:val="03E10356"/>
    <w:rsid w:val="03E56DE9"/>
    <w:rsid w:val="040A75BF"/>
    <w:rsid w:val="042A0CA0"/>
    <w:rsid w:val="0433169F"/>
    <w:rsid w:val="044065C2"/>
    <w:rsid w:val="04463BE2"/>
    <w:rsid w:val="04553F6E"/>
    <w:rsid w:val="04761496"/>
    <w:rsid w:val="04762137"/>
    <w:rsid w:val="049C1B9D"/>
    <w:rsid w:val="04A174C8"/>
    <w:rsid w:val="04AD3DAA"/>
    <w:rsid w:val="04B073F7"/>
    <w:rsid w:val="04C2254D"/>
    <w:rsid w:val="04E0453C"/>
    <w:rsid w:val="04E2157A"/>
    <w:rsid w:val="04E52439"/>
    <w:rsid w:val="05194290"/>
    <w:rsid w:val="055A3B03"/>
    <w:rsid w:val="05691E82"/>
    <w:rsid w:val="05793C8D"/>
    <w:rsid w:val="058031AE"/>
    <w:rsid w:val="05C148D2"/>
    <w:rsid w:val="05C8461C"/>
    <w:rsid w:val="05D12214"/>
    <w:rsid w:val="06023C64"/>
    <w:rsid w:val="061E3484"/>
    <w:rsid w:val="06233BF8"/>
    <w:rsid w:val="06620BC5"/>
    <w:rsid w:val="06707752"/>
    <w:rsid w:val="067462BA"/>
    <w:rsid w:val="06A71625"/>
    <w:rsid w:val="06B74A29"/>
    <w:rsid w:val="06BE567E"/>
    <w:rsid w:val="06DF5D71"/>
    <w:rsid w:val="06EF5702"/>
    <w:rsid w:val="06F35CC1"/>
    <w:rsid w:val="070B6B66"/>
    <w:rsid w:val="070F2546"/>
    <w:rsid w:val="072F6AA9"/>
    <w:rsid w:val="07312EE6"/>
    <w:rsid w:val="073210CB"/>
    <w:rsid w:val="074A3038"/>
    <w:rsid w:val="0753027B"/>
    <w:rsid w:val="077867DE"/>
    <w:rsid w:val="07B6221F"/>
    <w:rsid w:val="07C21B82"/>
    <w:rsid w:val="07C67109"/>
    <w:rsid w:val="07CD7F0F"/>
    <w:rsid w:val="07EA47F3"/>
    <w:rsid w:val="07F97307"/>
    <w:rsid w:val="07FD7098"/>
    <w:rsid w:val="08114077"/>
    <w:rsid w:val="081D27EC"/>
    <w:rsid w:val="08220A5C"/>
    <w:rsid w:val="08504A7B"/>
    <w:rsid w:val="08640C24"/>
    <w:rsid w:val="08647484"/>
    <w:rsid w:val="08716DC3"/>
    <w:rsid w:val="08846442"/>
    <w:rsid w:val="08866EF7"/>
    <w:rsid w:val="0891753F"/>
    <w:rsid w:val="089625B9"/>
    <w:rsid w:val="08971B45"/>
    <w:rsid w:val="08981AF2"/>
    <w:rsid w:val="08B03B91"/>
    <w:rsid w:val="08B6741D"/>
    <w:rsid w:val="08C571E9"/>
    <w:rsid w:val="08CE2541"/>
    <w:rsid w:val="08F330C9"/>
    <w:rsid w:val="08F539CE"/>
    <w:rsid w:val="091541CD"/>
    <w:rsid w:val="09181A0E"/>
    <w:rsid w:val="093F6771"/>
    <w:rsid w:val="0947132D"/>
    <w:rsid w:val="095073FA"/>
    <w:rsid w:val="095C5D9F"/>
    <w:rsid w:val="096F2483"/>
    <w:rsid w:val="097202B1"/>
    <w:rsid w:val="09734E97"/>
    <w:rsid w:val="09954E0D"/>
    <w:rsid w:val="09D257E7"/>
    <w:rsid w:val="09DB18EE"/>
    <w:rsid w:val="09DF4F7C"/>
    <w:rsid w:val="09DF732F"/>
    <w:rsid w:val="09E86182"/>
    <w:rsid w:val="0A0C3D4E"/>
    <w:rsid w:val="0A156A99"/>
    <w:rsid w:val="0A2D3298"/>
    <w:rsid w:val="0A4849C6"/>
    <w:rsid w:val="0A514AE1"/>
    <w:rsid w:val="0A52306E"/>
    <w:rsid w:val="0A6A3B9C"/>
    <w:rsid w:val="0A794D68"/>
    <w:rsid w:val="0A7F04BA"/>
    <w:rsid w:val="0A8128A6"/>
    <w:rsid w:val="0A8E2F38"/>
    <w:rsid w:val="0A8F5D00"/>
    <w:rsid w:val="0AA07F0D"/>
    <w:rsid w:val="0AA479FE"/>
    <w:rsid w:val="0AAF3780"/>
    <w:rsid w:val="0ACE05D7"/>
    <w:rsid w:val="0AE90EEC"/>
    <w:rsid w:val="0AF26C16"/>
    <w:rsid w:val="0B091B9C"/>
    <w:rsid w:val="0B101544"/>
    <w:rsid w:val="0B1224D1"/>
    <w:rsid w:val="0B183F48"/>
    <w:rsid w:val="0B834628"/>
    <w:rsid w:val="0B8D0D72"/>
    <w:rsid w:val="0BA320B5"/>
    <w:rsid w:val="0BF32A1B"/>
    <w:rsid w:val="0BFB7DC7"/>
    <w:rsid w:val="0BFF3AF7"/>
    <w:rsid w:val="0C0128AF"/>
    <w:rsid w:val="0C0817DC"/>
    <w:rsid w:val="0C14357A"/>
    <w:rsid w:val="0C2D0D30"/>
    <w:rsid w:val="0C301811"/>
    <w:rsid w:val="0C3C573B"/>
    <w:rsid w:val="0C3D6637"/>
    <w:rsid w:val="0C661175"/>
    <w:rsid w:val="0C69598C"/>
    <w:rsid w:val="0C840471"/>
    <w:rsid w:val="0CAC7F34"/>
    <w:rsid w:val="0CB82BF2"/>
    <w:rsid w:val="0CEF5A77"/>
    <w:rsid w:val="0CF25946"/>
    <w:rsid w:val="0D1A23EA"/>
    <w:rsid w:val="0D1C35B3"/>
    <w:rsid w:val="0D2564A8"/>
    <w:rsid w:val="0D3253F4"/>
    <w:rsid w:val="0D386193"/>
    <w:rsid w:val="0D413F10"/>
    <w:rsid w:val="0D534425"/>
    <w:rsid w:val="0D5D5C42"/>
    <w:rsid w:val="0D747E41"/>
    <w:rsid w:val="0D7F4BEE"/>
    <w:rsid w:val="0D846650"/>
    <w:rsid w:val="0D930BE2"/>
    <w:rsid w:val="0DA74D11"/>
    <w:rsid w:val="0DA81AD9"/>
    <w:rsid w:val="0DAE3601"/>
    <w:rsid w:val="0DB5782C"/>
    <w:rsid w:val="0DED60D8"/>
    <w:rsid w:val="0DF50AB4"/>
    <w:rsid w:val="0E1E67E1"/>
    <w:rsid w:val="0E230C39"/>
    <w:rsid w:val="0E2826F4"/>
    <w:rsid w:val="0E3124E9"/>
    <w:rsid w:val="0E3677EF"/>
    <w:rsid w:val="0E3B40D3"/>
    <w:rsid w:val="0E546E89"/>
    <w:rsid w:val="0E8D130B"/>
    <w:rsid w:val="0E8D2C0F"/>
    <w:rsid w:val="0E903DF5"/>
    <w:rsid w:val="0EA4455B"/>
    <w:rsid w:val="0EC57A24"/>
    <w:rsid w:val="0EC8358F"/>
    <w:rsid w:val="0ED739A6"/>
    <w:rsid w:val="0F0071CD"/>
    <w:rsid w:val="0F1217BA"/>
    <w:rsid w:val="0F331350"/>
    <w:rsid w:val="0F3A39E1"/>
    <w:rsid w:val="0F436FC6"/>
    <w:rsid w:val="0F7D081D"/>
    <w:rsid w:val="0FC14BAE"/>
    <w:rsid w:val="0FE2309D"/>
    <w:rsid w:val="0FF35FCF"/>
    <w:rsid w:val="0FFB3C47"/>
    <w:rsid w:val="0FFB7362"/>
    <w:rsid w:val="10036F74"/>
    <w:rsid w:val="100B7E0C"/>
    <w:rsid w:val="1025513D"/>
    <w:rsid w:val="102722EE"/>
    <w:rsid w:val="102E2FE1"/>
    <w:rsid w:val="10521951"/>
    <w:rsid w:val="1090632E"/>
    <w:rsid w:val="10A971AF"/>
    <w:rsid w:val="10BD2C22"/>
    <w:rsid w:val="10E34313"/>
    <w:rsid w:val="10F4014F"/>
    <w:rsid w:val="10F60887"/>
    <w:rsid w:val="10F75D80"/>
    <w:rsid w:val="10FB7C4C"/>
    <w:rsid w:val="1133451A"/>
    <w:rsid w:val="113B16DB"/>
    <w:rsid w:val="113E2BE3"/>
    <w:rsid w:val="115D4462"/>
    <w:rsid w:val="116568DD"/>
    <w:rsid w:val="116E2A45"/>
    <w:rsid w:val="117443E7"/>
    <w:rsid w:val="11886BA3"/>
    <w:rsid w:val="118C09F2"/>
    <w:rsid w:val="11967974"/>
    <w:rsid w:val="11AA3420"/>
    <w:rsid w:val="11FC1ECD"/>
    <w:rsid w:val="120B3EBE"/>
    <w:rsid w:val="122837AD"/>
    <w:rsid w:val="122E3583"/>
    <w:rsid w:val="12381FAF"/>
    <w:rsid w:val="124949E7"/>
    <w:rsid w:val="125E4B6A"/>
    <w:rsid w:val="126774A8"/>
    <w:rsid w:val="12783EE1"/>
    <w:rsid w:val="128E171F"/>
    <w:rsid w:val="129D0A7B"/>
    <w:rsid w:val="12A409A1"/>
    <w:rsid w:val="12C944FF"/>
    <w:rsid w:val="12DD3146"/>
    <w:rsid w:val="131D5A64"/>
    <w:rsid w:val="131E7C21"/>
    <w:rsid w:val="133A2492"/>
    <w:rsid w:val="13517FF7"/>
    <w:rsid w:val="136030AD"/>
    <w:rsid w:val="13862F37"/>
    <w:rsid w:val="138A2B00"/>
    <w:rsid w:val="13936861"/>
    <w:rsid w:val="13A84021"/>
    <w:rsid w:val="13A97E33"/>
    <w:rsid w:val="13C94377"/>
    <w:rsid w:val="13CB121F"/>
    <w:rsid w:val="13CB5D6C"/>
    <w:rsid w:val="13D21E10"/>
    <w:rsid w:val="140465FF"/>
    <w:rsid w:val="14111F03"/>
    <w:rsid w:val="141A5E7B"/>
    <w:rsid w:val="143D576D"/>
    <w:rsid w:val="143F3967"/>
    <w:rsid w:val="144B6CDC"/>
    <w:rsid w:val="14551D69"/>
    <w:rsid w:val="14641FAC"/>
    <w:rsid w:val="147237D4"/>
    <w:rsid w:val="147B39B0"/>
    <w:rsid w:val="147F6790"/>
    <w:rsid w:val="148A4A2A"/>
    <w:rsid w:val="14945406"/>
    <w:rsid w:val="14D47131"/>
    <w:rsid w:val="14E30D69"/>
    <w:rsid w:val="14E86739"/>
    <w:rsid w:val="14F309CF"/>
    <w:rsid w:val="14F80B7E"/>
    <w:rsid w:val="1505553D"/>
    <w:rsid w:val="15081457"/>
    <w:rsid w:val="150A0AAD"/>
    <w:rsid w:val="1523732A"/>
    <w:rsid w:val="15243028"/>
    <w:rsid w:val="15612E9D"/>
    <w:rsid w:val="15640D32"/>
    <w:rsid w:val="15770C7B"/>
    <w:rsid w:val="157E55BA"/>
    <w:rsid w:val="158259B6"/>
    <w:rsid w:val="158346B4"/>
    <w:rsid w:val="1593647F"/>
    <w:rsid w:val="15C26F8A"/>
    <w:rsid w:val="15C745A0"/>
    <w:rsid w:val="15D1656B"/>
    <w:rsid w:val="15EB4733"/>
    <w:rsid w:val="15F74E28"/>
    <w:rsid w:val="160D2E3F"/>
    <w:rsid w:val="163B02E7"/>
    <w:rsid w:val="164A6E49"/>
    <w:rsid w:val="165D1D43"/>
    <w:rsid w:val="167804EC"/>
    <w:rsid w:val="168322DC"/>
    <w:rsid w:val="16844B4F"/>
    <w:rsid w:val="169A0512"/>
    <w:rsid w:val="16A064EA"/>
    <w:rsid w:val="16B36741"/>
    <w:rsid w:val="16C6071E"/>
    <w:rsid w:val="16CC58F8"/>
    <w:rsid w:val="16D231FD"/>
    <w:rsid w:val="16D43419"/>
    <w:rsid w:val="16E01287"/>
    <w:rsid w:val="16ED74A9"/>
    <w:rsid w:val="16F934ED"/>
    <w:rsid w:val="17094D46"/>
    <w:rsid w:val="170B19CF"/>
    <w:rsid w:val="170B4961"/>
    <w:rsid w:val="172B300B"/>
    <w:rsid w:val="1737648B"/>
    <w:rsid w:val="17591B70"/>
    <w:rsid w:val="175B58E8"/>
    <w:rsid w:val="17683B61"/>
    <w:rsid w:val="17793FC0"/>
    <w:rsid w:val="17897293"/>
    <w:rsid w:val="17A518D1"/>
    <w:rsid w:val="17AD5A18"/>
    <w:rsid w:val="17B46DA6"/>
    <w:rsid w:val="17D02788"/>
    <w:rsid w:val="17D575C9"/>
    <w:rsid w:val="17DB5D05"/>
    <w:rsid w:val="17E01949"/>
    <w:rsid w:val="17E972BA"/>
    <w:rsid w:val="180E15AF"/>
    <w:rsid w:val="18342C9C"/>
    <w:rsid w:val="183D6D9C"/>
    <w:rsid w:val="184629B2"/>
    <w:rsid w:val="185A5BA0"/>
    <w:rsid w:val="185E6AE9"/>
    <w:rsid w:val="18726592"/>
    <w:rsid w:val="18C474BD"/>
    <w:rsid w:val="18DC32DA"/>
    <w:rsid w:val="18E84F59"/>
    <w:rsid w:val="18F02CE1"/>
    <w:rsid w:val="190F0053"/>
    <w:rsid w:val="19394A77"/>
    <w:rsid w:val="1947532F"/>
    <w:rsid w:val="19572D69"/>
    <w:rsid w:val="19742C91"/>
    <w:rsid w:val="19744012"/>
    <w:rsid w:val="198249C4"/>
    <w:rsid w:val="19834C82"/>
    <w:rsid w:val="1998697F"/>
    <w:rsid w:val="199D3F96"/>
    <w:rsid w:val="19B13B25"/>
    <w:rsid w:val="19B45356"/>
    <w:rsid w:val="19C534ED"/>
    <w:rsid w:val="19F12C6A"/>
    <w:rsid w:val="1A044015"/>
    <w:rsid w:val="1A19209A"/>
    <w:rsid w:val="1A3B1D1A"/>
    <w:rsid w:val="1A467091"/>
    <w:rsid w:val="1A591AB9"/>
    <w:rsid w:val="1A7164CC"/>
    <w:rsid w:val="1ACA362B"/>
    <w:rsid w:val="1ACB25B9"/>
    <w:rsid w:val="1ACE2BA4"/>
    <w:rsid w:val="1AD233F6"/>
    <w:rsid w:val="1AF55AF8"/>
    <w:rsid w:val="1B0D0CA7"/>
    <w:rsid w:val="1B0E55E0"/>
    <w:rsid w:val="1B142408"/>
    <w:rsid w:val="1B157B5C"/>
    <w:rsid w:val="1B1B7589"/>
    <w:rsid w:val="1B2303F4"/>
    <w:rsid w:val="1B267864"/>
    <w:rsid w:val="1B295482"/>
    <w:rsid w:val="1B3C47C0"/>
    <w:rsid w:val="1B443D24"/>
    <w:rsid w:val="1B811695"/>
    <w:rsid w:val="1B8D003A"/>
    <w:rsid w:val="1BB2184F"/>
    <w:rsid w:val="1BB235FD"/>
    <w:rsid w:val="1BC4622C"/>
    <w:rsid w:val="1BC50885"/>
    <w:rsid w:val="1BDA15E1"/>
    <w:rsid w:val="1BE91714"/>
    <w:rsid w:val="1BF7155D"/>
    <w:rsid w:val="1C0B2625"/>
    <w:rsid w:val="1C14179F"/>
    <w:rsid w:val="1C366217"/>
    <w:rsid w:val="1C5F7921"/>
    <w:rsid w:val="1C6F5F5B"/>
    <w:rsid w:val="1C8731E0"/>
    <w:rsid w:val="1C8A4091"/>
    <w:rsid w:val="1C8B27CB"/>
    <w:rsid w:val="1C8D08DE"/>
    <w:rsid w:val="1C9F0C55"/>
    <w:rsid w:val="1CB345A5"/>
    <w:rsid w:val="1CE066BD"/>
    <w:rsid w:val="1CEC05AD"/>
    <w:rsid w:val="1CF71C0F"/>
    <w:rsid w:val="1D000CBA"/>
    <w:rsid w:val="1D0E6F59"/>
    <w:rsid w:val="1D152095"/>
    <w:rsid w:val="1D156539"/>
    <w:rsid w:val="1D2422D8"/>
    <w:rsid w:val="1D8C3A3F"/>
    <w:rsid w:val="1D994A74"/>
    <w:rsid w:val="1DA71037"/>
    <w:rsid w:val="1DAD7300"/>
    <w:rsid w:val="1DDF037E"/>
    <w:rsid w:val="1DE04BDC"/>
    <w:rsid w:val="1DE43869"/>
    <w:rsid w:val="1E0C3498"/>
    <w:rsid w:val="1E1E4F79"/>
    <w:rsid w:val="1E332380"/>
    <w:rsid w:val="1E466B8C"/>
    <w:rsid w:val="1E543091"/>
    <w:rsid w:val="1E7206C3"/>
    <w:rsid w:val="1E7F5BD3"/>
    <w:rsid w:val="1EBB4EBE"/>
    <w:rsid w:val="1EBF050A"/>
    <w:rsid w:val="1EC25B65"/>
    <w:rsid w:val="1EE31F52"/>
    <w:rsid w:val="1EE76B2C"/>
    <w:rsid w:val="1EED25FB"/>
    <w:rsid w:val="1EF94842"/>
    <w:rsid w:val="1F022AED"/>
    <w:rsid w:val="1F0B19A2"/>
    <w:rsid w:val="1F147360"/>
    <w:rsid w:val="1F20274B"/>
    <w:rsid w:val="1F354586"/>
    <w:rsid w:val="1F733318"/>
    <w:rsid w:val="1F755EBB"/>
    <w:rsid w:val="1F804FE7"/>
    <w:rsid w:val="1F867F18"/>
    <w:rsid w:val="1F875513"/>
    <w:rsid w:val="1FA57657"/>
    <w:rsid w:val="1FC6346F"/>
    <w:rsid w:val="1FC752CE"/>
    <w:rsid w:val="1FCB7383"/>
    <w:rsid w:val="1FCD30FB"/>
    <w:rsid w:val="1FE334B8"/>
    <w:rsid w:val="1FE63AA5"/>
    <w:rsid w:val="200C59D1"/>
    <w:rsid w:val="20166850"/>
    <w:rsid w:val="202A22FB"/>
    <w:rsid w:val="202F3061"/>
    <w:rsid w:val="203839F0"/>
    <w:rsid w:val="204A1F73"/>
    <w:rsid w:val="205B1F0D"/>
    <w:rsid w:val="209E4344"/>
    <w:rsid w:val="20A0611A"/>
    <w:rsid w:val="20A420AE"/>
    <w:rsid w:val="20B00A53"/>
    <w:rsid w:val="20B37EC2"/>
    <w:rsid w:val="20BC4D66"/>
    <w:rsid w:val="20E45E57"/>
    <w:rsid w:val="20E97AC1"/>
    <w:rsid w:val="210164FF"/>
    <w:rsid w:val="21202539"/>
    <w:rsid w:val="21203039"/>
    <w:rsid w:val="21714B2A"/>
    <w:rsid w:val="2171788D"/>
    <w:rsid w:val="21832E58"/>
    <w:rsid w:val="2188552B"/>
    <w:rsid w:val="21985429"/>
    <w:rsid w:val="21A50959"/>
    <w:rsid w:val="21BE3C5A"/>
    <w:rsid w:val="21DF2CC7"/>
    <w:rsid w:val="21F60AF2"/>
    <w:rsid w:val="22105472"/>
    <w:rsid w:val="221768AF"/>
    <w:rsid w:val="221C2118"/>
    <w:rsid w:val="224A0A33"/>
    <w:rsid w:val="227815CC"/>
    <w:rsid w:val="228B63E3"/>
    <w:rsid w:val="22987C80"/>
    <w:rsid w:val="22B1729F"/>
    <w:rsid w:val="22B72F27"/>
    <w:rsid w:val="22F92897"/>
    <w:rsid w:val="22FD1EA6"/>
    <w:rsid w:val="22FD3CF7"/>
    <w:rsid w:val="233E17D0"/>
    <w:rsid w:val="233F2ED5"/>
    <w:rsid w:val="235146F4"/>
    <w:rsid w:val="23610BF7"/>
    <w:rsid w:val="23816C55"/>
    <w:rsid w:val="23867849"/>
    <w:rsid w:val="238A21EB"/>
    <w:rsid w:val="238D507B"/>
    <w:rsid w:val="23A11008"/>
    <w:rsid w:val="23B24762"/>
    <w:rsid w:val="23C40B34"/>
    <w:rsid w:val="23E30554"/>
    <w:rsid w:val="240C6A6E"/>
    <w:rsid w:val="24192CCC"/>
    <w:rsid w:val="242C4296"/>
    <w:rsid w:val="243645CF"/>
    <w:rsid w:val="24433734"/>
    <w:rsid w:val="247D50F0"/>
    <w:rsid w:val="247E6772"/>
    <w:rsid w:val="24844578"/>
    <w:rsid w:val="24A36C2A"/>
    <w:rsid w:val="24E317DD"/>
    <w:rsid w:val="25095FD3"/>
    <w:rsid w:val="25574908"/>
    <w:rsid w:val="255C077F"/>
    <w:rsid w:val="25781413"/>
    <w:rsid w:val="259530F6"/>
    <w:rsid w:val="25973F8F"/>
    <w:rsid w:val="25A246E2"/>
    <w:rsid w:val="25C24D84"/>
    <w:rsid w:val="25C275F9"/>
    <w:rsid w:val="25DF1913"/>
    <w:rsid w:val="25ED0053"/>
    <w:rsid w:val="2610789E"/>
    <w:rsid w:val="26220DC8"/>
    <w:rsid w:val="26490B05"/>
    <w:rsid w:val="26737449"/>
    <w:rsid w:val="26771561"/>
    <w:rsid w:val="267918E7"/>
    <w:rsid w:val="26844F9B"/>
    <w:rsid w:val="268F6DC3"/>
    <w:rsid w:val="26A742FB"/>
    <w:rsid w:val="26B637C9"/>
    <w:rsid w:val="27000148"/>
    <w:rsid w:val="270C6960"/>
    <w:rsid w:val="27313BEE"/>
    <w:rsid w:val="274530E2"/>
    <w:rsid w:val="274D6A46"/>
    <w:rsid w:val="2750262D"/>
    <w:rsid w:val="27514612"/>
    <w:rsid w:val="27AC20E2"/>
    <w:rsid w:val="27AE55C0"/>
    <w:rsid w:val="27BB01B1"/>
    <w:rsid w:val="28033B5E"/>
    <w:rsid w:val="28170D78"/>
    <w:rsid w:val="281E2746"/>
    <w:rsid w:val="28243546"/>
    <w:rsid w:val="283B519C"/>
    <w:rsid w:val="2846302D"/>
    <w:rsid w:val="2855082E"/>
    <w:rsid w:val="285B63D9"/>
    <w:rsid w:val="287C1F92"/>
    <w:rsid w:val="2890116A"/>
    <w:rsid w:val="28A96B5B"/>
    <w:rsid w:val="29150578"/>
    <w:rsid w:val="2917694A"/>
    <w:rsid w:val="2927562A"/>
    <w:rsid w:val="293E6618"/>
    <w:rsid w:val="29431576"/>
    <w:rsid w:val="294A756A"/>
    <w:rsid w:val="29604B27"/>
    <w:rsid w:val="29785639"/>
    <w:rsid w:val="2995698F"/>
    <w:rsid w:val="29A44630"/>
    <w:rsid w:val="29AA7A01"/>
    <w:rsid w:val="29BE204C"/>
    <w:rsid w:val="29D67050"/>
    <w:rsid w:val="29DA36F3"/>
    <w:rsid w:val="29DE489B"/>
    <w:rsid w:val="29DF7A9D"/>
    <w:rsid w:val="29E11C7D"/>
    <w:rsid w:val="29F6324E"/>
    <w:rsid w:val="2A1774EF"/>
    <w:rsid w:val="2A1953A4"/>
    <w:rsid w:val="2A293624"/>
    <w:rsid w:val="2A3023E7"/>
    <w:rsid w:val="2A392113"/>
    <w:rsid w:val="2A47324B"/>
    <w:rsid w:val="2A5A1A2F"/>
    <w:rsid w:val="2A781EB5"/>
    <w:rsid w:val="2A9B7870"/>
    <w:rsid w:val="2A9E7C76"/>
    <w:rsid w:val="2AC90DE1"/>
    <w:rsid w:val="2AC944BF"/>
    <w:rsid w:val="2AE13576"/>
    <w:rsid w:val="2AE845D1"/>
    <w:rsid w:val="2B04781F"/>
    <w:rsid w:val="2B0E36C7"/>
    <w:rsid w:val="2B195D8A"/>
    <w:rsid w:val="2B3F2C60"/>
    <w:rsid w:val="2B4B437F"/>
    <w:rsid w:val="2B836D64"/>
    <w:rsid w:val="2B8A0892"/>
    <w:rsid w:val="2BA07916"/>
    <w:rsid w:val="2BAE7EC7"/>
    <w:rsid w:val="2BB1567F"/>
    <w:rsid w:val="2BC4791E"/>
    <w:rsid w:val="2BC7515F"/>
    <w:rsid w:val="2BD1279E"/>
    <w:rsid w:val="2BDA114F"/>
    <w:rsid w:val="2BDC106F"/>
    <w:rsid w:val="2BF26446"/>
    <w:rsid w:val="2C131E96"/>
    <w:rsid w:val="2C36549E"/>
    <w:rsid w:val="2C4E2ECE"/>
    <w:rsid w:val="2C6C5A06"/>
    <w:rsid w:val="2C8331B5"/>
    <w:rsid w:val="2C871D1D"/>
    <w:rsid w:val="2C9848C0"/>
    <w:rsid w:val="2C9D6523"/>
    <w:rsid w:val="2CA40C82"/>
    <w:rsid w:val="2CB04B70"/>
    <w:rsid w:val="2CC17B44"/>
    <w:rsid w:val="2CD514D4"/>
    <w:rsid w:val="2CD90DC8"/>
    <w:rsid w:val="2CF9023A"/>
    <w:rsid w:val="2D3A3874"/>
    <w:rsid w:val="2D5357F6"/>
    <w:rsid w:val="2D5D3075"/>
    <w:rsid w:val="2D690B30"/>
    <w:rsid w:val="2D6A01DB"/>
    <w:rsid w:val="2D7B5E84"/>
    <w:rsid w:val="2D855A41"/>
    <w:rsid w:val="2D8A6187"/>
    <w:rsid w:val="2DC6433E"/>
    <w:rsid w:val="2DCA02E4"/>
    <w:rsid w:val="2DE468E1"/>
    <w:rsid w:val="2E062FC6"/>
    <w:rsid w:val="2E1F21FB"/>
    <w:rsid w:val="2E2E7F5D"/>
    <w:rsid w:val="2E4B2C14"/>
    <w:rsid w:val="2E5E5C91"/>
    <w:rsid w:val="2E780057"/>
    <w:rsid w:val="2E8B665B"/>
    <w:rsid w:val="2E975000"/>
    <w:rsid w:val="2E980D78"/>
    <w:rsid w:val="2EB67A5C"/>
    <w:rsid w:val="2EC35DF5"/>
    <w:rsid w:val="2F05570A"/>
    <w:rsid w:val="2F13633B"/>
    <w:rsid w:val="2F15578F"/>
    <w:rsid w:val="2F174AD1"/>
    <w:rsid w:val="2F2A30B8"/>
    <w:rsid w:val="2F2D7A62"/>
    <w:rsid w:val="2F2F0760"/>
    <w:rsid w:val="2F340AA1"/>
    <w:rsid w:val="2F3F3AEC"/>
    <w:rsid w:val="2FB75B63"/>
    <w:rsid w:val="2FC5794B"/>
    <w:rsid w:val="2FCF1DBF"/>
    <w:rsid w:val="2FCF7C3A"/>
    <w:rsid w:val="2FD44032"/>
    <w:rsid w:val="2FE204FD"/>
    <w:rsid w:val="2FED4B8E"/>
    <w:rsid w:val="2FEF49C8"/>
    <w:rsid w:val="2FF344B8"/>
    <w:rsid w:val="30017E07"/>
    <w:rsid w:val="30087837"/>
    <w:rsid w:val="300A1801"/>
    <w:rsid w:val="301A1A20"/>
    <w:rsid w:val="301D15E9"/>
    <w:rsid w:val="30241191"/>
    <w:rsid w:val="30506EFA"/>
    <w:rsid w:val="306E0562"/>
    <w:rsid w:val="308E5F8F"/>
    <w:rsid w:val="30D569DD"/>
    <w:rsid w:val="30D86127"/>
    <w:rsid w:val="310C55BA"/>
    <w:rsid w:val="3113463B"/>
    <w:rsid w:val="314D7BF8"/>
    <w:rsid w:val="315622E0"/>
    <w:rsid w:val="316A07AA"/>
    <w:rsid w:val="31913F81"/>
    <w:rsid w:val="31A02413"/>
    <w:rsid w:val="31CF7655"/>
    <w:rsid w:val="31E247A4"/>
    <w:rsid w:val="31E87920"/>
    <w:rsid w:val="31E930E8"/>
    <w:rsid w:val="31EE3AC7"/>
    <w:rsid w:val="31EF4AE2"/>
    <w:rsid w:val="32042D3A"/>
    <w:rsid w:val="32394A0C"/>
    <w:rsid w:val="32397BCE"/>
    <w:rsid w:val="32425283"/>
    <w:rsid w:val="326709FD"/>
    <w:rsid w:val="32707FA2"/>
    <w:rsid w:val="327632E9"/>
    <w:rsid w:val="32806F50"/>
    <w:rsid w:val="32881B7F"/>
    <w:rsid w:val="32903760"/>
    <w:rsid w:val="32D57EA5"/>
    <w:rsid w:val="32E84E5A"/>
    <w:rsid w:val="32EA7127"/>
    <w:rsid w:val="32F10A57"/>
    <w:rsid w:val="33023F4C"/>
    <w:rsid w:val="33087F73"/>
    <w:rsid w:val="3336088F"/>
    <w:rsid w:val="334B460B"/>
    <w:rsid w:val="3350577D"/>
    <w:rsid w:val="336B6A5B"/>
    <w:rsid w:val="337B1F13"/>
    <w:rsid w:val="33806E3B"/>
    <w:rsid w:val="33B15246"/>
    <w:rsid w:val="33B965C6"/>
    <w:rsid w:val="33C74771"/>
    <w:rsid w:val="33D67A3D"/>
    <w:rsid w:val="33DA557F"/>
    <w:rsid w:val="33FE30EB"/>
    <w:rsid w:val="341A6918"/>
    <w:rsid w:val="341D5FA7"/>
    <w:rsid w:val="342333CC"/>
    <w:rsid w:val="34416D1A"/>
    <w:rsid w:val="3465007C"/>
    <w:rsid w:val="34692F9B"/>
    <w:rsid w:val="346A4C36"/>
    <w:rsid w:val="346E2341"/>
    <w:rsid w:val="34757B91"/>
    <w:rsid w:val="347C5F7D"/>
    <w:rsid w:val="34B40FFE"/>
    <w:rsid w:val="34C36260"/>
    <w:rsid w:val="34C82A8D"/>
    <w:rsid w:val="34CA155F"/>
    <w:rsid w:val="34D41FCA"/>
    <w:rsid w:val="34D53EBC"/>
    <w:rsid w:val="34D8242C"/>
    <w:rsid w:val="34D86314"/>
    <w:rsid w:val="34E00F21"/>
    <w:rsid w:val="350B2285"/>
    <w:rsid w:val="351078BA"/>
    <w:rsid w:val="351E3701"/>
    <w:rsid w:val="35301430"/>
    <w:rsid w:val="353E5A6D"/>
    <w:rsid w:val="355A41E2"/>
    <w:rsid w:val="355A6D87"/>
    <w:rsid w:val="3565798B"/>
    <w:rsid w:val="35895F67"/>
    <w:rsid w:val="359313B3"/>
    <w:rsid w:val="35A45D9F"/>
    <w:rsid w:val="35BA7D84"/>
    <w:rsid w:val="35C4234E"/>
    <w:rsid w:val="35CE35E4"/>
    <w:rsid w:val="35CF4D5E"/>
    <w:rsid w:val="35D93923"/>
    <w:rsid w:val="36032070"/>
    <w:rsid w:val="362A675A"/>
    <w:rsid w:val="362F1FEE"/>
    <w:rsid w:val="36370E76"/>
    <w:rsid w:val="36375C13"/>
    <w:rsid w:val="363D2065"/>
    <w:rsid w:val="363E2205"/>
    <w:rsid w:val="36463C3A"/>
    <w:rsid w:val="3647730B"/>
    <w:rsid w:val="36527A5E"/>
    <w:rsid w:val="36631C6B"/>
    <w:rsid w:val="36672E9B"/>
    <w:rsid w:val="366B5545"/>
    <w:rsid w:val="366E2AEA"/>
    <w:rsid w:val="368045CB"/>
    <w:rsid w:val="36AB7BBC"/>
    <w:rsid w:val="36B751BA"/>
    <w:rsid w:val="36C06CA8"/>
    <w:rsid w:val="36E27034"/>
    <w:rsid w:val="36EA70B8"/>
    <w:rsid w:val="370D3B14"/>
    <w:rsid w:val="371E3A29"/>
    <w:rsid w:val="371F13C0"/>
    <w:rsid w:val="37235F3E"/>
    <w:rsid w:val="37465815"/>
    <w:rsid w:val="37567C01"/>
    <w:rsid w:val="37753A04"/>
    <w:rsid w:val="37877610"/>
    <w:rsid w:val="37B9152E"/>
    <w:rsid w:val="37BA1D5F"/>
    <w:rsid w:val="37BC5AD7"/>
    <w:rsid w:val="37CD0323"/>
    <w:rsid w:val="37CE22F9"/>
    <w:rsid w:val="37DE5A4E"/>
    <w:rsid w:val="37E07593"/>
    <w:rsid w:val="37F025EB"/>
    <w:rsid w:val="380C4C17"/>
    <w:rsid w:val="38180A4E"/>
    <w:rsid w:val="38233460"/>
    <w:rsid w:val="38250D07"/>
    <w:rsid w:val="38257115"/>
    <w:rsid w:val="38260110"/>
    <w:rsid w:val="38787C50"/>
    <w:rsid w:val="387E2D8D"/>
    <w:rsid w:val="387F1408"/>
    <w:rsid w:val="388C2F20"/>
    <w:rsid w:val="38916622"/>
    <w:rsid w:val="38B12FCE"/>
    <w:rsid w:val="38BB22DD"/>
    <w:rsid w:val="38C4534A"/>
    <w:rsid w:val="38CF63FF"/>
    <w:rsid w:val="38D4676C"/>
    <w:rsid w:val="38E17B53"/>
    <w:rsid w:val="38F60B75"/>
    <w:rsid w:val="38F75E7F"/>
    <w:rsid w:val="391F2D48"/>
    <w:rsid w:val="3923425B"/>
    <w:rsid w:val="39385EC8"/>
    <w:rsid w:val="39477418"/>
    <w:rsid w:val="39516418"/>
    <w:rsid w:val="395D29A2"/>
    <w:rsid w:val="396106E4"/>
    <w:rsid w:val="396C7089"/>
    <w:rsid w:val="39711927"/>
    <w:rsid w:val="397C5051"/>
    <w:rsid w:val="397E765A"/>
    <w:rsid w:val="397F0B6A"/>
    <w:rsid w:val="3983332D"/>
    <w:rsid w:val="39A66CD4"/>
    <w:rsid w:val="3A1800E6"/>
    <w:rsid w:val="3A2D7602"/>
    <w:rsid w:val="3A3737D2"/>
    <w:rsid w:val="3A3C6A5B"/>
    <w:rsid w:val="3A4C5BB1"/>
    <w:rsid w:val="3A5E5646"/>
    <w:rsid w:val="3A643C22"/>
    <w:rsid w:val="3A6977E2"/>
    <w:rsid w:val="3A6C5593"/>
    <w:rsid w:val="3A6F6E31"/>
    <w:rsid w:val="3A737D8B"/>
    <w:rsid w:val="3A914FF9"/>
    <w:rsid w:val="3A9B5E78"/>
    <w:rsid w:val="3AB17449"/>
    <w:rsid w:val="3AC44953"/>
    <w:rsid w:val="3ACF10E3"/>
    <w:rsid w:val="3AD77B29"/>
    <w:rsid w:val="3AE74C19"/>
    <w:rsid w:val="3B1479D8"/>
    <w:rsid w:val="3B2F036E"/>
    <w:rsid w:val="3B4C7172"/>
    <w:rsid w:val="3B585B17"/>
    <w:rsid w:val="3B680794"/>
    <w:rsid w:val="3B731E54"/>
    <w:rsid w:val="3BAA478F"/>
    <w:rsid w:val="3BBD0EB9"/>
    <w:rsid w:val="3BE3445E"/>
    <w:rsid w:val="3C0E2AD8"/>
    <w:rsid w:val="3C1C6B44"/>
    <w:rsid w:val="3C271F92"/>
    <w:rsid w:val="3C357C06"/>
    <w:rsid w:val="3C402741"/>
    <w:rsid w:val="3C4816E7"/>
    <w:rsid w:val="3C83378D"/>
    <w:rsid w:val="3C853E5F"/>
    <w:rsid w:val="3C97237D"/>
    <w:rsid w:val="3CAE6DFF"/>
    <w:rsid w:val="3CBE5E4E"/>
    <w:rsid w:val="3CCE5275"/>
    <w:rsid w:val="3CD52CE1"/>
    <w:rsid w:val="3CDE029E"/>
    <w:rsid w:val="3CE04016"/>
    <w:rsid w:val="3CE8388C"/>
    <w:rsid w:val="3CF8483E"/>
    <w:rsid w:val="3CF86917"/>
    <w:rsid w:val="3CFE26EE"/>
    <w:rsid w:val="3D0735D2"/>
    <w:rsid w:val="3D332398"/>
    <w:rsid w:val="3D4E4DAD"/>
    <w:rsid w:val="3D897020"/>
    <w:rsid w:val="3D9077EA"/>
    <w:rsid w:val="3DAB6F09"/>
    <w:rsid w:val="3DD671C7"/>
    <w:rsid w:val="3DED69EA"/>
    <w:rsid w:val="3DF17B5D"/>
    <w:rsid w:val="3DFA2D04"/>
    <w:rsid w:val="3E0F2D47"/>
    <w:rsid w:val="3E155A6B"/>
    <w:rsid w:val="3E1F60EE"/>
    <w:rsid w:val="3E36696E"/>
    <w:rsid w:val="3E502BD0"/>
    <w:rsid w:val="3E54799D"/>
    <w:rsid w:val="3E641245"/>
    <w:rsid w:val="3E642150"/>
    <w:rsid w:val="3E64345F"/>
    <w:rsid w:val="3ECF4342"/>
    <w:rsid w:val="3EE37DED"/>
    <w:rsid w:val="3EF92E5D"/>
    <w:rsid w:val="3EFB7DD5"/>
    <w:rsid w:val="3EFF5CF2"/>
    <w:rsid w:val="3F033FEC"/>
    <w:rsid w:val="3F171317"/>
    <w:rsid w:val="3F2A0CC5"/>
    <w:rsid w:val="3F3A3C1D"/>
    <w:rsid w:val="3F4149A8"/>
    <w:rsid w:val="3F5B3E28"/>
    <w:rsid w:val="3F973A63"/>
    <w:rsid w:val="3F9F5A84"/>
    <w:rsid w:val="3FCC1D5F"/>
    <w:rsid w:val="3FD221AE"/>
    <w:rsid w:val="3FED574A"/>
    <w:rsid w:val="3FFA0CED"/>
    <w:rsid w:val="3FFF0C57"/>
    <w:rsid w:val="40086F94"/>
    <w:rsid w:val="40142058"/>
    <w:rsid w:val="40224945"/>
    <w:rsid w:val="403A133E"/>
    <w:rsid w:val="40592D05"/>
    <w:rsid w:val="405B2F04"/>
    <w:rsid w:val="405C6A14"/>
    <w:rsid w:val="40691C1C"/>
    <w:rsid w:val="40774C91"/>
    <w:rsid w:val="408D2573"/>
    <w:rsid w:val="409273D5"/>
    <w:rsid w:val="409C3DB1"/>
    <w:rsid w:val="40BE1B89"/>
    <w:rsid w:val="40C31C84"/>
    <w:rsid w:val="40C53716"/>
    <w:rsid w:val="40CA2F5A"/>
    <w:rsid w:val="40FE0F0E"/>
    <w:rsid w:val="410F2E6A"/>
    <w:rsid w:val="411E54DE"/>
    <w:rsid w:val="413E0EEF"/>
    <w:rsid w:val="414B67C3"/>
    <w:rsid w:val="41717932"/>
    <w:rsid w:val="41972FC5"/>
    <w:rsid w:val="419A077C"/>
    <w:rsid w:val="41B36A6E"/>
    <w:rsid w:val="41E96D65"/>
    <w:rsid w:val="41FF1F9A"/>
    <w:rsid w:val="420B3256"/>
    <w:rsid w:val="421E0FA9"/>
    <w:rsid w:val="421F0BD7"/>
    <w:rsid w:val="42310BA1"/>
    <w:rsid w:val="4276742F"/>
    <w:rsid w:val="4280191E"/>
    <w:rsid w:val="428D491F"/>
    <w:rsid w:val="42937435"/>
    <w:rsid w:val="429F227D"/>
    <w:rsid w:val="42A278C9"/>
    <w:rsid w:val="42A72EE0"/>
    <w:rsid w:val="42B9722A"/>
    <w:rsid w:val="42BF405B"/>
    <w:rsid w:val="42C43A92"/>
    <w:rsid w:val="42D12F45"/>
    <w:rsid w:val="42D56A46"/>
    <w:rsid w:val="42FE51F6"/>
    <w:rsid w:val="43056584"/>
    <w:rsid w:val="430B7913"/>
    <w:rsid w:val="430E697C"/>
    <w:rsid w:val="431A7008"/>
    <w:rsid w:val="431B040C"/>
    <w:rsid w:val="432F53AF"/>
    <w:rsid w:val="434E5551"/>
    <w:rsid w:val="436C229B"/>
    <w:rsid w:val="43856A69"/>
    <w:rsid w:val="438F7631"/>
    <w:rsid w:val="43972546"/>
    <w:rsid w:val="43A35D9D"/>
    <w:rsid w:val="43AA712C"/>
    <w:rsid w:val="43BD19B2"/>
    <w:rsid w:val="43C23958"/>
    <w:rsid w:val="43E77761"/>
    <w:rsid w:val="43FC0F93"/>
    <w:rsid w:val="442567B2"/>
    <w:rsid w:val="4430136C"/>
    <w:rsid w:val="44437E8F"/>
    <w:rsid w:val="444B2B75"/>
    <w:rsid w:val="44511355"/>
    <w:rsid w:val="44586B88"/>
    <w:rsid w:val="44733816"/>
    <w:rsid w:val="44743A58"/>
    <w:rsid w:val="447A3132"/>
    <w:rsid w:val="447E20A0"/>
    <w:rsid w:val="448A1134"/>
    <w:rsid w:val="44A57A74"/>
    <w:rsid w:val="44A65B45"/>
    <w:rsid w:val="44B51366"/>
    <w:rsid w:val="44C07373"/>
    <w:rsid w:val="44C30742"/>
    <w:rsid w:val="44E33A93"/>
    <w:rsid w:val="44FE14DD"/>
    <w:rsid w:val="45367649"/>
    <w:rsid w:val="45433394"/>
    <w:rsid w:val="4568104C"/>
    <w:rsid w:val="456B6447"/>
    <w:rsid w:val="457572C5"/>
    <w:rsid w:val="458614D2"/>
    <w:rsid w:val="4594110B"/>
    <w:rsid w:val="45B62C82"/>
    <w:rsid w:val="45C53DA9"/>
    <w:rsid w:val="45C70A1D"/>
    <w:rsid w:val="45CE43FE"/>
    <w:rsid w:val="45DC6F1D"/>
    <w:rsid w:val="45EC04E2"/>
    <w:rsid w:val="45F66982"/>
    <w:rsid w:val="46084096"/>
    <w:rsid w:val="46363119"/>
    <w:rsid w:val="464253F9"/>
    <w:rsid w:val="46431172"/>
    <w:rsid w:val="465F3B1D"/>
    <w:rsid w:val="466B4588"/>
    <w:rsid w:val="46826E58"/>
    <w:rsid w:val="468545C6"/>
    <w:rsid w:val="46955500"/>
    <w:rsid w:val="46CC67A2"/>
    <w:rsid w:val="46D02A05"/>
    <w:rsid w:val="46D16D7F"/>
    <w:rsid w:val="46EC39ED"/>
    <w:rsid w:val="47013507"/>
    <w:rsid w:val="4703773B"/>
    <w:rsid w:val="47057A66"/>
    <w:rsid w:val="47221549"/>
    <w:rsid w:val="47280AD2"/>
    <w:rsid w:val="47362DF8"/>
    <w:rsid w:val="47411B55"/>
    <w:rsid w:val="475E6263"/>
    <w:rsid w:val="475F1FDB"/>
    <w:rsid w:val="4760505D"/>
    <w:rsid w:val="476B58F6"/>
    <w:rsid w:val="478B2DD0"/>
    <w:rsid w:val="47B85339"/>
    <w:rsid w:val="47BC2492"/>
    <w:rsid w:val="47CA1B4A"/>
    <w:rsid w:val="47F72214"/>
    <w:rsid w:val="47FF401E"/>
    <w:rsid w:val="4812704D"/>
    <w:rsid w:val="481C5DD4"/>
    <w:rsid w:val="48260563"/>
    <w:rsid w:val="483B0352"/>
    <w:rsid w:val="48474F49"/>
    <w:rsid w:val="48475982"/>
    <w:rsid w:val="486024AF"/>
    <w:rsid w:val="48741AB6"/>
    <w:rsid w:val="489335B7"/>
    <w:rsid w:val="48A02014"/>
    <w:rsid w:val="48AD1802"/>
    <w:rsid w:val="48B71770"/>
    <w:rsid w:val="48C17067"/>
    <w:rsid w:val="48C60E8B"/>
    <w:rsid w:val="48CA1FE3"/>
    <w:rsid w:val="48D52555"/>
    <w:rsid w:val="48DF4792"/>
    <w:rsid w:val="48EB79DC"/>
    <w:rsid w:val="49080B7C"/>
    <w:rsid w:val="49515BD4"/>
    <w:rsid w:val="49581C7F"/>
    <w:rsid w:val="496E6198"/>
    <w:rsid w:val="497E52DD"/>
    <w:rsid w:val="499921B5"/>
    <w:rsid w:val="49A218D4"/>
    <w:rsid w:val="49A97993"/>
    <w:rsid w:val="49AF0AE3"/>
    <w:rsid w:val="49C10FF7"/>
    <w:rsid w:val="49C36851"/>
    <w:rsid w:val="49D722FD"/>
    <w:rsid w:val="49DC143D"/>
    <w:rsid w:val="49EC0E95"/>
    <w:rsid w:val="4A0A3097"/>
    <w:rsid w:val="4A0C3BD4"/>
    <w:rsid w:val="4A1F0491"/>
    <w:rsid w:val="4A201EF6"/>
    <w:rsid w:val="4A34525F"/>
    <w:rsid w:val="4A3604F6"/>
    <w:rsid w:val="4A496867"/>
    <w:rsid w:val="4A7C1AAC"/>
    <w:rsid w:val="4A875AD1"/>
    <w:rsid w:val="4A954692"/>
    <w:rsid w:val="4AAA5CD3"/>
    <w:rsid w:val="4AB0382B"/>
    <w:rsid w:val="4AB51ACD"/>
    <w:rsid w:val="4AC05646"/>
    <w:rsid w:val="4AC15D2C"/>
    <w:rsid w:val="4ACD1211"/>
    <w:rsid w:val="4ACF1226"/>
    <w:rsid w:val="4ADA15A1"/>
    <w:rsid w:val="4AF314C2"/>
    <w:rsid w:val="4AF84842"/>
    <w:rsid w:val="4B00252A"/>
    <w:rsid w:val="4B112C27"/>
    <w:rsid w:val="4B2B0B52"/>
    <w:rsid w:val="4B38326F"/>
    <w:rsid w:val="4B83098E"/>
    <w:rsid w:val="4B98061C"/>
    <w:rsid w:val="4B9E2DF2"/>
    <w:rsid w:val="4BB072A9"/>
    <w:rsid w:val="4BE331DB"/>
    <w:rsid w:val="4BE60F1D"/>
    <w:rsid w:val="4BF64AEA"/>
    <w:rsid w:val="4C013661"/>
    <w:rsid w:val="4C123AC0"/>
    <w:rsid w:val="4C147838"/>
    <w:rsid w:val="4C53074F"/>
    <w:rsid w:val="4C7327B1"/>
    <w:rsid w:val="4CA27482"/>
    <w:rsid w:val="4CA700EB"/>
    <w:rsid w:val="4CBD3A2C"/>
    <w:rsid w:val="4CCC571F"/>
    <w:rsid w:val="4CEC1CEC"/>
    <w:rsid w:val="4D27359B"/>
    <w:rsid w:val="4D40640B"/>
    <w:rsid w:val="4D4D5C21"/>
    <w:rsid w:val="4D880DE1"/>
    <w:rsid w:val="4DA70531"/>
    <w:rsid w:val="4DAD1CF2"/>
    <w:rsid w:val="4DDC7B15"/>
    <w:rsid w:val="4DF67525"/>
    <w:rsid w:val="4E0B54B4"/>
    <w:rsid w:val="4E3E78D7"/>
    <w:rsid w:val="4E503938"/>
    <w:rsid w:val="4E564138"/>
    <w:rsid w:val="4E65730F"/>
    <w:rsid w:val="4E755B89"/>
    <w:rsid w:val="4E8642F1"/>
    <w:rsid w:val="4E88547F"/>
    <w:rsid w:val="4EA053B3"/>
    <w:rsid w:val="4EAD471B"/>
    <w:rsid w:val="4EB46678"/>
    <w:rsid w:val="4EC1071A"/>
    <w:rsid w:val="4ED41501"/>
    <w:rsid w:val="4EF84D5E"/>
    <w:rsid w:val="4EFB714D"/>
    <w:rsid w:val="4F041DE6"/>
    <w:rsid w:val="4F043B94"/>
    <w:rsid w:val="4F10078B"/>
    <w:rsid w:val="4F622668"/>
    <w:rsid w:val="4F642884"/>
    <w:rsid w:val="4F7D56F4"/>
    <w:rsid w:val="4F952A3E"/>
    <w:rsid w:val="4FB56C3C"/>
    <w:rsid w:val="4FBB7FCB"/>
    <w:rsid w:val="4FF37764"/>
    <w:rsid w:val="4FFC0D0F"/>
    <w:rsid w:val="500D4CCA"/>
    <w:rsid w:val="502744E6"/>
    <w:rsid w:val="5032028D"/>
    <w:rsid w:val="50504B24"/>
    <w:rsid w:val="505C3E06"/>
    <w:rsid w:val="50653AAC"/>
    <w:rsid w:val="508A3130"/>
    <w:rsid w:val="50940F47"/>
    <w:rsid w:val="50974594"/>
    <w:rsid w:val="50A62A29"/>
    <w:rsid w:val="50B134F0"/>
    <w:rsid w:val="50B80FB3"/>
    <w:rsid w:val="51360251"/>
    <w:rsid w:val="513D65EF"/>
    <w:rsid w:val="51413CBC"/>
    <w:rsid w:val="51620B0E"/>
    <w:rsid w:val="516B5E1B"/>
    <w:rsid w:val="5182251A"/>
    <w:rsid w:val="518F2668"/>
    <w:rsid w:val="51A118EB"/>
    <w:rsid w:val="51A74CAA"/>
    <w:rsid w:val="51C57F9D"/>
    <w:rsid w:val="51CF46B5"/>
    <w:rsid w:val="51E55E79"/>
    <w:rsid w:val="51EB41DA"/>
    <w:rsid w:val="51FE415D"/>
    <w:rsid w:val="52011525"/>
    <w:rsid w:val="5203657F"/>
    <w:rsid w:val="52096DE9"/>
    <w:rsid w:val="521F0CE5"/>
    <w:rsid w:val="522307D5"/>
    <w:rsid w:val="52337674"/>
    <w:rsid w:val="52353417"/>
    <w:rsid w:val="52546BE0"/>
    <w:rsid w:val="52816F9E"/>
    <w:rsid w:val="528A0854"/>
    <w:rsid w:val="528A2602"/>
    <w:rsid w:val="5292278C"/>
    <w:rsid w:val="52A631B4"/>
    <w:rsid w:val="52CC5E4C"/>
    <w:rsid w:val="52CD0741"/>
    <w:rsid w:val="52E71802"/>
    <w:rsid w:val="52E952FD"/>
    <w:rsid w:val="52F9620C"/>
    <w:rsid w:val="5302663C"/>
    <w:rsid w:val="530442A8"/>
    <w:rsid w:val="53135A5B"/>
    <w:rsid w:val="53191BD8"/>
    <w:rsid w:val="533B38FC"/>
    <w:rsid w:val="53535C81"/>
    <w:rsid w:val="535844AE"/>
    <w:rsid w:val="5368236C"/>
    <w:rsid w:val="537137C2"/>
    <w:rsid w:val="53760EDA"/>
    <w:rsid w:val="53773725"/>
    <w:rsid w:val="53990623"/>
    <w:rsid w:val="539C1E69"/>
    <w:rsid w:val="53BA4411"/>
    <w:rsid w:val="53BA598E"/>
    <w:rsid w:val="53C11F14"/>
    <w:rsid w:val="53C9312C"/>
    <w:rsid w:val="53DF5F6C"/>
    <w:rsid w:val="5410247D"/>
    <w:rsid w:val="54171D02"/>
    <w:rsid w:val="54514E55"/>
    <w:rsid w:val="545275AC"/>
    <w:rsid w:val="546E2F20"/>
    <w:rsid w:val="5479292E"/>
    <w:rsid w:val="547A66A6"/>
    <w:rsid w:val="5483345D"/>
    <w:rsid w:val="5495703C"/>
    <w:rsid w:val="54B020C8"/>
    <w:rsid w:val="54D73C3B"/>
    <w:rsid w:val="54EA55DA"/>
    <w:rsid w:val="550963E9"/>
    <w:rsid w:val="55222FC6"/>
    <w:rsid w:val="554A4F09"/>
    <w:rsid w:val="556E0923"/>
    <w:rsid w:val="55760812"/>
    <w:rsid w:val="557833BF"/>
    <w:rsid w:val="558C6691"/>
    <w:rsid w:val="55982572"/>
    <w:rsid w:val="55992B5C"/>
    <w:rsid w:val="55A02B8C"/>
    <w:rsid w:val="55F011E1"/>
    <w:rsid w:val="562777A0"/>
    <w:rsid w:val="562831D9"/>
    <w:rsid w:val="56347BAE"/>
    <w:rsid w:val="5644397F"/>
    <w:rsid w:val="5663150D"/>
    <w:rsid w:val="567F2A46"/>
    <w:rsid w:val="56840005"/>
    <w:rsid w:val="569868B5"/>
    <w:rsid w:val="56D83A90"/>
    <w:rsid w:val="56DA4DF5"/>
    <w:rsid w:val="56FC7D0E"/>
    <w:rsid w:val="572101AE"/>
    <w:rsid w:val="57405985"/>
    <w:rsid w:val="574A11AC"/>
    <w:rsid w:val="57501873"/>
    <w:rsid w:val="575256B8"/>
    <w:rsid w:val="57550741"/>
    <w:rsid w:val="57667506"/>
    <w:rsid w:val="577459A2"/>
    <w:rsid w:val="578568D1"/>
    <w:rsid w:val="579C692E"/>
    <w:rsid w:val="57A6736D"/>
    <w:rsid w:val="57E02CC4"/>
    <w:rsid w:val="57E06EC7"/>
    <w:rsid w:val="57F549C2"/>
    <w:rsid w:val="580A40A5"/>
    <w:rsid w:val="583D1AFC"/>
    <w:rsid w:val="585F10C4"/>
    <w:rsid w:val="5862163C"/>
    <w:rsid w:val="58847AF3"/>
    <w:rsid w:val="588B0E82"/>
    <w:rsid w:val="589441CB"/>
    <w:rsid w:val="58A7150F"/>
    <w:rsid w:val="58A9755A"/>
    <w:rsid w:val="58B05F31"/>
    <w:rsid w:val="58C04846"/>
    <w:rsid w:val="58C54031"/>
    <w:rsid w:val="58CA75FA"/>
    <w:rsid w:val="58E80BF8"/>
    <w:rsid w:val="59275DC1"/>
    <w:rsid w:val="595C637A"/>
    <w:rsid w:val="59603819"/>
    <w:rsid w:val="59854791"/>
    <w:rsid w:val="59954201"/>
    <w:rsid w:val="59995821"/>
    <w:rsid w:val="59B353EB"/>
    <w:rsid w:val="59B85CA7"/>
    <w:rsid w:val="59BE653B"/>
    <w:rsid w:val="59C220B9"/>
    <w:rsid w:val="5A36306F"/>
    <w:rsid w:val="5A44578C"/>
    <w:rsid w:val="5A491E98"/>
    <w:rsid w:val="5A5B7912"/>
    <w:rsid w:val="5A647BDD"/>
    <w:rsid w:val="5A6F0D98"/>
    <w:rsid w:val="5A9C38BA"/>
    <w:rsid w:val="5AAC54A6"/>
    <w:rsid w:val="5ABF3065"/>
    <w:rsid w:val="5AE7565E"/>
    <w:rsid w:val="5B350A06"/>
    <w:rsid w:val="5B4041A6"/>
    <w:rsid w:val="5B494682"/>
    <w:rsid w:val="5B4F6FAF"/>
    <w:rsid w:val="5B635C82"/>
    <w:rsid w:val="5B7D5633"/>
    <w:rsid w:val="5B9529FF"/>
    <w:rsid w:val="5B9653F9"/>
    <w:rsid w:val="5BBD2A62"/>
    <w:rsid w:val="5BD0664E"/>
    <w:rsid w:val="5BD10247"/>
    <w:rsid w:val="5BDE7431"/>
    <w:rsid w:val="5BE67F37"/>
    <w:rsid w:val="5BF87EB2"/>
    <w:rsid w:val="5BFF156E"/>
    <w:rsid w:val="5C012D4D"/>
    <w:rsid w:val="5C06044D"/>
    <w:rsid w:val="5C086B20"/>
    <w:rsid w:val="5C180C7F"/>
    <w:rsid w:val="5C383BEE"/>
    <w:rsid w:val="5C6A0246"/>
    <w:rsid w:val="5C75167A"/>
    <w:rsid w:val="5CAB6356"/>
    <w:rsid w:val="5CB309A7"/>
    <w:rsid w:val="5CDC5254"/>
    <w:rsid w:val="5CF0708A"/>
    <w:rsid w:val="5CFC036E"/>
    <w:rsid w:val="5D053352"/>
    <w:rsid w:val="5D0C00B7"/>
    <w:rsid w:val="5D2B49E2"/>
    <w:rsid w:val="5D3271CE"/>
    <w:rsid w:val="5D3802A5"/>
    <w:rsid w:val="5D3E7524"/>
    <w:rsid w:val="5D49149F"/>
    <w:rsid w:val="5D6A46F2"/>
    <w:rsid w:val="5D777E5E"/>
    <w:rsid w:val="5D8365CC"/>
    <w:rsid w:val="5D8B36D2"/>
    <w:rsid w:val="5D8D2AF6"/>
    <w:rsid w:val="5DB52BC5"/>
    <w:rsid w:val="5DD87D80"/>
    <w:rsid w:val="5E0E2A29"/>
    <w:rsid w:val="5E331DA0"/>
    <w:rsid w:val="5E6957C1"/>
    <w:rsid w:val="5E6F0850"/>
    <w:rsid w:val="5E81387C"/>
    <w:rsid w:val="5E9778FF"/>
    <w:rsid w:val="5E9A0EE4"/>
    <w:rsid w:val="5EB822A5"/>
    <w:rsid w:val="5EBE499A"/>
    <w:rsid w:val="5EDA4C91"/>
    <w:rsid w:val="5EE30AF4"/>
    <w:rsid w:val="5EEC4A06"/>
    <w:rsid w:val="5EF93706"/>
    <w:rsid w:val="5EFE6427"/>
    <w:rsid w:val="5F0279C4"/>
    <w:rsid w:val="5F177884"/>
    <w:rsid w:val="5F3A5724"/>
    <w:rsid w:val="5F432B74"/>
    <w:rsid w:val="5F6333F4"/>
    <w:rsid w:val="5F6969CE"/>
    <w:rsid w:val="5F742670"/>
    <w:rsid w:val="5F7E11D0"/>
    <w:rsid w:val="5F7F4FE4"/>
    <w:rsid w:val="5F8C2CA8"/>
    <w:rsid w:val="5F9268A6"/>
    <w:rsid w:val="5F93497E"/>
    <w:rsid w:val="5FAC0D6D"/>
    <w:rsid w:val="5FB24DFC"/>
    <w:rsid w:val="5FBF151B"/>
    <w:rsid w:val="5FE1243E"/>
    <w:rsid w:val="5FEA46E0"/>
    <w:rsid w:val="5FEF1085"/>
    <w:rsid w:val="60144494"/>
    <w:rsid w:val="60255718"/>
    <w:rsid w:val="60491D30"/>
    <w:rsid w:val="608A7C71"/>
    <w:rsid w:val="608C1C3B"/>
    <w:rsid w:val="60996106"/>
    <w:rsid w:val="60A32CCD"/>
    <w:rsid w:val="60B9557F"/>
    <w:rsid w:val="60BE1C31"/>
    <w:rsid w:val="60DB3716"/>
    <w:rsid w:val="60E40127"/>
    <w:rsid w:val="60EA2718"/>
    <w:rsid w:val="61102D83"/>
    <w:rsid w:val="611F6817"/>
    <w:rsid w:val="613731AD"/>
    <w:rsid w:val="614E689C"/>
    <w:rsid w:val="61684843"/>
    <w:rsid w:val="618B50A5"/>
    <w:rsid w:val="619A3EE4"/>
    <w:rsid w:val="61B96970"/>
    <w:rsid w:val="61E0741D"/>
    <w:rsid w:val="61EB3C51"/>
    <w:rsid w:val="61F4351A"/>
    <w:rsid w:val="61F609D7"/>
    <w:rsid w:val="62126170"/>
    <w:rsid w:val="62383F10"/>
    <w:rsid w:val="62611379"/>
    <w:rsid w:val="627C475A"/>
    <w:rsid w:val="62812FC5"/>
    <w:rsid w:val="62DD677E"/>
    <w:rsid w:val="62DE329C"/>
    <w:rsid w:val="62EF74AE"/>
    <w:rsid w:val="62F47D01"/>
    <w:rsid w:val="6318492A"/>
    <w:rsid w:val="63400272"/>
    <w:rsid w:val="6352413C"/>
    <w:rsid w:val="63535B4C"/>
    <w:rsid w:val="63600F21"/>
    <w:rsid w:val="63676048"/>
    <w:rsid w:val="636F31DD"/>
    <w:rsid w:val="639130C5"/>
    <w:rsid w:val="63C96D02"/>
    <w:rsid w:val="63D17CE2"/>
    <w:rsid w:val="63D837DF"/>
    <w:rsid w:val="63E45DCE"/>
    <w:rsid w:val="63F21DB5"/>
    <w:rsid w:val="63F41FD1"/>
    <w:rsid w:val="64061D04"/>
    <w:rsid w:val="6408782B"/>
    <w:rsid w:val="641461CF"/>
    <w:rsid w:val="642D69C8"/>
    <w:rsid w:val="645E4F7F"/>
    <w:rsid w:val="646F69A6"/>
    <w:rsid w:val="6475454A"/>
    <w:rsid w:val="647C54E3"/>
    <w:rsid w:val="64931A70"/>
    <w:rsid w:val="649E1F3D"/>
    <w:rsid w:val="64CF1504"/>
    <w:rsid w:val="64DF5916"/>
    <w:rsid w:val="64E246AA"/>
    <w:rsid w:val="64ED07CF"/>
    <w:rsid w:val="64F373BB"/>
    <w:rsid w:val="652E6566"/>
    <w:rsid w:val="654A5C21"/>
    <w:rsid w:val="654C1D9B"/>
    <w:rsid w:val="65515201"/>
    <w:rsid w:val="656B62C3"/>
    <w:rsid w:val="658B0713"/>
    <w:rsid w:val="65902FD0"/>
    <w:rsid w:val="65B672AF"/>
    <w:rsid w:val="65DD6D0B"/>
    <w:rsid w:val="65E40EB7"/>
    <w:rsid w:val="65E75355"/>
    <w:rsid w:val="66171FA7"/>
    <w:rsid w:val="66243049"/>
    <w:rsid w:val="662D17CA"/>
    <w:rsid w:val="663012BB"/>
    <w:rsid w:val="66302208"/>
    <w:rsid w:val="663568D1"/>
    <w:rsid w:val="66520E8A"/>
    <w:rsid w:val="666A5022"/>
    <w:rsid w:val="66A979FF"/>
    <w:rsid w:val="66C10E9D"/>
    <w:rsid w:val="66C130A1"/>
    <w:rsid w:val="66CA1754"/>
    <w:rsid w:val="66CE51DB"/>
    <w:rsid w:val="66D00475"/>
    <w:rsid w:val="66E520A5"/>
    <w:rsid w:val="66EF4CD2"/>
    <w:rsid w:val="671762BF"/>
    <w:rsid w:val="6749559D"/>
    <w:rsid w:val="67555A5D"/>
    <w:rsid w:val="67642630"/>
    <w:rsid w:val="67957627"/>
    <w:rsid w:val="67B61002"/>
    <w:rsid w:val="67E80C7C"/>
    <w:rsid w:val="67FC36B1"/>
    <w:rsid w:val="68096E71"/>
    <w:rsid w:val="680B1C30"/>
    <w:rsid w:val="683A3D2B"/>
    <w:rsid w:val="68437083"/>
    <w:rsid w:val="685A2E7F"/>
    <w:rsid w:val="686F60CA"/>
    <w:rsid w:val="688E79E8"/>
    <w:rsid w:val="68D720AA"/>
    <w:rsid w:val="68D81B34"/>
    <w:rsid w:val="68E720A5"/>
    <w:rsid w:val="69034E29"/>
    <w:rsid w:val="691E364C"/>
    <w:rsid w:val="695A3ECF"/>
    <w:rsid w:val="69763488"/>
    <w:rsid w:val="69797527"/>
    <w:rsid w:val="697D63B9"/>
    <w:rsid w:val="699E381F"/>
    <w:rsid w:val="69A41A0A"/>
    <w:rsid w:val="69A9560C"/>
    <w:rsid w:val="69B014EB"/>
    <w:rsid w:val="69C36D6E"/>
    <w:rsid w:val="69C51D1A"/>
    <w:rsid w:val="69DF0952"/>
    <w:rsid w:val="6A086F97"/>
    <w:rsid w:val="6A1108F3"/>
    <w:rsid w:val="6A1473BF"/>
    <w:rsid w:val="6A37672D"/>
    <w:rsid w:val="6A531ADF"/>
    <w:rsid w:val="6A554E4C"/>
    <w:rsid w:val="6A575068"/>
    <w:rsid w:val="6A5A72F3"/>
    <w:rsid w:val="6A7454C3"/>
    <w:rsid w:val="6AAF0E18"/>
    <w:rsid w:val="6AB26742"/>
    <w:rsid w:val="6AB37DC4"/>
    <w:rsid w:val="6AD3064D"/>
    <w:rsid w:val="6AD67AF9"/>
    <w:rsid w:val="6AD84482"/>
    <w:rsid w:val="6AE36D75"/>
    <w:rsid w:val="6B2A119A"/>
    <w:rsid w:val="6B2C5E54"/>
    <w:rsid w:val="6B382C68"/>
    <w:rsid w:val="6B4A697B"/>
    <w:rsid w:val="6B6B642F"/>
    <w:rsid w:val="6B8117D9"/>
    <w:rsid w:val="6B8579B3"/>
    <w:rsid w:val="6BC32EE8"/>
    <w:rsid w:val="6BC524A5"/>
    <w:rsid w:val="6BD12BB7"/>
    <w:rsid w:val="6BE54432"/>
    <w:rsid w:val="6C0F681D"/>
    <w:rsid w:val="6C286B97"/>
    <w:rsid w:val="6C2B23A1"/>
    <w:rsid w:val="6C465394"/>
    <w:rsid w:val="6C5C5A57"/>
    <w:rsid w:val="6C8D31CC"/>
    <w:rsid w:val="6CAE2F39"/>
    <w:rsid w:val="6CC206EE"/>
    <w:rsid w:val="6CC216A8"/>
    <w:rsid w:val="6CED3A62"/>
    <w:rsid w:val="6D5A1C5F"/>
    <w:rsid w:val="6D6D2ADE"/>
    <w:rsid w:val="6D74344C"/>
    <w:rsid w:val="6D7E26B7"/>
    <w:rsid w:val="6D8223FC"/>
    <w:rsid w:val="6D9D3732"/>
    <w:rsid w:val="6DDB6E3B"/>
    <w:rsid w:val="6DE71817"/>
    <w:rsid w:val="6DEC0A16"/>
    <w:rsid w:val="6E176931"/>
    <w:rsid w:val="6E231C0A"/>
    <w:rsid w:val="6E3B4203"/>
    <w:rsid w:val="6E405E13"/>
    <w:rsid w:val="6E410C1E"/>
    <w:rsid w:val="6E470F4F"/>
    <w:rsid w:val="6E551418"/>
    <w:rsid w:val="6E573888"/>
    <w:rsid w:val="6E7B7FE4"/>
    <w:rsid w:val="6E7C509D"/>
    <w:rsid w:val="6E8C439E"/>
    <w:rsid w:val="6E905E02"/>
    <w:rsid w:val="6EA622DE"/>
    <w:rsid w:val="6EB80B6A"/>
    <w:rsid w:val="6ECA2060"/>
    <w:rsid w:val="6EE54DBD"/>
    <w:rsid w:val="6EEB10E9"/>
    <w:rsid w:val="6EF727C3"/>
    <w:rsid w:val="6F054061"/>
    <w:rsid w:val="6F1E1540"/>
    <w:rsid w:val="6F1E65D4"/>
    <w:rsid w:val="6F266C86"/>
    <w:rsid w:val="6F3D3975"/>
    <w:rsid w:val="6F5042C2"/>
    <w:rsid w:val="6F5E0B5E"/>
    <w:rsid w:val="6F8C015F"/>
    <w:rsid w:val="6F8E53E2"/>
    <w:rsid w:val="6F9E54E7"/>
    <w:rsid w:val="6FAC1A83"/>
    <w:rsid w:val="6FB62831"/>
    <w:rsid w:val="6FB6774A"/>
    <w:rsid w:val="6FB811B9"/>
    <w:rsid w:val="6FC36B2F"/>
    <w:rsid w:val="6FCE6277"/>
    <w:rsid w:val="6FE335C7"/>
    <w:rsid w:val="6FEC1F55"/>
    <w:rsid w:val="6FF9096F"/>
    <w:rsid w:val="6FFB6495"/>
    <w:rsid w:val="6FFD220E"/>
    <w:rsid w:val="700115CD"/>
    <w:rsid w:val="701F03D6"/>
    <w:rsid w:val="701F452A"/>
    <w:rsid w:val="7032365D"/>
    <w:rsid w:val="703A1DC5"/>
    <w:rsid w:val="703B01F5"/>
    <w:rsid w:val="703C4D68"/>
    <w:rsid w:val="70467D61"/>
    <w:rsid w:val="704716DB"/>
    <w:rsid w:val="706411C2"/>
    <w:rsid w:val="707D4D55"/>
    <w:rsid w:val="708609E1"/>
    <w:rsid w:val="708A390D"/>
    <w:rsid w:val="70BA2518"/>
    <w:rsid w:val="70E4517B"/>
    <w:rsid w:val="70F900D9"/>
    <w:rsid w:val="710A6D12"/>
    <w:rsid w:val="71101AF5"/>
    <w:rsid w:val="71185D76"/>
    <w:rsid w:val="713C6FCC"/>
    <w:rsid w:val="715B3690"/>
    <w:rsid w:val="718801FD"/>
    <w:rsid w:val="71987004"/>
    <w:rsid w:val="719F0989"/>
    <w:rsid w:val="71A14E1B"/>
    <w:rsid w:val="71AB2962"/>
    <w:rsid w:val="71B96608"/>
    <w:rsid w:val="71DB657E"/>
    <w:rsid w:val="720141FF"/>
    <w:rsid w:val="724564CB"/>
    <w:rsid w:val="72473C14"/>
    <w:rsid w:val="724F0D1A"/>
    <w:rsid w:val="729A746D"/>
    <w:rsid w:val="729F6337"/>
    <w:rsid w:val="72AD5D80"/>
    <w:rsid w:val="72B47877"/>
    <w:rsid w:val="72B844D3"/>
    <w:rsid w:val="72CF5BB3"/>
    <w:rsid w:val="72D91039"/>
    <w:rsid w:val="72E56902"/>
    <w:rsid w:val="730E3E44"/>
    <w:rsid w:val="73117FA8"/>
    <w:rsid w:val="734F6035"/>
    <w:rsid w:val="735010F1"/>
    <w:rsid w:val="735E1215"/>
    <w:rsid w:val="736142BB"/>
    <w:rsid w:val="73842D8A"/>
    <w:rsid w:val="73905DAB"/>
    <w:rsid w:val="7395154F"/>
    <w:rsid w:val="73981534"/>
    <w:rsid w:val="73A330CC"/>
    <w:rsid w:val="73B452D9"/>
    <w:rsid w:val="73D11F92"/>
    <w:rsid w:val="73EE7862"/>
    <w:rsid w:val="73F463DF"/>
    <w:rsid w:val="73F75C90"/>
    <w:rsid w:val="73FE6191"/>
    <w:rsid w:val="740623E2"/>
    <w:rsid w:val="74063D7B"/>
    <w:rsid w:val="740D49E9"/>
    <w:rsid w:val="74316312"/>
    <w:rsid w:val="7438266E"/>
    <w:rsid w:val="744228E5"/>
    <w:rsid w:val="74446B7C"/>
    <w:rsid w:val="744B5972"/>
    <w:rsid w:val="749B4181"/>
    <w:rsid w:val="74A94712"/>
    <w:rsid w:val="75223783"/>
    <w:rsid w:val="75396B55"/>
    <w:rsid w:val="75750A98"/>
    <w:rsid w:val="75A15EFB"/>
    <w:rsid w:val="75B86E09"/>
    <w:rsid w:val="75C14178"/>
    <w:rsid w:val="75C17839"/>
    <w:rsid w:val="75C8506C"/>
    <w:rsid w:val="75DD0380"/>
    <w:rsid w:val="75EB0D5A"/>
    <w:rsid w:val="76041BD9"/>
    <w:rsid w:val="762F5542"/>
    <w:rsid w:val="76633F34"/>
    <w:rsid w:val="76670CF9"/>
    <w:rsid w:val="766A1C7F"/>
    <w:rsid w:val="7672092F"/>
    <w:rsid w:val="768B0430"/>
    <w:rsid w:val="7699266A"/>
    <w:rsid w:val="76A92F96"/>
    <w:rsid w:val="76A975CA"/>
    <w:rsid w:val="76A97B76"/>
    <w:rsid w:val="76F15AD0"/>
    <w:rsid w:val="76FD408F"/>
    <w:rsid w:val="77260421"/>
    <w:rsid w:val="773329B9"/>
    <w:rsid w:val="773D3837"/>
    <w:rsid w:val="7751321D"/>
    <w:rsid w:val="77535974"/>
    <w:rsid w:val="775A4920"/>
    <w:rsid w:val="777B3C70"/>
    <w:rsid w:val="777E0D0B"/>
    <w:rsid w:val="779C1A04"/>
    <w:rsid w:val="77A45525"/>
    <w:rsid w:val="77B03877"/>
    <w:rsid w:val="77BA6C36"/>
    <w:rsid w:val="77CD2343"/>
    <w:rsid w:val="77DA2E34"/>
    <w:rsid w:val="77F0695C"/>
    <w:rsid w:val="78000AED"/>
    <w:rsid w:val="780F13C8"/>
    <w:rsid w:val="782B3690"/>
    <w:rsid w:val="783116A8"/>
    <w:rsid w:val="78324A1E"/>
    <w:rsid w:val="785901FD"/>
    <w:rsid w:val="787D049A"/>
    <w:rsid w:val="78942455"/>
    <w:rsid w:val="7897453D"/>
    <w:rsid w:val="78A64753"/>
    <w:rsid w:val="78AD22F7"/>
    <w:rsid w:val="78B55F57"/>
    <w:rsid w:val="78E308E6"/>
    <w:rsid w:val="78FB7B2D"/>
    <w:rsid w:val="79297BCF"/>
    <w:rsid w:val="79363B9C"/>
    <w:rsid w:val="793B3DA7"/>
    <w:rsid w:val="79425135"/>
    <w:rsid w:val="795E1CAB"/>
    <w:rsid w:val="796C58DE"/>
    <w:rsid w:val="79725A1A"/>
    <w:rsid w:val="797B6041"/>
    <w:rsid w:val="798706CD"/>
    <w:rsid w:val="79A2114A"/>
    <w:rsid w:val="79C62081"/>
    <w:rsid w:val="79EB0CB3"/>
    <w:rsid w:val="79F212F4"/>
    <w:rsid w:val="79F4776B"/>
    <w:rsid w:val="79FA1B3E"/>
    <w:rsid w:val="79FD0865"/>
    <w:rsid w:val="7A044199"/>
    <w:rsid w:val="7A111B75"/>
    <w:rsid w:val="7A432F13"/>
    <w:rsid w:val="7A6666B0"/>
    <w:rsid w:val="7A9279F6"/>
    <w:rsid w:val="7AA36868"/>
    <w:rsid w:val="7AA63D37"/>
    <w:rsid w:val="7AAC2199"/>
    <w:rsid w:val="7AC94D0C"/>
    <w:rsid w:val="7AD856F0"/>
    <w:rsid w:val="7AD93877"/>
    <w:rsid w:val="7AE94F97"/>
    <w:rsid w:val="7AF16682"/>
    <w:rsid w:val="7B147652"/>
    <w:rsid w:val="7B15568F"/>
    <w:rsid w:val="7B184BC5"/>
    <w:rsid w:val="7B200A29"/>
    <w:rsid w:val="7B305D8F"/>
    <w:rsid w:val="7B3E75BC"/>
    <w:rsid w:val="7B713AB0"/>
    <w:rsid w:val="7B76071A"/>
    <w:rsid w:val="7B86755B"/>
    <w:rsid w:val="7BAB2387"/>
    <w:rsid w:val="7BDE0A0C"/>
    <w:rsid w:val="7BE10C35"/>
    <w:rsid w:val="7BFC76FD"/>
    <w:rsid w:val="7C042CA1"/>
    <w:rsid w:val="7C0B6643"/>
    <w:rsid w:val="7C1E487D"/>
    <w:rsid w:val="7C266E26"/>
    <w:rsid w:val="7C276E27"/>
    <w:rsid w:val="7C2838FC"/>
    <w:rsid w:val="7C385448"/>
    <w:rsid w:val="7C3A0345"/>
    <w:rsid w:val="7C5835DA"/>
    <w:rsid w:val="7C635CB1"/>
    <w:rsid w:val="7C685F5C"/>
    <w:rsid w:val="7C7E26E8"/>
    <w:rsid w:val="7C9A0E6D"/>
    <w:rsid w:val="7CA659DB"/>
    <w:rsid w:val="7CB3663D"/>
    <w:rsid w:val="7CB62F58"/>
    <w:rsid w:val="7CBE0F77"/>
    <w:rsid w:val="7CCC3693"/>
    <w:rsid w:val="7CCC5441"/>
    <w:rsid w:val="7CF130FA"/>
    <w:rsid w:val="7D131D44"/>
    <w:rsid w:val="7D220D5B"/>
    <w:rsid w:val="7D230DDA"/>
    <w:rsid w:val="7D27592E"/>
    <w:rsid w:val="7D4D29F0"/>
    <w:rsid w:val="7D540882"/>
    <w:rsid w:val="7D7C1880"/>
    <w:rsid w:val="7D835BA3"/>
    <w:rsid w:val="7D9212F9"/>
    <w:rsid w:val="7D987618"/>
    <w:rsid w:val="7DA0067C"/>
    <w:rsid w:val="7DCA4D96"/>
    <w:rsid w:val="7DCE51E9"/>
    <w:rsid w:val="7DDA2983"/>
    <w:rsid w:val="7DF804B8"/>
    <w:rsid w:val="7E127BB9"/>
    <w:rsid w:val="7E133488"/>
    <w:rsid w:val="7E6C341A"/>
    <w:rsid w:val="7E7E5C9E"/>
    <w:rsid w:val="7E810220"/>
    <w:rsid w:val="7E8E4DD4"/>
    <w:rsid w:val="7E9A2B15"/>
    <w:rsid w:val="7EC60F44"/>
    <w:rsid w:val="7ECE0E29"/>
    <w:rsid w:val="7ED71E7C"/>
    <w:rsid w:val="7EDE0F62"/>
    <w:rsid w:val="7F0F1615"/>
    <w:rsid w:val="7F3A16E7"/>
    <w:rsid w:val="7F4A1A7B"/>
    <w:rsid w:val="7F826257"/>
    <w:rsid w:val="7F8E2E82"/>
    <w:rsid w:val="7F9D2987"/>
    <w:rsid w:val="7FB0104A"/>
    <w:rsid w:val="7FB83A5B"/>
    <w:rsid w:val="7FBE4413"/>
    <w:rsid w:val="7FFF5B2E"/>
    <w:rsid w:val="BFCF8B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semiHidden/>
    <w:qFormat/>
    <w:uiPriority w:val="99"/>
    <w:rPr>
      <w:sz w:val="18"/>
      <w:szCs w:val="18"/>
    </w:rPr>
  </w:style>
  <w:style w:type="character" w:customStyle="1" w:styleId="9">
    <w:name w:val="页脚 字符"/>
    <w:basedOn w:val="7"/>
    <w:link w:val="3"/>
    <w:semiHidden/>
    <w:qFormat/>
    <w:uiPriority w:val="99"/>
    <w:rPr>
      <w:sz w:val="18"/>
      <w:szCs w:val="18"/>
    </w:rPr>
  </w:style>
  <w:style w:type="character" w:customStyle="1" w:styleId="10">
    <w:name w:val="批注框文本 字符"/>
    <w:basedOn w:val="7"/>
    <w:link w:val="2"/>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5309</Words>
  <Characters>5575</Characters>
  <Lines>929</Lines>
  <Paragraphs>572</Paragraphs>
  <TotalTime>0</TotalTime>
  <ScaleCrop>false</ScaleCrop>
  <LinksUpToDate>false</LinksUpToDate>
  <CharactersWithSpaces>10312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2016-12-19T23:34:00Z</dcterms:created>
  <dc:creator>juvg</dc:creator>
  <cp:lastModifiedBy>郭永洪</cp:lastModifiedBy>
  <dcterms:modified xsi:type="dcterms:W3CDTF">2024-03-08T03:58:01Z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CEE73A5348C3483691EBA43B888C1ABC_13</vt:lpwstr>
  </property>
  <property fmtid="{D5CDD505-2E9C-101B-9397-08002B2CF9AE}" pid="4" name="GrammarlyDocumentId">
    <vt:lpwstr>822f6b400212288cefd607cd75a86d248167df271c351d578e08d416c30141d6</vt:lpwstr>
  </property>
</Properties>
</file>