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5B230">
      <w:pPr>
        <w:jc w:val="center"/>
        <w:rPr>
          <w:rFonts w:hint="eastAsia" w:ascii="黑体" w:hAnsi="黑体" w:eastAsia="黑体"/>
          <w:bCs/>
          <w:sz w:val="32"/>
          <w:szCs w:val="32"/>
        </w:rPr>
      </w:pPr>
      <w:r>
        <w:rPr>
          <w:rFonts w:hint="eastAsia" w:ascii="黑体" w:hAnsi="黑体" w:eastAsia="黑体"/>
          <w:bCs/>
          <w:sz w:val="32"/>
          <w:szCs w:val="32"/>
        </w:rPr>
        <w:t>《老年医学》本科课程教学大纲</w:t>
      </w:r>
    </w:p>
    <w:p w14:paraId="0C21D859">
      <w:pPr>
        <w:pStyle w:val="18"/>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D7C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97579F2">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AD3E172">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老年医学</w:t>
            </w:r>
          </w:p>
        </w:tc>
      </w:tr>
      <w:tr w14:paraId="0239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A32975B">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E53BF2">
            <w:pPr>
              <w:widowControl w:val="0"/>
              <w:jc w:val="left"/>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Geriatric Medicine</w:t>
            </w:r>
          </w:p>
        </w:tc>
      </w:tr>
      <w:tr w14:paraId="733D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ACD155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8B7A75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2170030</w:t>
            </w:r>
          </w:p>
        </w:tc>
        <w:tc>
          <w:tcPr>
            <w:tcW w:w="2126" w:type="dxa"/>
            <w:gridSpan w:val="2"/>
            <w:vAlign w:val="center"/>
          </w:tcPr>
          <w:p w14:paraId="289B4FCE">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9516933">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21E3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3402A51">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FA42749">
            <w:pPr>
              <w:widowControl w:val="0"/>
              <w:jc w:val="center"/>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vAlign w:val="center"/>
          </w:tcPr>
          <w:p w14:paraId="07840EC3">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037106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0B7D16CA">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8DFEF11">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5B65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476C6F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7BBC58C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03A7DDF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225B389">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健康服务与管理/大二</w:t>
            </w:r>
          </w:p>
        </w:tc>
      </w:tr>
      <w:tr w14:paraId="5CF5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399A03">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FD6440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6" w:type="dxa"/>
            <w:gridSpan w:val="2"/>
            <w:vAlign w:val="center"/>
          </w:tcPr>
          <w:p w14:paraId="19FC795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5C7CC4F">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5232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908A61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BD8C4FB">
            <w:pPr>
              <w:widowControl w:val="0"/>
              <w:jc w:val="left"/>
              <w:rPr>
                <w:rFonts w:hint="eastAsia"/>
                <w:color w:val="000000"/>
                <w:sz w:val="20"/>
                <w:szCs w:val="20"/>
              </w:rPr>
            </w:pPr>
            <w:r>
              <w:rPr>
                <w:rFonts w:hint="eastAsia"/>
                <w:color w:val="000000"/>
                <w:sz w:val="20"/>
                <w:szCs w:val="20"/>
              </w:rPr>
              <w:t>《老年医学》，于普林，ISBN9787117346863</w:t>
            </w:r>
          </w:p>
          <w:p w14:paraId="060997FF">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0"/>
                <w:szCs w:val="20"/>
              </w:rPr>
              <w:t>，人民卫生出版社，第2</w:t>
            </w:r>
            <w:r>
              <w:rPr>
                <w:color w:val="000000"/>
                <w:sz w:val="20"/>
                <w:szCs w:val="20"/>
              </w:rPr>
              <w:t>版</w:t>
            </w:r>
          </w:p>
        </w:tc>
        <w:tc>
          <w:tcPr>
            <w:tcW w:w="1413" w:type="dxa"/>
            <w:gridSpan w:val="2"/>
            <w:vAlign w:val="center"/>
          </w:tcPr>
          <w:p w14:paraId="3918B7B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44C325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A34AF36">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23A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43" w:hRule="atLeast"/>
        </w:trPr>
        <w:tc>
          <w:tcPr>
            <w:tcW w:w="1691" w:type="dxa"/>
            <w:tcBorders>
              <w:left w:val="single" w:color="auto" w:sz="12" w:space="0"/>
            </w:tcBorders>
            <w:shd w:val="clear" w:color="auto" w:fill="auto"/>
            <w:vAlign w:val="center"/>
          </w:tcPr>
          <w:p w14:paraId="7C854F6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143D479">
            <w:pPr>
              <w:pStyle w:val="16"/>
              <w:jc w:val="both"/>
            </w:pPr>
            <w:r>
              <w:rPr>
                <w:rFonts w:hint="eastAsia"/>
              </w:rPr>
              <w:t>正常人体结构学</w:t>
            </w:r>
            <w:r>
              <w:t>2170080</w:t>
            </w:r>
            <w:r>
              <w:rPr>
                <w:rFonts w:hint="eastAsia"/>
              </w:rPr>
              <w:t>（</w:t>
            </w:r>
            <w:r>
              <w:t>3</w:t>
            </w:r>
            <w:r>
              <w:rPr>
                <w:rFonts w:hint="eastAsia"/>
              </w:rPr>
              <w:t>），临床医学概论 2170006（4）</w:t>
            </w:r>
          </w:p>
        </w:tc>
      </w:tr>
      <w:tr w14:paraId="214C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86" w:hRule="atLeast"/>
        </w:trPr>
        <w:tc>
          <w:tcPr>
            <w:tcW w:w="1691" w:type="dxa"/>
            <w:tcBorders>
              <w:left w:val="single" w:color="auto" w:sz="12" w:space="0"/>
            </w:tcBorders>
            <w:shd w:val="clear" w:color="auto" w:fill="auto"/>
            <w:vAlign w:val="center"/>
          </w:tcPr>
          <w:p w14:paraId="68A2B2C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4B05D38">
            <w:pPr>
              <w:widowControl w:val="0"/>
              <w:snapToGrid w:val="0"/>
              <w:spacing w:line="288" w:lineRule="auto"/>
              <w:ind w:firstLine="420" w:firstLineChars="200"/>
              <w:jc w:val="both"/>
              <w:rPr>
                <w:rFonts w:hint="eastAsia"/>
                <w:color w:val="000000"/>
                <w:sz w:val="21"/>
                <w:szCs w:val="21"/>
              </w:rPr>
            </w:pPr>
            <w:r>
              <w:rPr>
                <w:rFonts w:hint="eastAsia"/>
                <w:color w:val="000000"/>
                <w:sz w:val="21"/>
                <w:szCs w:val="21"/>
              </w:rPr>
              <w:t>老年医学(geriatrics)是医学的一个分支,它是研究人类衰老的机制,人体老年性变化，老年病的防治以及老年人卫生与保健的科学;是医学涉及有关老年人疾病的预防、临床诊断和治疗、康复、照护、心理及社会等方面的问题分支的一门新兴的、综合性的学科。</w:t>
            </w:r>
          </w:p>
          <w:p w14:paraId="3CF515A5">
            <w:pPr>
              <w:widowControl w:val="0"/>
              <w:snapToGrid w:val="0"/>
              <w:spacing w:line="288" w:lineRule="auto"/>
              <w:ind w:firstLine="420" w:firstLineChars="200"/>
              <w:jc w:val="both"/>
              <w:rPr>
                <w:rFonts w:hint="eastAsia"/>
              </w:rPr>
            </w:pPr>
            <w:r>
              <w:rPr>
                <w:rFonts w:hint="eastAsia"/>
                <w:color w:val="000000"/>
                <w:sz w:val="21"/>
                <w:szCs w:val="21"/>
              </w:rPr>
              <w:t>本课程针对我国面临的老龄化社会现状与挑战，突出老年人和老年病特点，系统阐述了老年人常见病，多发病的诊断特点和防治要点，同时还介绍了老年人区别于非老年人的特殊性和老年人普遍存在的共性问题。重点介绍老年人生理心理变化、老年综合征与老年综合评估技术、老年合理用药、老年常见疾病的特点、老年人营养管理、衰弱与肌少症、老年人围手术期管理、缓和医疗、老年肿瘤的综合治疗、老年微生态等内容，富有老年医学的鲜明特色。课程引导从更高的层面看待老年医学面临的种种问题，着力培养分析问题、解决问题的能力，为培养德才兼备、老年医学工作者和老年卫生工作决策和管理者的一门有价值的学习课程。</w:t>
            </w:r>
          </w:p>
        </w:tc>
      </w:tr>
      <w:tr w14:paraId="5EE5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bottom w:val="double" w:color="auto" w:sz="4" w:space="0"/>
            </w:tcBorders>
            <w:shd w:val="clear" w:color="auto" w:fill="auto"/>
            <w:vAlign w:val="center"/>
          </w:tcPr>
          <w:p w14:paraId="02ABB8AE">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0D88EA8">
            <w:pPr>
              <w:widowControl w:val="0"/>
              <w:snapToGrid w:val="0"/>
              <w:spacing w:line="288" w:lineRule="auto"/>
              <w:ind w:firstLine="400" w:firstLineChars="200"/>
              <w:jc w:val="both"/>
              <w:rPr>
                <w:rFonts w:hint="eastAsia"/>
              </w:rPr>
            </w:pPr>
            <w:r>
              <w:rPr>
                <w:rFonts w:hint="eastAsia"/>
                <w:color w:val="000000"/>
                <w:sz w:val="20"/>
                <w:szCs w:val="20"/>
              </w:rPr>
              <w:t>该课程适合于健康服务与管理专业高年级学生，学生需要对医学基础、公共卫生、疾病和健康管理学有一定的认识，并初步具有一定的职业情感。</w:t>
            </w:r>
          </w:p>
        </w:tc>
      </w:tr>
      <w:tr w14:paraId="12E3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2" w:hRule="atLeast"/>
        </w:trPr>
        <w:tc>
          <w:tcPr>
            <w:tcW w:w="1691" w:type="dxa"/>
            <w:tcBorders>
              <w:top w:val="double" w:color="auto" w:sz="4" w:space="0"/>
              <w:left w:val="single" w:color="auto" w:sz="12" w:space="0"/>
            </w:tcBorders>
            <w:shd w:val="clear" w:color="auto" w:fill="auto"/>
            <w:vAlign w:val="center"/>
          </w:tcPr>
          <w:p w14:paraId="2384A77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31941F2">
            <w:pPr>
              <w:widowControl w:val="0"/>
              <w:jc w:val="lef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1078230" cy="316865"/>
                  <wp:effectExtent l="0" t="0" r="0" b="6350"/>
                  <wp:docPr id="1" name="图片 1" descr="微信图片_2025030712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307123308"/>
                          <pic:cNvPicPr>
                            <a:picLocks noChangeAspect="1"/>
                          </pic:cNvPicPr>
                        </pic:nvPicPr>
                        <pic:blipFill>
                          <a:blip r:embed="rId5"/>
                          <a:stretch>
                            <a:fillRect/>
                          </a:stretch>
                        </pic:blipFill>
                        <pic:spPr>
                          <a:xfrm>
                            <a:off x="0" y="0"/>
                            <a:ext cx="1078230" cy="316865"/>
                          </a:xfrm>
                          <a:prstGeom prst="rect">
                            <a:avLst/>
                          </a:prstGeom>
                        </pic:spPr>
                      </pic:pic>
                    </a:graphicData>
                  </a:graphic>
                </wp:inline>
              </w:drawing>
            </w:r>
          </w:p>
        </w:tc>
        <w:tc>
          <w:tcPr>
            <w:tcW w:w="1425" w:type="dxa"/>
            <w:gridSpan w:val="2"/>
            <w:tcBorders>
              <w:top w:val="double" w:color="auto" w:sz="4" w:space="0"/>
            </w:tcBorders>
            <w:vAlign w:val="center"/>
          </w:tcPr>
          <w:p w14:paraId="6B039FDA">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5185E3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w:t>
            </w:r>
            <w:r>
              <w:rPr>
                <w:rFonts w:ascii="Times New Roman" w:hAnsi="Times New Roman"/>
                <w:color w:val="000000"/>
                <w:sz w:val="21"/>
                <w:szCs w:val="21"/>
              </w:rPr>
              <w:t>5</w:t>
            </w:r>
            <w:r>
              <w:rPr>
                <w:rFonts w:hint="eastAsia" w:ascii="Times New Roman" w:hAnsi="Times New Roman"/>
                <w:color w:val="000000"/>
                <w:sz w:val="21"/>
                <w:szCs w:val="21"/>
                <w:lang w:val="en-US" w:eastAsia="zh-CN"/>
              </w:rPr>
              <w:t>.2.17</w:t>
            </w:r>
          </w:p>
        </w:tc>
      </w:tr>
      <w:tr w14:paraId="16CA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038107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1DBD1AF">
            <w:pPr>
              <w:widowControl w:val="0"/>
              <w:jc w:val="both"/>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744855" cy="331470"/>
                  <wp:effectExtent l="0" t="0" r="17145" b="11430"/>
                  <wp:docPr id="5" name="图片 5" descr="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姚"/>
                          <pic:cNvPicPr>
                            <a:picLocks noChangeAspect="1"/>
                          </pic:cNvPicPr>
                        </pic:nvPicPr>
                        <pic:blipFill>
                          <a:blip r:embed="rId6"/>
                          <a:stretch>
                            <a:fillRect/>
                          </a:stretch>
                        </pic:blipFill>
                        <pic:spPr>
                          <a:xfrm>
                            <a:off x="0" y="0"/>
                            <a:ext cx="744855" cy="331470"/>
                          </a:xfrm>
                          <a:prstGeom prst="rect">
                            <a:avLst/>
                          </a:prstGeom>
                        </pic:spPr>
                      </pic:pic>
                    </a:graphicData>
                  </a:graphic>
                </wp:inline>
              </w:drawing>
            </w:r>
          </w:p>
        </w:tc>
        <w:tc>
          <w:tcPr>
            <w:tcW w:w="1425" w:type="dxa"/>
            <w:gridSpan w:val="2"/>
            <w:vAlign w:val="center"/>
          </w:tcPr>
          <w:p w14:paraId="1908127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ACFF2A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2025.2.19</w:t>
            </w:r>
          </w:p>
        </w:tc>
      </w:tr>
      <w:tr w14:paraId="387A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DDD8E89">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7B20B2A">
            <w:pPr>
              <w:widowControl w:val="0"/>
              <w:jc w:val="both"/>
              <w:rPr>
                <w:rFonts w:hint="eastAsia"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bookmarkStart w:id="2" w:name="_GoBack"/>
            <w:bookmarkEnd w:id="2"/>
          </w:p>
        </w:tc>
        <w:tc>
          <w:tcPr>
            <w:tcW w:w="1425" w:type="dxa"/>
            <w:gridSpan w:val="2"/>
            <w:tcBorders>
              <w:bottom w:val="single" w:color="auto" w:sz="12" w:space="0"/>
            </w:tcBorders>
            <w:vAlign w:val="center"/>
          </w:tcPr>
          <w:p w14:paraId="44632B97">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B8C17D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2025.2.19</w:t>
            </w:r>
          </w:p>
        </w:tc>
      </w:tr>
    </w:tbl>
    <w:p w14:paraId="56BACC5D">
      <w:pPr>
        <w:spacing w:line="100" w:lineRule="exact"/>
        <w:rPr>
          <w:rFonts w:ascii="Arial" w:hAnsi="Arial" w:eastAsia="黑体"/>
        </w:rPr>
      </w:pPr>
      <w:r>
        <w:br w:type="page"/>
      </w:r>
    </w:p>
    <w:p w14:paraId="573EF702">
      <w:pPr>
        <w:pStyle w:val="18"/>
        <w:spacing w:before="326" w:beforeLines="100" w:line="360" w:lineRule="auto"/>
        <w:rPr>
          <w:rFonts w:hint="eastAsia" w:ascii="黑体" w:hAnsi="宋体"/>
        </w:rPr>
      </w:pPr>
      <w:r>
        <w:rPr>
          <w:rFonts w:hint="eastAsia" w:ascii="黑体" w:hAnsi="宋体"/>
        </w:rPr>
        <w:t>二、课程目标与毕业要求</w:t>
      </w:r>
    </w:p>
    <w:p w14:paraId="2596DECC">
      <w:pPr>
        <w:pStyle w:val="19"/>
        <w:spacing w:before="163"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22A4A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9" w:type="dxa"/>
            <w:vAlign w:val="center"/>
          </w:tcPr>
          <w:p w14:paraId="27EDEE22">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7" w:type="dxa"/>
            <w:shd w:val="clear" w:color="auto" w:fill="auto"/>
            <w:vAlign w:val="center"/>
          </w:tcPr>
          <w:p w14:paraId="6DD566C4">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0" w:type="dxa"/>
            <w:vAlign w:val="center"/>
          </w:tcPr>
          <w:p w14:paraId="2ED453EE">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5BDD9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64" w:hRule="atLeast"/>
          <w:jc w:val="center"/>
        </w:trPr>
        <w:tc>
          <w:tcPr>
            <w:tcW w:w="1209" w:type="dxa"/>
            <w:vAlign w:val="center"/>
          </w:tcPr>
          <w:p w14:paraId="227A789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知识目标</w:t>
            </w:r>
          </w:p>
        </w:tc>
        <w:tc>
          <w:tcPr>
            <w:tcW w:w="767" w:type="dxa"/>
            <w:shd w:val="clear" w:color="auto" w:fill="auto"/>
            <w:vAlign w:val="center"/>
          </w:tcPr>
          <w:p w14:paraId="4F70839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0" w:type="dxa"/>
            <w:vAlign w:val="center"/>
          </w:tcPr>
          <w:p w14:paraId="2A74BF5A">
            <w:pPr>
              <w:pStyle w:val="16"/>
              <w:rPr>
                <w:rFonts w:hint="eastAsia" w:ascii="宋体" w:hAnsi="宋体"/>
                <w:bCs/>
              </w:rPr>
            </w:pPr>
            <w:r>
              <w:rPr>
                <w:shd w:val="clear" w:color="auto" w:fill="FFFFFF"/>
              </w:rPr>
              <w:t>学生将系统掌握老年医学的基本概念、理论框架以及老年人生理、心理和社会特点。了解老年常见疾病的发病机制、临床表现和预防措施，熟悉老年医学的服务模式和内容，包括老年综合评估、老年康复、老年护理等方面的知识。同时，深入理解老年人健康管理的内涵和重要性，为后续专业学习和实践奠定坚实的理论基础。</w:t>
            </w:r>
          </w:p>
        </w:tc>
      </w:tr>
      <w:tr w14:paraId="2558D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9" w:type="dxa"/>
            <w:vAlign w:val="center"/>
          </w:tcPr>
          <w:p w14:paraId="170778E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技能目标</w:t>
            </w:r>
          </w:p>
        </w:tc>
        <w:tc>
          <w:tcPr>
            <w:tcW w:w="767" w:type="dxa"/>
            <w:shd w:val="clear" w:color="auto" w:fill="auto"/>
            <w:vAlign w:val="center"/>
          </w:tcPr>
          <w:p w14:paraId="14B53485">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0" w:type="dxa"/>
            <w:vAlign w:val="center"/>
          </w:tcPr>
          <w:p w14:paraId="06AC918F">
            <w:pPr>
              <w:shd w:val="clear" w:color="auto" w:fill="FFFFFF"/>
              <w:spacing w:line="360" w:lineRule="atLeast"/>
              <w:textAlignment w:val="baseline"/>
              <w:rPr>
                <w:rFonts w:hint="eastAsia"/>
                <w:sz w:val="20"/>
                <w:szCs w:val="20"/>
              </w:rPr>
            </w:pPr>
            <w:r>
              <w:rPr>
                <w:rFonts w:ascii="Helvetica" w:hAnsi="Helvetica" w:cs="Helvetica"/>
                <w:color w:val="060607"/>
                <w:spacing w:val="4"/>
                <w:sz w:val="21"/>
                <w:szCs w:val="21"/>
              </w:rPr>
              <w:t>通过案例分析、实践操作等方式，培养</w:t>
            </w:r>
            <w:r>
              <w:rPr>
                <w:rFonts w:hint="eastAsia" w:ascii="Helvetica" w:hAnsi="Helvetica" w:cs="Helvetica"/>
                <w:color w:val="060607"/>
                <w:spacing w:val="4"/>
                <w:sz w:val="21"/>
                <w:szCs w:val="21"/>
              </w:rPr>
              <w:t>学生</w:t>
            </w:r>
            <w:r>
              <w:rPr>
                <w:rFonts w:ascii="Helvetica" w:hAnsi="Helvetica" w:cs="Helvetica"/>
                <w:color w:val="060607"/>
                <w:spacing w:val="4"/>
                <w:sz w:val="21"/>
                <w:szCs w:val="21"/>
              </w:rPr>
              <w:t>对老年人进行健康评估和管理的能力。掌握老年综合评估工具的使用方法，能够对老年人的日常生活能力、认知功能、营养状况等进行准确评估。学会制定个性化的健康管理方案，包括饮食、运动、用药指导等。此外，通过实践操作训练，提高与老年人沟通交流的技巧，掌握基本的护理技能，如协助、进食康复训练等，提升学生的专业实践能力。</w:t>
            </w:r>
          </w:p>
        </w:tc>
      </w:tr>
      <w:tr w14:paraId="4191E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9" w:type="dxa"/>
            <w:vAlign w:val="center"/>
          </w:tcPr>
          <w:p w14:paraId="5CB4691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030A06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(含课程思政目标</w:t>
            </w:r>
            <w:r>
              <w:rPr>
                <w:rFonts w:ascii="Arial" w:hAnsi="Arial" w:eastAsia="黑体" w:cs="Arial"/>
                <w:bCs/>
                <w:color w:val="000000"/>
                <w:sz w:val="21"/>
                <w:szCs w:val="18"/>
              </w:rPr>
              <w:t>)</w:t>
            </w:r>
          </w:p>
        </w:tc>
        <w:tc>
          <w:tcPr>
            <w:tcW w:w="767" w:type="dxa"/>
            <w:shd w:val="clear" w:color="auto" w:fill="auto"/>
            <w:vAlign w:val="center"/>
          </w:tcPr>
          <w:p w14:paraId="34864B5D">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0" w:type="dxa"/>
            <w:vAlign w:val="center"/>
          </w:tcPr>
          <w:p w14:paraId="1F05EE40">
            <w:pPr>
              <w:pStyle w:val="16"/>
              <w:rPr>
                <w:rFonts w:hint="eastAsia" w:ascii="宋体" w:hAnsi="宋体"/>
                <w:bCs/>
              </w:rPr>
            </w:pPr>
            <w:r>
              <w:rPr>
                <w:shd w:val="clear" w:color="auto" w:fill="FFFFFF"/>
              </w:rPr>
              <w:t>培养学生对老年人的关爱与尊重之情，增强其社会责任感和职业道德意识。通过学习老年医学知识，让学生深刻理解老年人的身心需求，激发他们对老年群体的同情与关爱。引导学生树立正确的价值观，培养团队协作精神和沟通能力。鼓励学生积极参与老年健康管理服务，将所学知识应用于实际，为老年人的健康和幸福贡献力量，提升职业认同感和成就感。</w:t>
            </w:r>
          </w:p>
        </w:tc>
      </w:tr>
    </w:tbl>
    <w:tbl>
      <w:tblPr>
        <w:tblStyle w:val="10"/>
        <w:tblpPr w:leftFromText="180" w:rightFromText="180" w:vertAnchor="text" w:horzAnchor="margin" w:tblpY="7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5CB7236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66D135D">
            <w:pPr>
              <w:pStyle w:val="16"/>
              <w:framePr w:hSpace="0" w:wrap="auto" w:vAnchor="margin" w:hAnchor="text" w:xAlign="left" w:yAlign="inline"/>
              <w:jc w:val="both"/>
            </w:pPr>
            <w: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18CAC35">
            <w:pPr>
              <w:pStyle w:val="16"/>
              <w:framePr w:hSpace="0" w:wrap="auto" w:vAnchor="margin" w:hAnchor="text" w:xAlign="left" w:yAlign="inline"/>
              <w:jc w:val="both"/>
            </w:pPr>
            <w:r>
              <w:rPr>
                <w:rFonts w:hint="eastAsia" w:ascii="宋体" w:hAnsi="宋体"/>
              </w:rPr>
              <w:t>⑤</w:t>
            </w:r>
            <w:r>
              <w:t>爱岗敬业，热爱所学专业，勤学多练，锤炼技能。熟悉本专业相关的法律法规，在实习实践中自觉遵守职业规范，具备职业道德操守。</w:t>
            </w:r>
          </w:p>
        </w:tc>
      </w:tr>
      <w:tr w14:paraId="6C2F3EA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8D6F2F2">
            <w:pPr>
              <w:pStyle w:val="16"/>
              <w:framePr w:hSpace="0" w:wrap="auto" w:vAnchor="margin" w:hAnchor="text" w:xAlign="left" w:yAlign="inline"/>
              <w:jc w:val="both"/>
            </w:pPr>
            <w:r>
              <w:t>LO5健康发展：懂得审美、热爱劳动、为人热忱、身心健康、耐挫折，具有可持续发展的能力。</w:t>
            </w:r>
          </w:p>
          <w:p w14:paraId="693332C2">
            <w:pPr>
              <w:pStyle w:val="16"/>
              <w:framePr w:hSpace="0" w:wrap="auto" w:vAnchor="margin" w:hAnchor="text" w:xAlign="left" w:yAlign="inline"/>
              <w:jc w:val="both"/>
            </w:pPr>
            <w:r>
              <w:rPr>
                <w:rFonts w:hint="eastAsia" w:ascii="宋体" w:hAnsi="宋体"/>
              </w:rPr>
              <w:t>①</w:t>
            </w:r>
            <w:r>
              <w:t>身体健康，具有良好的卫生习惯，积极参加体育活动。</w:t>
            </w:r>
          </w:p>
        </w:tc>
      </w:tr>
      <w:tr w14:paraId="5BAB805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B826D85">
            <w:pPr>
              <w:pStyle w:val="16"/>
              <w:framePr w:hSpace="0" w:wrap="auto" w:vAnchor="margin" w:hAnchor="text" w:xAlign="left" w:yAlign="inline"/>
              <w:jc w:val="both"/>
            </w:pPr>
            <w:r>
              <w:t>LO6协同创新：同群体保持良好的合作关系，做集体中的积极成员，善于自我管理和团队管理；善于从多个维度思考问题，利用自己的知识与实践来提出新设想。</w:t>
            </w:r>
          </w:p>
          <w:p w14:paraId="05B068A7">
            <w:pPr>
              <w:pStyle w:val="16"/>
              <w:framePr w:hSpace="0" w:wrap="auto" w:vAnchor="margin" w:hAnchor="text" w:xAlign="left" w:yAlign="inline"/>
              <w:jc w:val="both"/>
            </w:pPr>
            <w:r>
              <w:rPr>
                <w:rFonts w:hint="eastAsia" w:ascii="宋体" w:hAnsi="宋体"/>
              </w:rPr>
              <w:t>③</w:t>
            </w:r>
            <w:r>
              <w:t>能用创新的方法或者多种方法解决复杂问题或真实问题。</w:t>
            </w:r>
          </w:p>
        </w:tc>
      </w:tr>
      <w:tr w14:paraId="6A941F8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D679A37">
            <w:pPr>
              <w:pStyle w:val="16"/>
              <w:framePr w:hSpace="0" w:wrap="auto" w:vAnchor="margin" w:hAnchor="text" w:xAlign="left" w:yAlign="inline"/>
              <w:jc w:val="both"/>
            </w:pPr>
            <w:r>
              <w:t>LO7 掌握</w:t>
            </w:r>
            <w:r>
              <w:rPr>
                <w:rFonts w:hint="eastAsia"/>
              </w:rPr>
              <w:t>老年医学</w:t>
            </w:r>
            <w:r>
              <w:t>的基本理论和专门知识，能够熟练运用</w:t>
            </w:r>
            <w:r>
              <w:rPr>
                <w:rFonts w:hint="eastAsia"/>
              </w:rPr>
              <w:t>相关方法</w:t>
            </w:r>
            <w:r>
              <w:t>进行</w:t>
            </w:r>
            <w:r>
              <w:rPr>
                <w:rFonts w:hint="eastAsia"/>
              </w:rPr>
              <w:t>老年人健康</w:t>
            </w:r>
            <w:r>
              <w:t>评估</w:t>
            </w:r>
            <w:r>
              <w:rPr>
                <w:rFonts w:hint="eastAsia"/>
              </w:rPr>
              <w:t>和服务管理</w:t>
            </w:r>
            <w:r>
              <w:t>，具备</w:t>
            </w:r>
            <w:r>
              <w:rPr>
                <w:rFonts w:hint="eastAsia"/>
              </w:rPr>
              <w:t>老年健康服务与管理</w:t>
            </w:r>
            <w:r>
              <w:t>的</w:t>
            </w:r>
            <w:r>
              <w:rPr>
                <w:rFonts w:hint="eastAsia"/>
              </w:rPr>
              <w:t>技能、</w:t>
            </w:r>
            <w:r>
              <w:t>理念和素养。</w:t>
            </w:r>
          </w:p>
        </w:tc>
      </w:tr>
    </w:tbl>
    <w:p w14:paraId="147DD8FD">
      <w:pPr>
        <w:pStyle w:val="19"/>
        <w:spacing w:before="163" w:after="163"/>
      </w:pPr>
      <w:r>
        <w:rPr>
          <w:rFonts w:hint="eastAsia"/>
        </w:rPr>
        <w:t>（二）课程支撑的毕业要求</w:t>
      </w:r>
    </w:p>
    <w:p w14:paraId="0570928D">
      <w:pPr>
        <w:pStyle w:val="19"/>
        <w:spacing w:before="163" w:after="163"/>
      </w:pPr>
      <w:r>
        <w:rPr>
          <w:rFonts w:hint="eastAsia"/>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56E8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vAlign w:val="center"/>
          </w:tcPr>
          <w:p w14:paraId="3690FC29">
            <w:pPr>
              <w:pStyle w:val="15"/>
              <w:rPr>
                <w:szCs w:val="16"/>
              </w:rPr>
            </w:pPr>
            <w:r>
              <w:t>毕业要求</w:t>
            </w:r>
          </w:p>
        </w:tc>
        <w:tc>
          <w:tcPr>
            <w:tcW w:w="778" w:type="dxa"/>
            <w:tcBorders>
              <w:top w:val="single" w:color="auto" w:sz="12" w:space="0"/>
              <w:left w:val="single" w:color="auto" w:sz="4" w:space="0"/>
            </w:tcBorders>
            <w:vAlign w:val="center"/>
          </w:tcPr>
          <w:p w14:paraId="73268BC8">
            <w:pPr>
              <w:pStyle w:val="15"/>
            </w:pPr>
            <w:r>
              <w:t>指标点</w:t>
            </w:r>
          </w:p>
        </w:tc>
        <w:tc>
          <w:tcPr>
            <w:tcW w:w="778" w:type="dxa"/>
            <w:tcBorders>
              <w:top w:val="single" w:color="auto" w:sz="12" w:space="0"/>
              <w:right w:val="double" w:color="auto" w:sz="4" w:space="0"/>
            </w:tcBorders>
            <w:shd w:val="clear" w:color="auto" w:fill="auto"/>
            <w:vAlign w:val="center"/>
          </w:tcPr>
          <w:p w14:paraId="28CD5E29">
            <w:pPr>
              <w:pStyle w:val="15"/>
            </w:pPr>
            <w:r>
              <w:t>支撑度</w:t>
            </w:r>
          </w:p>
        </w:tc>
        <w:tc>
          <w:tcPr>
            <w:tcW w:w="4641" w:type="dxa"/>
            <w:tcBorders>
              <w:top w:val="single" w:color="auto" w:sz="12" w:space="0"/>
            </w:tcBorders>
            <w:vAlign w:val="center"/>
          </w:tcPr>
          <w:p w14:paraId="69A210F3">
            <w:pPr>
              <w:pStyle w:val="15"/>
            </w:pPr>
            <w:r>
              <w:t>课程目标</w:t>
            </w:r>
          </w:p>
        </w:tc>
        <w:tc>
          <w:tcPr>
            <w:tcW w:w="1317" w:type="dxa"/>
            <w:tcBorders>
              <w:top w:val="single" w:color="auto" w:sz="12" w:space="0"/>
              <w:right w:val="single" w:color="auto" w:sz="12" w:space="0"/>
            </w:tcBorders>
            <w:vAlign w:val="center"/>
          </w:tcPr>
          <w:p w14:paraId="0971341D">
            <w:pPr>
              <w:pStyle w:val="15"/>
            </w:pPr>
            <w:r>
              <w:t>对指标点的贡献度</w:t>
            </w:r>
          </w:p>
        </w:tc>
      </w:tr>
      <w:tr w14:paraId="57E8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bottom w:val="single" w:color="auto" w:sz="4" w:space="0"/>
              <w:right w:val="single" w:color="auto" w:sz="4" w:space="0"/>
            </w:tcBorders>
            <w:shd w:val="clear" w:color="auto" w:fill="auto"/>
            <w:vAlign w:val="center"/>
          </w:tcPr>
          <w:p w14:paraId="02ABF262">
            <w:pPr>
              <w:pStyle w:val="15"/>
            </w:pPr>
            <w:bookmarkStart w:id="0" w:name="OLE_LINK1"/>
            <w:bookmarkStart w:id="1" w:name="OLE_LINK2"/>
            <w:r>
              <w:t>LO1</w:t>
            </w:r>
          </w:p>
        </w:tc>
        <w:tc>
          <w:tcPr>
            <w:tcW w:w="778" w:type="dxa"/>
            <w:tcBorders>
              <w:top w:val="single" w:color="auto" w:sz="12" w:space="0"/>
              <w:left w:val="single" w:color="auto" w:sz="4" w:space="0"/>
              <w:bottom w:val="single" w:color="auto" w:sz="4" w:space="0"/>
              <w:right w:val="single" w:color="auto" w:sz="4" w:space="0"/>
            </w:tcBorders>
            <w:vAlign w:val="center"/>
          </w:tcPr>
          <w:p w14:paraId="197E55EC">
            <w:pPr>
              <w:pStyle w:val="15"/>
            </w:pPr>
            <w:r>
              <w:rPr>
                <w:rFonts w:hint="eastAsia"/>
              </w:rPr>
              <w:t>⑤</w:t>
            </w:r>
          </w:p>
        </w:tc>
        <w:tc>
          <w:tcPr>
            <w:tcW w:w="778" w:type="dxa"/>
            <w:tcBorders>
              <w:top w:val="single" w:color="auto" w:sz="12" w:space="0"/>
              <w:left w:val="single" w:color="auto" w:sz="4" w:space="0"/>
              <w:bottom w:val="single" w:color="auto" w:sz="4" w:space="0"/>
              <w:right w:val="double" w:color="auto" w:sz="4" w:space="0"/>
            </w:tcBorders>
            <w:shd w:val="clear" w:color="auto" w:fill="auto"/>
            <w:vAlign w:val="center"/>
          </w:tcPr>
          <w:p w14:paraId="1EB3062E">
            <w:pPr>
              <w:pStyle w:val="15"/>
            </w:pPr>
            <w:r>
              <w:t>M</w:t>
            </w:r>
          </w:p>
        </w:tc>
        <w:tc>
          <w:tcPr>
            <w:tcW w:w="4641" w:type="dxa"/>
            <w:tcBorders>
              <w:top w:val="single" w:color="auto" w:sz="12" w:space="0"/>
              <w:left w:val="single" w:color="auto" w:sz="4" w:space="0"/>
              <w:bottom w:val="single" w:color="auto" w:sz="4" w:space="0"/>
              <w:right w:val="single" w:color="auto" w:sz="4" w:space="0"/>
            </w:tcBorders>
            <w:vAlign w:val="center"/>
          </w:tcPr>
          <w:p w14:paraId="5500C9D2">
            <w:pPr>
              <w:pStyle w:val="15"/>
              <w:rPr>
                <w:rFonts w:ascii="Times New Roman" w:hAnsi="Times New Roman" w:eastAsia="宋体"/>
                <w:bCs w:val="0"/>
                <w:szCs w:val="21"/>
              </w:rPr>
            </w:pPr>
            <w:r>
              <w:rPr>
                <w:rFonts w:hint="eastAsia" w:ascii="Times New Roman" w:hAnsi="Times New Roman" w:eastAsia="宋体"/>
                <w:bCs w:val="0"/>
                <w:szCs w:val="21"/>
              </w:rPr>
              <w:t>培养学生的同理心和人文关怀，使其能够理解和尊重老年人的生理、心理及社会需求。强化学生的职业道德，使其在老年医学实践中遵循尊重、保密、公正和责任等伦理原则。促进学生形成积极的老龄观，消除对老年人的歧视和偏见，倡导全生命周期的健康管理理念。</w:t>
            </w:r>
          </w:p>
        </w:tc>
        <w:tc>
          <w:tcPr>
            <w:tcW w:w="1317" w:type="dxa"/>
            <w:tcBorders>
              <w:top w:val="single" w:color="auto" w:sz="12" w:space="0"/>
              <w:left w:val="single" w:color="auto" w:sz="4" w:space="0"/>
              <w:bottom w:val="single" w:color="auto" w:sz="4" w:space="0"/>
              <w:right w:val="single" w:color="auto" w:sz="12" w:space="0"/>
            </w:tcBorders>
            <w:vAlign w:val="center"/>
          </w:tcPr>
          <w:p w14:paraId="1A4B5AD7">
            <w:pPr>
              <w:pStyle w:val="15"/>
            </w:pPr>
            <w:r>
              <w:t>100%</w:t>
            </w:r>
          </w:p>
        </w:tc>
      </w:tr>
      <w:tr w14:paraId="1C99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bottom w:val="single" w:color="auto" w:sz="4" w:space="0"/>
              <w:right w:val="single" w:color="auto" w:sz="4" w:space="0"/>
            </w:tcBorders>
            <w:shd w:val="clear" w:color="auto" w:fill="auto"/>
            <w:vAlign w:val="center"/>
          </w:tcPr>
          <w:p w14:paraId="138D3C4F">
            <w:pPr>
              <w:pStyle w:val="15"/>
            </w:pPr>
            <w:r>
              <w:t>LO5</w:t>
            </w:r>
          </w:p>
        </w:tc>
        <w:tc>
          <w:tcPr>
            <w:tcW w:w="778" w:type="dxa"/>
            <w:tcBorders>
              <w:top w:val="single" w:color="auto" w:sz="12" w:space="0"/>
              <w:left w:val="single" w:color="auto" w:sz="4" w:space="0"/>
              <w:bottom w:val="single" w:color="auto" w:sz="4" w:space="0"/>
              <w:right w:val="single" w:color="auto" w:sz="4" w:space="0"/>
            </w:tcBorders>
            <w:vAlign w:val="center"/>
          </w:tcPr>
          <w:p w14:paraId="2C4F6E3A">
            <w:pPr>
              <w:pStyle w:val="15"/>
            </w:pPr>
            <w:r>
              <w:rPr>
                <w:rFonts w:hint="eastAsia"/>
              </w:rPr>
              <w:t>①</w:t>
            </w:r>
          </w:p>
        </w:tc>
        <w:tc>
          <w:tcPr>
            <w:tcW w:w="778" w:type="dxa"/>
            <w:tcBorders>
              <w:top w:val="single" w:color="auto" w:sz="12" w:space="0"/>
              <w:left w:val="single" w:color="auto" w:sz="4" w:space="0"/>
              <w:bottom w:val="single" w:color="auto" w:sz="4" w:space="0"/>
              <w:right w:val="double" w:color="auto" w:sz="4" w:space="0"/>
            </w:tcBorders>
            <w:shd w:val="clear" w:color="auto" w:fill="auto"/>
            <w:vAlign w:val="center"/>
          </w:tcPr>
          <w:p w14:paraId="7E448481">
            <w:pPr>
              <w:pStyle w:val="15"/>
            </w:pPr>
            <w:r>
              <w:t>H</w:t>
            </w:r>
          </w:p>
        </w:tc>
        <w:tc>
          <w:tcPr>
            <w:tcW w:w="4641" w:type="dxa"/>
            <w:tcBorders>
              <w:top w:val="single" w:color="auto" w:sz="12" w:space="0"/>
              <w:left w:val="single" w:color="auto" w:sz="4" w:space="0"/>
              <w:bottom w:val="single" w:color="auto" w:sz="4" w:space="0"/>
              <w:right w:val="single" w:color="auto" w:sz="4" w:space="0"/>
            </w:tcBorders>
            <w:vAlign w:val="center"/>
          </w:tcPr>
          <w:p w14:paraId="259C361C">
            <w:pPr>
              <w:pStyle w:val="15"/>
              <w:rPr>
                <w:rFonts w:ascii="Times New Roman" w:hAnsi="Times New Roman" w:eastAsia="宋体"/>
                <w:bCs w:val="0"/>
                <w:szCs w:val="21"/>
              </w:rPr>
            </w:pPr>
            <w:r>
              <w:rPr>
                <w:rFonts w:hint="eastAsia" w:ascii="Times New Roman" w:hAnsi="Times New Roman" w:eastAsia="宋体"/>
                <w:bCs w:val="0"/>
                <w:szCs w:val="21"/>
              </w:rPr>
              <w:t>使学生掌握老年健康管理的基本理论和实践技能，包括健康评估、疾病预防、康复指导等。培养学生对老年人身心健康问题的敏感性和应对能力，提高其在老年医学领域的专业素养。促进学生形成全面的健康观，理解老年人健康问题的复杂性和多维度影响因素。</w:t>
            </w:r>
          </w:p>
        </w:tc>
        <w:tc>
          <w:tcPr>
            <w:tcW w:w="1317" w:type="dxa"/>
            <w:tcBorders>
              <w:top w:val="single" w:color="auto" w:sz="12" w:space="0"/>
              <w:left w:val="single" w:color="auto" w:sz="4" w:space="0"/>
              <w:bottom w:val="single" w:color="auto" w:sz="4" w:space="0"/>
              <w:right w:val="single" w:color="auto" w:sz="12" w:space="0"/>
            </w:tcBorders>
            <w:vAlign w:val="center"/>
          </w:tcPr>
          <w:p w14:paraId="74D4A3B7">
            <w:pPr>
              <w:pStyle w:val="15"/>
            </w:pPr>
            <w:r>
              <w:t>100%</w:t>
            </w:r>
          </w:p>
        </w:tc>
      </w:tr>
      <w:tr w14:paraId="6A47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bottom w:val="single" w:color="auto" w:sz="4" w:space="0"/>
              <w:right w:val="single" w:color="auto" w:sz="4" w:space="0"/>
            </w:tcBorders>
            <w:shd w:val="clear" w:color="auto" w:fill="auto"/>
            <w:vAlign w:val="center"/>
          </w:tcPr>
          <w:p w14:paraId="4A748190">
            <w:pPr>
              <w:pStyle w:val="15"/>
            </w:pPr>
            <w:r>
              <w:t>LO6</w:t>
            </w:r>
          </w:p>
        </w:tc>
        <w:tc>
          <w:tcPr>
            <w:tcW w:w="778" w:type="dxa"/>
            <w:tcBorders>
              <w:top w:val="single" w:color="auto" w:sz="12" w:space="0"/>
              <w:left w:val="single" w:color="auto" w:sz="4" w:space="0"/>
              <w:bottom w:val="single" w:color="auto" w:sz="4" w:space="0"/>
              <w:right w:val="single" w:color="auto" w:sz="4" w:space="0"/>
            </w:tcBorders>
            <w:vAlign w:val="center"/>
          </w:tcPr>
          <w:p w14:paraId="729B545D">
            <w:pPr>
              <w:pStyle w:val="15"/>
            </w:pPr>
            <w:r>
              <w:rPr>
                <w:rFonts w:hint="eastAsia"/>
              </w:rPr>
              <w:t>③</w:t>
            </w:r>
          </w:p>
        </w:tc>
        <w:tc>
          <w:tcPr>
            <w:tcW w:w="778" w:type="dxa"/>
            <w:tcBorders>
              <w:top w:val="single" w:color="auto" w:sz="12" w:space="0"/>
              <w:left w:val="single" w:color="auto" w:sz="4" w:space="0"/>
              <w:bottom w:val="single" w:color="auto" w:sz="4" w:space="0"/>
              <w:right w:val="double" w:color="auto" w:sz="4" w:space="0"/>
            </w:tcBorders>
            <w:shd w:val="clear" w:color="auto" w:fill="auto"/>
            <w:vAlign w:val="center"/>
          </w:tcPr>
          <w:p w14:paraId="4C0078EF">
            <w:pPr>
              <w:pStyle w:val="15"/>
            </w:pPr>
            <w:r>
              <w:t>H</w:t>
            </w:r>
          </w:p>
        </w:tc>
        <w:tc>
          <w:tcPr>
            <w:tcW w:w="4641" w:type="dxa"/>
            <w:tcBorders>
              <w:top w:val="single" w:color="auto" w:sz="12" w:space="0"/>
              <w:left w:val="single" w:color="auto" w:sz="4" w:space="0"/>
              <w:bottom w:val="single" w:color="auto" w:sz="4" w:space="0"/>
              <w:right w:val="single" w:color="auto" w:sz="4" w:space="0"/>
            </w:tcBorders>
            <w:vAlign w:val="center"/>
          </w:tcPr>
          <w:p w14:paraId="492C3A1F">
            <w:pPr>
              <w:pStyle w:val="15"/>
              <w:rPr>
                <w:rFonts w:ascii="Times New Roman" w:hAnsi="Times New Roman" w:eastAsia="宋体"/>
                <w:bCs w:val="0"/>
                <w:szCs w:val="21"/>
              </w:rPr>
            </w:pPr>
            <w:r>
              <w:rPr>
                <w:rFonts w:hint="eastAsia" w:ascii="Times New Roman" w:hAnsi="Times New Roman" w:eastAsia="宋体"/>
                <w:bCs w:val="0"/>
                <w:szCs w:val="21"/>
              </w:rPr>
              <w:t>培养学生的团队合作精神和跨学科协作能力，使其能够在老年医学领域开展协同创新。激发学生的创新思维和研究兴趣，鼓励其探索老年医学领域的前沿问题和新兴技术。提升学生的项目管理和领导能力，为其在老年医学领域的职业发展奠定基础。</w:t>
            </w:r>
          </w:p>
        </w:tc>
        <w:tc>
          <w:tcPr>
            <w:tcW w:w="1317" w:type="dxa"/>
            <w:tcBorders>
              <w:top w:val="single" w:color="auto" w:sz="12" w:space="0"/>
              <w:left w:val="single" w:color="auto" w:sz="4" w:space="0"/>
              <w:bottom w:val="single" w:color="auto" w:sz="4" w:space="0"/>
              <w:right w:val="single" w:color="auto" w:sz="12" w:space="0"/>
            </w:tcBorders>
            <w:vAlign w:val="center"/>
          </w:tcPr>
          <w:p w14:paraId="40BE942C">
            <w:pPr>
              <w:pStyle w:val="15"/>
            </w:pPr>
            <w:r>
              <w:t>100%</w:t>
            </w:r>
          </w:p>
        </w:tc>
      </w:tr>
      <w:tr w14:paraId="34DB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bottom w:val="single" w:color="auto" w:sz="4" w:space="0"/>
              <w:right w:val="single" w:color="auto" w:sz="4" w:space="0"/>
            </w:tcBorders>
            <w:shd w:val="clear" w:color="auto" w:fill="auto"/>
            <w:vAlign w:val="center"/>
          </w:tcPr>
          <w:p w14:paraId="4A41A1CE">
            <w:pPr>
              <w:pStyle w:val="15"/>
            </w:pPr>
            <w:r>
              <w:t>LO7</w:t>
            </w:r>
          </w:p>
        </w:tc>
        <w:tc>
          <w:tcPr>
            <w:tcW w:w="778" w:type="dxa"/>
            <w:tcBorders>
              <w:top w:val="single" w:color="auto" w:sz="12" w:space="0"/>
              <w:left w:val="single" w:color="auto" w:sz="4" w:space="0"/>
              <w:bottom w:val="single" w:color="auto" w:sz="4" w:space="0"/>
              <w:right w:val="single" w:color="auto" w:sz="4" w:space="0"/>
            </w:tcBorders>
            <w:vAlign w:val="center"/>
          </w:tcPr>
          <w:p w14:paraId="52E9396C">
            <w:pPr>
              <w:pStyle w:val="15"/>
            </w:pPr>
            <w:r>
              <w:rPr>
                <w:rFonts w:hint="eastAsia"/>
              </w:rPr>
              <w:t>②</w:t>
            </w:r>
          </w:p>
        </w:tc>
        <w:tc>
          <w:tcPr>
            <w:tcW w:w="778" w:type="dxa"/>
            <w:tcBorders>
              <w:top w:val="single" w:color="auto" w:sz="12" w:space="0"/>
              <w:left w:val="single" w:color="auto" w:sz="4" w:space="0"/>
              <w:bottom w:val="single" w:color="auto" w:sz="4" w:space="0"/>
              <w:right w:val="double" w:color="auto" w:sz="4" w:space="0"/>
            </w:tcBorders>
            <w:shd w:val="clear" w:color="auto" w:fill="auto"/>
            <w:vAlign w:val="center"/>
          </w:tcPr>
          <w:p w14:paraId="584CB90D">
            <w:pPr>
              <w:pStyle w:val="15"/>
            </w:pPr>
            <w:r>
              <w:t>H</w:t>
            </w:r>
          </w:p>
        </w:tc>
        <w:tc>
          <w:tcPr>
            <w:tcW w:w="4641" w:type="dxa"/>
            <w:tcBorders>
              <w:top w:val="single" w:color="auto" w:sz="12" w:space="0"/>
              <w:left w:val="single" w:color="auto" w:sz="4" w:space="0"/>
              <w:bottom w:val="single" w:color="auto" w:sz="4" w:space="0"/>
              <w:right w:val="single" w:color="auto" w:sz="4" w:space="0"/>
            </w:tcBorders>
            <w:vAlign w:val="center"/>
          </w:tcPr>
          <w:p w14:paraId="1264193E">
            <w:pPr>
              <w:pStyle w:val="15"/>
              <w:rPr>
                <w:rFonts w:ascii="Times New Roman" w:hAnsi="Times New Roman" w:eastAsia="宋体"/>
                <w:bCs w:val="0"/>
                <w:szCs w:val="21"/>
              </w:rPr>
            </w:pPr>
            <w:r>
              <w:rPr>
                <w:rFonts w:hint="eastAsia" w:ascii="Times New Roman" w:hAnsi="Times New Roman" w:eastAsia="宋体"/>
                <w:bCs w:val="0"/>
                <w:szCs w:val="21"/>
              </w:rPr>
              <w:t>使学生系统掌握老年医学的基本理论、基本知识和基本技能，包括老年生理学、老年病理学、老年心理学等。培养学生的临床思维能力和诊疗技能，提高其对老年疾病的识别、评估和处理能力。提升学生的科研素养和学术能力，为其在老年医学领域的深造和研究奠定基础。</w:t>
            </w:r>
          </w:p>
        </w:tc>
        <w:tc>
          <w:tcPr>
            <w:tcW w:w="1317" w:type="dxa"/>
            <w:tcBorders>
              <w:top w:val="single" w:color="auto" w:sz="12" w:space="0"/>
              <w:left w:val="single" w:color="auto" w:sz="4" w:space="0"/>
              <w:bottom w:val="single" w:color="auto" w:sz="4" w:space="0"/>
              <w:right w:val="single" w:color="auto" w:sz="12" w:space="0"/>
            </w:tcBorders>
            <w:vAlign w:val="center"/>
          </w:tcPr>
          <w:p w14:paraId="25291A1F">
            <w:pPr>
              <w:pStyle w:val="15"/>
            </w:pPr>
            <w:r>
              <w:t>100%</w:t>
            </w:r>
          </w:p>
        </w:tc>
      </w:tr>
    </w:tbl>
    <w:p w14:paraId="3D2203AF">
      <w:pPr>
        <w:pStyle w:val="18"/>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277B1B5F">
      <w:pPr>
        <w:pStyle w:val="19"/>
        <w:spacing w:before="163" w:after="163"/>
      </w:pPr>
      <w:r>
        <w:rPr>
          <w:rFonts w:hint="eastAsia"/>
        </w:rPr>
        <w:t>（一）各教学单元预期学习成果与教学内容</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B2061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D729E66">
            <w:pPr>
              <w:widowControl w:val="0"/>
              <w:jc w:val="both"/>
              <w:rPr>
                <w:rFonts w:hint="eastAsia"/>
                <w:b/>
                <w:bCs/>
                <w:sz w:val="21"/>
                <w:szCs w:val="21"/>
              </w:rPr>
            </w:pPr>
            <w:r>
              <w:rPr>
                <w:rFonts w:hint="eastAsia"/>
                <w:b/>
                <w:bCs/>
                <w:sz w:val="21"/>
                <w:szCs w:val="21"/>
              </w:rPr>
              <w:t>第一章：人口老龄化与老年医学发展</w:t>
            </w:r>
          </w:p>
          <w:p w14:paraId="61CA0990">
            <w:pPr>
              <w:widowControl w:val="0"/>
              <w:ind w:firstLine="420" w:firstLineChars="200"/>
              <w:jc w:val="both"/>
              <w:rPr>
                <w:rFonts w:hint="eastAsia"/>
                <w:sz w:val="21"/>
                <w:szCs w:val="21"/>
              </w:rPr>
            </w:pPr>
            <w:r>
              <w:rPr>
                <w:sz w:val="21"/>
                <w:szCs w:val="21"/>
              </w:rPr>
              <w:t>知识点</w:t>
            </w:r>
            <w:r>
              <w:rPr>
                <w:rFonts w:hint="eastAsia"/>
                <w:sz w:val="21"/>
                <w:szCs w:val="21"/>
              </w:rPr>
              <w:t>：人口老龄化的定义、现状与趋势；老年医学的定义、发展历史及其在健康管理中的重要性。老年医学的服务对象、目标和内容。</w:t>
            </w:r>
          </w:p>
          <w:p w14:paraId="3EE8DA65">
            <w:pPr>
              <w:widowControl w:val="0"/>
              <w:ind w:firstLine="420" w:firstLineChars="200"/>
              <w:jc w:val="both"/>
              <w:rPr>
                <w:rFonts w:hint="eastAsia"/>
                <w:sz w:val="21"/>
                <w:szCs w:val="21"/>
              </w:rPr>
            </w:pPr>
            <w:r>
              <w:rPr>
                <w:sz w:val="21"/>
                <w:szCs w:val="21"/>
              </w:rPr>
              <w:t>教学难点</w:t>
            </w:r>
            <w:r>
              <w:rPr>
                <w:rFonts w:hint="eastAsia"/>
                <w:sz w:val="21"/>
                <w:szCs w:val="21"/>
              </w:rPr>
              <w:t>：如何将人口老龄化的宏观数据与老年医学的微观实践相结合。</w:t>
            </w:r>
          </w:p>
          <w:p w14:paraId="060F2578">
            <w:pPr>
              <w:widowControl w:val="0"/>
              <w:jc w:val="both"/>
              <w:rPr>
                <w:rFonts w:hint="eastAsia"/>
                <w:sz w:val="21"/>
                <w:szCs w:val="21"/>
              </w:rPr>
            </w:pPr>
            <w:r>
              <w:rPr>
                <w:rFonts w:hint="eastAsia"/>
                <w:sz w:val="21"/>
                <w:szCs w:val="21"/>
              </w:rPr>
              <w:t>老年医学与其他学科（如健康管理、临床医学）的关系。</w:t>
            </w:r>
          </w:p>
          <w:p w14:paraId="7BD97BB8">
            <w:pPr>
              <w:widowControl w:val="0"/>
              <w:ind w:firstLine="420" w:firstLineChars="200"/>
              <w:jc w:val="both"/>
              <w:rPr>
                <w:rFonts w:hint="eastAsia"/>
                <w:sz w:val="21"/>
                <w:szCs w:val="21"/>
              </w:rPr>
            </w:pPr>
            <w:r>
              <w:rPr>
                <w:sz w:val="21"/>
                <w:szCs w:val="21"/>
              </w:rPr>
              <w:t>能力要求</w:t>
            </w:r>
            <w:r>
              <w:rPr>
                <w:rFonts w:hint="eastAsia"/>
                <w:sz w:val="21"/>
                <w:szCs w:val="21"/>
              </w:rPr>
              <w:t>：能够分析人口老龄化对社会和医疗体系的影响。能够描述老年医学在健康管理中的作用和意义。</w:t>
            </w:r>
          </w:p>
          <w:p w14:paraId="677CDD86">
            <w:pPr>
              <w:widowControl w:val="0"/>
              <w:ind w:firstLine="420" w:firstLineChars="200"/>
              <w:jc w:val="both"/>
              <w:rPr>
                <w:rFonts w:hint="eastAsia"/>
                <w:sz w:val="21"/>
                <w:szCs w:val="21"/>
              </w:rPr>
            </w:pPr>
          </w:p>
          <w:p w14:paraId="616C3814">
            <w:pPr>
              <w:widowControl w:val="0"/>
              <w:jc w:val="both"/>
              <w:rPr>
                <w:rFonts w:hint="eastAsia"/>
                <w:b/>
                <w:bCs/>
                <w:sz w:val="21"/>
                <w:szCs w:val="21"/>
              </w:rPr>
            </w:pPr>
            <w:r>
              <w:rPr>
                <w:rFonts w:hint="eastAsia"/>
                <w:b/>
                <w:bCs/>
                <w:sz w:val="21"/>
                <w:szCs w:val="21"/>
              </w:rPr>
              <w:t>第二章：衰老</w:t>
            </w:r>
          </w:p>
          <w:p w14:paraId="34D1CAE6">
            <w:pPr>
              <w:widowControl w:val="0"/>
              <w:ind w:firstLine="420" w:firstLineChars="200"/>
              <w:jc w:val="both"/>
              <w:rPr>
                <w:rFonts w:hint="eastAsia"/>
                <w:sz w:val="21"/>
                <w:szCs w:val="21"/>
              </w:rPr>
            </w:pPr>
            <w:r>
              <w:rPr>
                <w:sz w:val="21"/>
                <w:szCs w:val="21"/>
              </w:rPr>
              <w:t>知识点</w:t>
            </w:r>
            <w:r>
              <w:rPr>
                <w:rFonts w:hint="eastAsia"/>
                <w:sz w:val="21"/>
                <w:szCs w:val="21"/>
              </w:rPr>
              <w:t>：衰老的生物学理论（如自由基理论、端粒缩短理论）。衰老的生理和心理变化特征。衰老对老年人生活质量的影响。</w:t>
            </w:r>
          </w:p>
          <w:p w14:paraId="1ACAB006">
            <w:pPr>
              <w:widowControl w:val="0"/>
              <w:ind w:firstLine="420" w:firstLineChars="200"/>
              <w:jc w:val="both"/>
              <w:rPr>
                <w:rFonts w:hint="eastAsia"/>
                <w:sz w:val="21"/>
                <w:szCs w:val="21"/>
              </w:rPr>
            </w:pPr>
            <w:r>
              <w:rPr>
                <w:sz w:val="21"/>
                <w:szCs w:val="21"/>
              </w:rPr>
              <w:t>教学难点</w:t>
            </w:r>
            <w:r>
              <w:rPr>
                <w:rFonts w:hint="eastAsia"/>
                <w:sz w:val="21"/>
                <w:szCs w:val="21"/>
              </w:rPr>
              <w:t>：衰老机制的复杂性及其与疾病的关系。如何将衰老理论与老年人健康管理相结合。</w:t>
            </w:r>
          </w:p>
          <w:p w14:paraId="0D612408">
            <w:pPr>
              <w:widowControl w:val="0"/>
              <w:ind w:firstLine="420" w:firstLineChars="200"/>
              <w:jc w:val="both"/>
              <w:rPr>
                <w:rFonts w:hint="eastAsia"/>
                <w:sz w:val="21"/>
                <w:szCs w:val="21"/>
              </w:rPr>
            </w:pPr>
            <w:r>
              <w:rPr>
                <w:sz w:val="21"/>
                <w:szCs w:val="21"/>
              </w:rPr>
              <w:t>能力要求</w:t>
            </w:r>
            <w:r>
              <w:rPr>
                <w:rFonts w:hint="eastAsia"/>
                <w:sz w:val="21"/>
                <w:szCs w:val="21"/>
              </w:rPr>
              <w:t>：能够描述衰老过程中的生理和心理变化。能够分析衰老对健康管理的影响。</w:t>
            </w:r>
          </w:p>
          <w:p w14:paraId="59C3E5F6">
            <w:pPr>
              <w:widowControl w:val="0"/>
              <w:ind w:firstLine="420" w:firstLineChars="200"/>
              <w:jc w:val="both"/>
              <w:rPr>
                <w:rFonts w:hint="eastAsia"/>
                <w:sz w:val="21"/>
                <w:szCs w:val="21"/>
              </w:rPr>
            </w:pPr>
          </w:p>
          <w:p w14:paraId="62B002EC">
            <w:pPr>
              <w:widowControl w:val="0"/>
              <w:jc w:val="both"/>
              <w:rPr>
                <w:rFonts w:hint="eastAsia"/>
                <w:b/>
                <w:bCs/>
                <w:sz w:val="21"/>
                <w:szCs w:val="21"/>
              </w:rPr>
            </w:pPr>
            <w:r>
              <w:rPr>
                <w:rFonts w:hint="eastAsia"/>
                <w:b/>
                <w:bCs/>
                <w:sz w:val="21"/>
                <w:szCs w:val="21"/>
              </w:rPr>
              <w:t>第三章：老年综合评估</w:t>
            </w:r>
          </w:p>
          <w:p w14:paraId="209D0EC6">
            <w:pPr>
              <w:widowControl w:val="0"/>
              <w:ind w:firstLine="420" w:firstLineChars="200"/>
              <w:jc w:val="both"/>
              <w:rPr>
                <w:rFonts w:hint="eastAsia"/>
                <w:sz w:val="21"/>
                <w:szCs w:val="21"/>
              </w:rPr>
            </w:pPr>
            <w:r>
              <w:rPr>
                <w:sz w:val="21"/>
                <w:szCs w:val="21"/>
              </w:rPr>
              <w:t>知识点</w:t>
            </w:r>
            <w:r>
              <w:rPr>
                <w:rFonts w:hint="eastAsia"/>
                <w:sz w:val="21"/>
                <w:szCs w:val="21"/>
              </w:rPr>
              <w:t>：老年综合评估的概念、内容和重要性。常用的老年综合评估工具（如</w:t>
            </w:r>
            <w:r>
              <w:rPr>
                <w:sz w:val="21"/>
                <w:szCs w:val="21"/>
              </w:rPr>
              <w:t>ADL、IADL、MMSE等）。</w:t>
            </w:r>
            <w:r>
              <w:rPr>
                <w:rFonts w:hint="eastAsia"/>
                <w:sz w:val="21"/>
                <w:szCs w:val="21"/>
              </w:rPr>
              <w:t>如何根据评估结果制定健康管理计划。</w:t>
            </w:r>
          </w:p>
          <w:p w14:paraId="109EF6AF">
            <w:pPr>
              <w:widowControl w:val="0"/>
              <w:ind w:firstLine="420" w:firstLineChars="200"/>
              <w:jc w:val="both"/>
              <w:rPr>
                <w:rFonts w:hint="eastAsia"/>
                <w:sz w:val="21"/>
                <w:szCs w:val="21"/>
              </w:rPr>
            </w:pPr>
            <w:r>
              <w:rPr>
                <w:sz w:val="21"/>
                <w:szCs w:val="21"/>
              </w:rPr>
              <w:t>教学难点</w:t>
            </w:r>
            <w:r>
              <w:rPr>
                <w:rFonts w:hint="eastAsia"/>
                <w:sz w:val="21"/>
                <w:szCs w:val="21"/>
              </w:rPr>
              <w:t>：如何全面、准确地进行老年综合评估。不同评估工具的选择和应用。</w:t>
            </w:r>
          </w:p>
          <w:p w14:paraId="0E89A5BC">
            <w:pPr>
              <w:widowControl w:val="0"/>
              <w:ind w:firstLine="420" w:firstLineChars="200"/>
              <w:jc w:val="both"/>
              <w:rPr>
                <w:rFonts w:hint="eastAsia"/>
                <w:sz w:val="21"/>
                <w:szCs w:val="21"/>
              </w:rPr>
            </w:pPr>
            <w:r>
              <w:rPr>
                <w:sz w:val="21"/>
                <w:szCs w:val="21"/>
              </w:rPr>
              <w:t>能力要求</w:t>
            </w:r>
            <w:r>
              <w:rPr>
                <w:rFonts w:hint="eastAsia"/>
                <w:sz w:val="21"/>
                <w:szCs w:val="21"/>
              </w:rPr>
              <w:t>：能够运用老年综合评估工具对老年人进行评估。能够根据评估结果制定个性化的健康管理计划。</w:t>
            </w:r>
          </w:p>
          <w:p w14:paraId="41A44C33">
            <w:pPr>
              <w:widowControl w:val="0"/>
              <w:jc w:val="both"/>
              <w:rPr>
                <w:rFonts w:hint="eastAsia"/>
                <w:sz w:val="21"/>
                <w:szCs w:val="21"/>
              </w:rPr>
            </w:pPr>
          </w:p>
          <w:p w14:paraId="51A7DFAF">
            <w:pPr>
              <w:widowControl w:val="0"/>
              <w:jc w:val="both"/>
              <w:rPr>
                <w:rFonts w:hint="eastAsia"/>
                <w:b/>
                <w:bCs/>
                <w:sz w:val="21"/>
                <w:szCs w:val="21"/>
              </w:rPr>
            </w:pPr>
            <w:r>
              <w:rPr>
                <w:rFonts w:hint="eastAsia"/>
                <w:b/>
                <w:bCs/>
                <w:sz w:val="21"/>
                <w:szCs w:val="21"/>
              </w:rPr>
              <w:t>第四章：老年医学多学科团队</w:t>
            </w:r>
          </w:p>
          <w:p w14:paraId="021CD4C8">
            <w:pPr>
              <w:widowControl w:val="0"/>
              <w:ind w:firstLine="315" w:firstLineChars="150"/>
              <w:jc w:val="both"/>
              <w:rPr>
                <w:rFonts w:hint="eastAsia"/>
                <w:sz w:val="21"/>
                <w:szCs w:val="21"/>
              </w:rPr>
            </w:pPr>
            <w:r>
              <w:rPr>
                <w:sz w:val="21"/>
                <w:szCs w:val="21"/>
              </w:rPr>
              <w:t>知识点</w:t>
            </w:r>
            <w:r>
              <w:rPr>
                <w:rFonts w:hint="eastAsia"/>
                <w:sz w:val="21"/>
                <w:szCs w:val="21"/>
              </w:rPr>
              <w:t>：多学科团队的组成（如医生、护士、康复师、营养师等）。多学科团队在老年医学中的作用和优势。多学科团队的协作模式和沟通技巧。</w:t>
            </w:r>
          </w:p>
          <w:p w14:paraId="24DDBE22">
            <w:pPr>
              <w:widowControl w:val="0"/>
              <w:ind w:firstLine="315" w:firstLineChars="150"/>
              <w:jc w:val="both"/>
              <w:rPr>
                <w:rFonts w:hint="eastAsia"/>
                <w:sz w:val="21"/>
                <w:szCs w:val="21"/>
              </w:rPr>
            </w:pPr>
            <w:r>
              <w:rPr>
                <w:sz w:val="21"/>
                <w:szCs w:val="21"/>
              </w:rPr>
              <w:t>教学难点</w:t>
            </w:r>
            <w:r>
              <w:rPr>
                <w:rFonts w:hint="eastAsia"/>
                <w:sz w:val="21"/>
                <w:szCs w:val="21"/>
              </w:rPr>
              <w:t>：如何协调多学科团队成员之间的合作。如何在实际工作中发挥多学科团队的优势。</w:t>
            </w:r>
          </w:p>
          <w:p w14:paraId="236EC255">
            <w:pPr>
              <w:widowControl w:val="0"/>
              <w:ind w:firstLine="315" w:firstLineChars="150"/>
              <w:jc w:val="both"/>
              <w:rPr>
                <w:rFonts w:hint="eastAsia"/>
                <w:sz w:val="21"/>
                <w:szCs w:val="21"/>
              </w:rPr>
            </w:pPr>
            <w:r>
              <w:rPr>
                <w:sz w:val="21"/>
                <w:szCs w:val="21"/>
              </w:rPr>
              <w:t>能力要求</w:t>
            </w:r>
            <w:r>
              <w:rPr>
                <w:rFonts w:hint="eastAsia"/>
                <w:sz w:val="21"/>
                <w:szCs w:val="21"/>
              </w:rPr>
              <w:t>：能够理解多学科团队在老年医学中的重要性。能够参与多学科团队协作，为老年人提供综合服务。</w:t>
            </w:r>
          </w:p>
          <w:p w14:paraId="09D74E92">
            <w:pPr>
              <w:widowControl w:val="0"/>
              <w:jc w:val="both"/>
              <w:rPr>
                <w:rFonts w:hint="eastAsia"/>
                <w:sz w:val="21"/>
                <w:szCs w:val="21"/>
              </w:rPr>
            </w:pPr>
          </w:p>
          <w:p w14:paraId="6B220EC4">
            <w:pPr>
              <w:widowControl w:val="0"/>
              <w:jc w:val="both"/>
              <w:rPr>
                <w:rFonts w:hint="eastAsia"/>
                <w:b/>
                <w:bCs/>
                <w:sz w:val="21"/>
                <w:szCs w:val="21"/>
              </w:rPr>
            </w:pPr>
            <w:r>
              <w:rPr>
                <w:rFonts w:hint="eastAsia"/>
                <w:b/>
                <w:bCs/>
                <w:sz w:val="21"/>
                <w:szCs w:val="21"/>
              </w:rPr>
              <w:t>第五章：老年共病管理</w:t>
            </w:r>
          </w:p>
          <w:p w14:paraId="52881D79">
            <w:pPr>
              <w:widowControl w:val="0"/>
              <w:ind w:firstLine="420" w:firstLineChars="200"/>
              <w:jc w:val="both"/>
              <w:rPr>
                <w:rFonts w:hint="eastAsia"/>
                <w:sz w:val="21"/>
                <w:szCs w:val="21"/>
              </w:rPr>
            </w:pPr>
            <w:r>
              <w:rPr>
                <w:sz w:val="21"/>
                <w:szCs w:val="21"/>
              </w:rPr>
              <w:t>知识点</w:t>
            </w:r>
            <w:r>
              <w:rPr>
                <w:rFonts w:hint="eastAsia"/>
                <w:sz w:val="21"/>
                <w:szCs w:val="21"/>
              </w:rPr>
              <w:t>：老年共病的定义、特点和常见类型。老年共病的管理原则和策略。药物管理在老年共病中的重要性。</w:t>
            </w:r>
          </w:p>
          <w:p w14:paraId="61E564E7">
            <w:pPr>
              <w:widowControl w:val="0"/>
              <w:ind w:firstLine="420" w:firstLineChars="200"/>
              <w:jc w:val="both"/>
              <w:rPr>
                <w:rFonts w:hint="eastAsia"/>
                <w:sz w:val="21"/>
                <w:szCs w:val="21"/>
              </w:rPr>
            </w:pPr>
            <w:r>
              <w:rPr>
                <w:sz w:val="21"/>
                <w:szCs w:val="21"/>
              </w:rPr>
              <w:t>教学难点</w:t>
            </w:r>
            <w:r>
              <w:rPr>
                <w:rFonts w:hint="eastAsia"/>
                <w:sz w:val="21"/>
                <w:szCs w:val="21"/>
              </w:rPr>
              <w:t>：老年共病的复杂性和药物相互作用。如何制定个体化的共病管理方案。</w:t>
            </w:r>
          </w:p>
          <w:p w14:paraId="13AD4475">
            <w:pPr>
              <w:widowControl w:val="0"/>
              <w:ind w:firstLine="420" w:firstLineChars="200"/>
              <w:jc w:val="both"/>
              <w:rPr>
                <w:rFonts w:hint="eastAsia"/>
                <w:sz w:val="21"/>
                <w:szCs w:val="21"/>
              </w:rPr>
            </w:pPr>
            <w:r>
              <w:rPr>
                <w:sz w:val="21"/>
                <w:szCs w:val="21"/>
              </w:rPr>
              <w:t>能力要求</w:t>
            </w:r>
            <w:r>
              <w:rPr>
                <w:rFonts w:hint="eastAsia"/>
                <w:sz w:val="21"/>
                <w:szCs w:val="21"/>
              </w:rPr>
              <w:t>：能够分析老年共病的特点和管理难点。能够制定和实施老年共病的管理计划。</w:t>
            </w:r>
          </w:p>
          <w:p w14:paraId="2F104CC7">
            <w:pPr>
              <w:widowControl w:val="0"/>
              <w:ind w:firstLine="420" w:firstLineChars="200"/>
              <w:jc w:val="both"/>
              <w:rPr>
                <w:rFonts w:hint="eastAsia"/>
                <w:sz w:val="21"/>
                <w:szCs w:val="21"/>
              </w:rPr>
            </w:pPr>
          </w:p>
          <w:p w14:paraId="7927FD8A">
            <w:pPr>
              <w:widowControl w:val="0"/>
              <w:jc w:val="both"/>
              <w:rPr>
                <w:rFonts w:hint="eastAsia"/>
                <w:b/>
                <w:bCs/>
                <w:sz w:val="21"/>
                <w:szCs w:val="21"/>
              </w:rPr>
            </w:pPr>
            <w:r>
              <w:rPr>
                <w:rFonts w:hint="eastAsia"/>
                <w:b/>
                <w:bCs/>
                <w:sz w:val="21"/>
                <w:szCs w:val="21"/>
              </w:rPr>
              <w:t>第六章：老年人心理健康</w:t>
            </w:r>
          </w:p>
          <w:p w14:paraId="3E5BE74C">
            <w:pPr>
              <w:widowControl w:val="0"/>
              <w:ind w:firstLine="420" w:firstLineChars="200"/>
              <w:jc w:val="both"/>
              <w:rPr>
                <w:rFonts w:hint="eastAsia"/>
                <w:sz w:val="21"/>
                <w:szCs w:val="21"/>
              </w:rPr>
            </w:pPr>
            <w:r>
              <w:rPr>
                <w:sz w:val="21"/>
                <w:szCs w:val="21"/>
              </w:rPr>
              <w:t>知识点</w:t>
            </w:r>
            <w:r>
              <w:rPr>
                <w:rFonts w:hint="eastAsia"/>
                <w:sz w:val="21"/>
                <w:szCs w:val="21"/>
              </w:rPr>
              <w:t>：老年人常见的心理问题（如抑郁、焦虑、孤独等）。心理问题对老年人生活质量的影响。心理干预的方法和策略。</w:t>
            </w:r>
          </w:p>
          <w:p w14:paraId="2840D7FC">
            <w:pPr>
              <w:widowControl w:val="0"/>
              <w:ind w:firstLine="420" w:firstLineChars="200"/>
              <w:jc w:val="both"/>
              <w:rPr>
                <w:rFonts w:hint="eastAsia"/>
                <w:sz w:val="21"/>
                <w:szCs w:val="21"/>
              </w:rPr>
            </w:pPr>
            <w:r>
              <w:rPr>
                <w:sz w:val="21"/>
                <w:szCs w:val="21"/>
              </w:rPr>
              <w:t>教学难点</w:t>
            </w:r>
            <w:r>
              <w:rPr>
                <w:rFonts w:hint="eastAsia"/>
                <w:sz w:val="21"/>
                <w:szCs w:val="21"/>
              </w:rPr>
              <w:t>：如何识别老年人的心理问题。如何结合心理干预和健康管理。</w:t>
            </w:r>
          </w:p>
          <w:p w14:paraId="3082CDB2">
            <w:pPr>
              <w:widowControl w:val="0"/>
              <w:ind w:firstLine="420" w:firstLineChars="200"/>
              <w:jc w:val="both"/>
              <w:rPr>
                <w:rFonts w:hint="eastAsia"/>
                <w:sz w:val="21"/>
                <w:szCs w:val="21"/>
              </w:rPr>
            </w:pPr>
            <w:r>
              <w:rPr>
                <w:rFonts w:hint="eastAsia"/>
                <w:sz w:val="21"/>
                <w:szCs w:val="21"/>
              </w:rPr>
              <w:t>能</w:t>
            </w:r>
            <w:r>
              <w:rPr>
                <w:sz w:val="21"/>
                <w:szCs w:val="21"/>
              </w:rPr>
              <w:t>力要求</w:t>
            </w:r>
            <w:r>
              <w:rPr>
                <w:rFonts w:hint="eastAsia"/>
                <w:sz w:val="21"/>
                <w:szCs w:val="21"/>
              </w:rPr>
              <w:t>：能够识别老年人的心理问题。能够提供心理支持和干预措施。</w:t>
            </w:r>
          </w:p>
          <w:p w14:paraId="5D553B78">
            <w:pPr>
              <w:widowControl w:val="0"/>
              <w:jc w:val="both"/>
              <w:rPr>
                <w:rFonts w:hint="eastAsia"/>
                <w:sz w:val="21"/>
                <w:szCs w:val="21"/>
              </w:rPr>
            </w:pPr>
          </w:p>
          <w:p w14:paraId="2519FE88">
            <w:pPr>
              <w:widowControl w:val="0"/>
              <w:jc w:val="both"/>
              <w:rPr>
                <w:rFonts w:hint="eastAsia"/>
                <w:b/>
                <w:bCs/>
                <w:sz w:val="21"/>
                <w:szCs w:val="21"/>
              </w:rPr>
            </w:pPr>
            <w:r>
              <w:rPr>
                <w:rFonts w:hint="eastAsia"/>
                <w:b/>
                <w:bCs/>
                <w:sz w:val="21"/>
                <w:szCs w:val="21"/>
              </w:rPr>
              <w:t>第七章：老年人康复</w:t>
            </w:r>
          </w:p>
          <w:p w14:paraId="52CFDE37">
            <w:pPr>
              <w:widowControl w:val="0"/>
              <w:ind w:firstLine="420" w:firstLineChars="200"/>
              <w:jc w:val="both"/>
              <w:rPr>
                <w:rFonts w:hint="eastAsia"/>
                <w:sz w:val="21"/>
                <w:szCs w:val="21"/>
              </w:rPr>
            </w:pPr>
            <w:r>
              <w:rPr>
                <w:sz w:val="21"/>
                <w:szCs w:val="21"/>
              </w:rPr>
              <w:t>知识点</w:t>
            </w:r>
            <w:r>
              <w:rPr>
                <w:rFonts w:hint="eastAsia"/>
                <w:sz w:val="21"/>
                <w:szCs w:val="21"/>
              </w:rPr>
              <w:t>：老年人康复的概念、目标和内容。常见康复方法（如物理治疗、职业治疗等）。康复在老年健康管理中的作用。</w:t>
            </w:r>
          </w:p>
          <w:p w14:paraId="049F29FE">
            <w:pPr>
              <w:widowControl w:val="0"/>
              <w:ind w:firstLine="420" w:firstLineChars="200"/>
              <w:jc w:val="both"/>
              <w:rPr>
                <w:rFonts w:hint="eastAsia"/>
                <w:sz w:val="21"/>
                <w:szCs w:val="21"/>
              </w:rPr>
            </w:pPr>
            <w:r>
              <w:rPr>
                <w:sz w:val="21"/>
                <w:szCs w:val="21"/>
              </w:rPr>
              <w:t>教学难点</w:t>
            </w:r>
            <w:r>
              <w:rPr>
                <w:rFonts w:hint="eastAsia"/>
                <w:sz w:val="21"/>
                <w:szCs w:val="21"/>
              </w:rPr>
              <w:t>：如何根据老年人的身体状况制定康复计划。康复过程中的心理支持和家庭参与。</w:t>
            </w:r>
          </w:p>
          <w:p w14:paraId="2FD104AB">
            <w:pPr>
              <w:widowControl w:val="0"/>
              <w:ind w:firstLine="420" w:firstLineChars="200"/>
              <w:jc w:val="both"/>
              <w:rPr>
                <w:rFonts w:hint="eastAsia"/>
                <w:sz w:val="21"/>
                <w:szCs w:val="21"/>
              </w:rPr>
            </w:pPr>
            <w:r>
              <w:rPr>
                <w:sz w:val="21"/>
                <w:szCs w:val="21"/>
              </w:rPr>
              <w:t>能力要求</w:t>
            </w:r>
            <w:r>
              <w:rPr>
                <w:rFonts w:hint="eastAsia"/>
                <w:sz w:val="21"/>
                <w:szCs w:val="21"/>
              </w:rPr>
              <w:t>：能够制定适合老年人的康复计划。能够指导老年人进行康复训练。</w:t>
            </w:r>
          </w:p>
          <w:p w14:paraId="2103DD3F">
            <w:pPr>
              <w:widowControl w:val="0"/>
              <w:jc w:val="both"/>
              <w:rPr>
                <w:rFonts w:hint="eastAsia"/>
                <w:sz w:val="21"/>
                <w:szCs w:val="21"/>
              </w:rPr>
            </w:pPr>
          </w:p>
          <w:p w14:paraId="00ACE2E0">
            <w:pPr>
              <w:widowControl w:val="0"/>
              <w:jc w:val="both"/>
              <w:rPr>
                <w:rFonts w:hint="eastAsia"/>
                <w:b/>
                <w:bCs/>
                <w:sz w:val="21"/>
                <w:szCs w:val="21"/>
              </w:rPr>
            </w:pPr>
            <w:r>
              <w:rPr>
                <w:rFonts w:hint="eastAsia"/>
                <w:b/>
                <w:bCs/>
                <w:sz w:val="21"/>
                <w:szCs w:val="21"/>
              </w:rPr>
              <w:t>第八章：老年人健康管理</w:t>
            </w:r>
          </w:p>
          <w:p w14:paraId="37BD1A11">
            <w:pPr>
              <w:widowControl w:val="0"/>
              <w:ind w:firstLine="420" w:firstLineChars="200"/>
              <w:jc w:val="both"/>
              <w:rPr>
                <w:rFonts w:hint="eastAsia"/>
                <w:sz w:val="21"/>
                <w:szCs w:val="21"/>
              </w:rPr>
            </w:pPr>
            <w:r>
              <w:rPr>
                <w:sz w:val="21"/>
                <w:szCs w:val="21"/>
              </w:rPr>
              <w:t>知识点</w:t>
            </w:r>
            <w:r>
              <w:rPr>
                <w:rFonts w:hint="eastAsia"/>
                <w:sz w:val="21"/>
                <w:szCs w:val="21"/>
              </w:rPr>
              <w:t>：老年人健康管理的概念和内容。健康管理的策略和方法（如健康教育、健康促进等）。健康管理在老年医学中的重要性。</w:t>
            </w:r>
          </w:p>
          <w:p w14:paraId="51E5FAD2">
            <w:pPr>
              <w:widowControl w:val="0"/>
              <w:ind w:firstLine="420" w:firstLineChars="200"/>
              <w:jc w:val="both"/>
              <w:rPr>
                <w:rFonts w:hint="eastAsia"/>
                <w:sz w:val="21"/>
                <w:szCs w:val="21"/>
              </w:rPr>
            </w:pPr>
            <w:r>
              <w:rPr>
                <w:sz w:val="21"/>
                <w:szCs w:val="21"/>
              </w:rPr>
              <w:t>教学难点</w:t>
            </w:r>
            <w:r>
              <w:rPr>
                <w:rFonts w:hint="eastAsia"/>
                <w:sz w:val="21"/>
                <w:szCs w:val="21"/>
              </w:rPr>
              <w:t>：如何结合老年人的特点制定健康管理计划。如何评估健康管理的效果。</w:t>
            </w:r>
          </w:p>
          <w:p w14:paraId="2F6EAA24">
            <w:pPr>
              <w:widowControl w:val="0"/>
              <w:ind w:firstLine="420" w:firstLineChars="200"/>
              <w:jc w:val="both"/>
              <w:rPr>
                <w:rFonts w:hint="eastAsia"/>
                <w:sz w:val="21"/>
                <w:szCs w:val="21"/>
              </w:rPr>
            </w:pPr>
            <w:r>
              <w:rPr>
                <w:sz w:val="21"/>
                <w:szCs w:val="21"/>
              </w:rPr>
              <w:t>能力要求</w:t>
            </w:r>
            <w:r>
              <w:rPr>
                <w:rFonts w:hint="eastAsia"/>
                <w:sz w:val="21"/>
                <w:szCs w:val="21"/>
              </w:rPr>
              <w:t>：能够制定和实施老年人的健康管理计划。</w:t>
            </w:r>
          </w:p>
          <w:p w14:paraId="3D9833B1">
            <w:pPr>
              <w:widowControl w:val="0"/>
              <w:jc w:val="both"/>
              <w:rPr>
                <w:rFonts w:hint="eastAsia"/>
                <w:sz w:val="21"/>
                <w:szCs w:val="21"/>
              </w:rPr>
            </w:pPr>
            <w:r>
              <w:rPr>
                <w:rFonts w:hint="eastAsia"/>
                <w:sz w:val="21"/>
                <w:szCs w:val="21"/>
              </w:rPr>
              <w:t>能够评估健康管理的效果并进行调整。</w:t>
            </w:r>
          </w:p>
          <w:p w14:paraId="15575DD1">
            <w:pPr>
              <w:widowControl w:val="0"/>
              <w:jc w:val="both"/>
              <w:rPr>
                <w:rFonts w:hint="eastAsia"/>
                <w:sz w:val="21"/>
                <w:szCs w:val="21"/>
              </w:rPr>
            </w:pPr>
          </w:p>
          <w:p w14:paraId="68B2BF5C">
            <w:pPr>
              <w:widowControl w:val="0"/>
              <w:jc w:val="both"/>
              <w:rPr>
                <w:rFonts w:hint="eastAsia"/>
                <w:b/>
                <w:bCs/>
                <w:sz w:val="21"/>
                <w:szCs w:val="21"/>
              </w:rPr>
            </w:pPr>
            <w:r>
              <w:rPr>
                <w:rFonts w:hint="eastAsia"/>
                <w:b/>
                <w:bCs/>
                <w:sz w:val="21"/>
                <w:szCs w:val="21"/>
              </w:rPr>
              <w:t>第九章：老年人围术期管理</w:t>
            </w:r>
          </w:p>
          <w:p w14:paraId="58579DDB">
            <w:pPr>
              <w:widowControl w:val="0"/>
              <w:ind w:firstLine="420" w:firstLineChars="200"/>
              <w:jc w:val="both"/>
              <w:rPr>
                <w:rFonts w:hint="eastAsia"/>
                <w:sz w:val="21"/>
                <w:szCs w:val="21"/>
              </w:rPr>
            </w:pPr>
            <w:r>
              <w:rPr>
                <w:sz w:val="21"/>
                <w:szCs w:val="21"/>
              </w:rPr>
              <w:t>知识点</w:t>
            </w:r>
            <w:r>
              <w:rPr>
                <w:rFonts w:hint="eastAsia"/>
                <w:sz w:val="21"/>
                <w:szCs w:val="21"/>
              </w:rPr>
              <w:t>：老年人围术期的生理和心理特点。围术期管理的关键环节（如术前评估、术中管理、术后康复）。围术期并发症的预防和处理。</w:t>
            </w:r>
          </w:p>
          <w:p w14:paraId="61DD9D21">
            <w:pPr>
              <w:widowControl w:val="0"/>
              <w:ind w:firstLine="420" w:firstLineChars="200"/>
              <w:jc w:val="both"/>
              <w:rPr>
                <w:rFonts w:hint="eastAsia"/>
                <w:sz w:val="21"/>
                <w:szCs w:val="21"/>
              </w:rPr>
            </w:pPr>
            <w:r>
              <w:rPr>
                <w:sz w:val="21"/>
                <w:szCs w:val="21"/>
              </w:rPr>
              <w:t>教学难点</w:t>
            </w:r>
            <w:r>
              <w:rPr>
                <w:rFonts w:hint="eastAsia"/>
                <w:sz w:val="21"/>
                <w:szCs w:val="21"/>
              </w:rPr>
              <w:t>：如何优化围术期管理以提高手术成功率和康复速度。围术期并发症的识别和处理。</w:t>
            </w:r>
          </w:p>
          <w:p w14:paraId="1F71B6F5">
            <w:pPr>
              <w:widowControl w:val="0"/>
              <w:ind w:firstLine="420" w:firstLineChars="200"/>
              <w:jc w:val="both"/>
              <w:rPr>
                <w:rFonts w:hint="eastAsia"/>
                <w:sz w:val="21"/>
                <w:szCs w:val="21"/>
              </w:rPr>
            </w:pPr>
            <w:r>
              <w:rPr>
                <w:sz w:val="21"/>
                <w:szCs w:val="21"/>
              </w:rPr>
              <w:t>能力要求</w:t>
            </w:r>
            <w:r>
              <w:rPr>
                <w:rFonts w:hint="eastAsia"/>
                <w:sz w:val="21"/>
                <w:szCs w:val="21"/>
              </w:rPr>
              <w:t>：能够对老年患者进行围术期风险评估。能够制定围术期管理计划并实施。</w:t>
            </w:r>
          </w:p>
          <w:p w14:paraId="5C304E7D">
            <w:pPr>
              <w:widowControl w:val="0"/>
              <w:jc w:val="both"/>
              <w:rPr>
                <w:rFonts w:hint="eastAsia"/>
                <w:sz w:val="21"/>
                <w:szCs w:val="21"/>
              </w:rPr>
            </w:pPr>
          </w:p>
          <w:p w14:paraId="68848BD9">
            <w:pPr>
              <w:widowControl w:val="0"/>
              <w:jc w:val="both"/>
              <w:rPr>
                <w:rFonts w:hint="eastAsia"/>
                <w:b/>
                <w:bCs/>
                <w:sz w:val="21"/>
                <w:szCs w:val="21"/>
              </w:rPr>
            </w:pPr>
            <w:r>
              <w:rPr>
                <w:rFonts w:hint="eastAsia"/>
                <w:b/>
                <w:bCs/>
                <w:sz w:val="21"/>
                <w:szCs w:val="21"/>
              </w:rPr>
              <w:t>第十章：老年人急性期照护、中期照护与长期照护</w:t>
            </w:r>
          </w:p>
          <w:p w14:paraId="469713B8">
            <w:pPr>
              <w:widowControl w:val="0"/>
              <w:ind w:firstLine="420" w:firstLineChars="200"/>
              <w:jc w:val="both"/>
              <w:rPr>
                <w:rFonts w:hint="eastAsia"/>
                <w:sz w:val="21"/>
                <w:szCs w:val="21"/>
              </w:rPr>
            </w:pPr>
            <w:r>
              <w:rPr>
                <w:sz w:val="21"/>
                <w:szCs w:val="21"/>
              </w:rPr>
              <w:t>知识点</w:t>
            </w:r>
            <w:r>
              <w:rPr>
                <w:rFonts w:hint="eastAsia"/>
                <w:sz w:val="21"/>
                <w:szCs w:val="21"/>
              </w:rPr>
              <w:t>：急性期照护、中期照护和长期照护的概念和目标。不同照护阶段的特点和内容。照护模式的选择和实施。</w:t>
            </w:r>
          </w:p>
          <w:p w14:paraId="752EBA08">
            <w:pPr>
              <w:widowControl w:val="0"/>
              <w:ind w:firstLine="420" w:firstLineChars="200"/>
              <w:jc w:val="both"/>
              <w:rPr>
                <w:rFonts w:hint="eastAsia"/>
                <w:sz w:val="21"/>
                <w:szCs w:val="21"/>
              </w:rPr>
            </w:pPr>
            <w:r>
              <w:rPr>
                <w:sz w:val="21"/>
                <w:szCs w:val="21"/>
              </w:rPr>
              <w:t>教学难点</w:t>
            </w:r>
            <w:r>
              <w:rPr>
                <w:rFonts w:hint="eastAsia"/>
                <w:sz w:val="21"/>
                <w:szCs w:val="21"/>
              </w:rPr>
              <w:t>：如何根据老年人的健康状况选择合适的照护模式。如何实现不同照护阶段的衔接。</w:t>
            </w:r>
          </w:p>
          <w:p w14:paraId="629AAB8F">
            <w:pPr>
              <w:widowControl w:val="0"/>
              <w:ind w:firstLine="420" w:firstLineChars="200"/>
              <w:jc w:val="both"/>
              <w:rPr>
                <w:rFonts w:hint="eastAsia"/>
                <w:sz w:val="21"/>
                <w:szCs w:val="21"/>
              </w:rPr>
            </w:pPr>
            <w:r>
              <w:rPr>
                <w:sz w:val="21"/>
                <w:szCs w:val="21"/>
              </w:rPr>
              <w:t>能力要求</w:t>
            </w:r>
            <w:r>
              <w:rPr>
                <w:rFonts w:hint="eastAsia"/>
                <w:sz w:val="21"/>
                <w:szCs w:val="21"/>
              </w:rPr>
              <w:t>：能够识别老年人在不同阶段的照护需求。能够制定和实施照护计划。</w:t>
            </w:r>
          </w:p>
          <w:p w14:paraId="54370906">
            <w:pPr>
              <w:widowControl w:val="0"/>
              <w:jc w:val="both"/>
              <w:rPr>
                <w:rFonts w:hint="eastAsia"/>
                <w:sz w:val="21"/>
                <w:szCs w:val="21"/>
              </w:rPr>
            </w:pPr>
          </w:p>
          <w:p w14:paraId="62B48967">
            <w:pPr>
              <w:widowControl w:val="0"/>
              <w:jc w:val="both"/>
              <w:rPr>
                <w:rFonts w:hint="eastAsia"/>
                <w:b/>
                <w:bCs/>
                <w:sz w:val="21"/>
                <w:szCs w:val="21"/>
              </w:rPr>
            </w:pPr>
            <w:r>
              <w:rPr>
                <w:rFonts w:hint="eastAsia"/>
                <w:b/>
                <w:bCs/>
                <w:sz w:val="21"/>
                <w:szCs w:val="21"/>
              </w:rPr>
              <w:t>第十一章：缓和医疗</w:t>
            </w:r>
          </w:p>
          <w:p w14:paraId="6F7C2C16">
            <w:pPr>
              <w:widowControl w:val="0"/>
              <w:ind w:firstLine="420" w:firstLineChars="200"/>
              <w:jc w:val="both"/>
              <w:rPr>
                <w:rFonts w:hint="eastAsia"/>
                <w:sz w:val="21"/>
                <w:szCs w:val="21"/>
              </w:rPr>
            </w:pPr>
            <w:r>
              <w:rPr>
                <w:sz w:val="21"/>
                <w:szCs w:val="21"/>
              </w:rPr>
              <w:t>知识点</w:t>
            </w:r>
            <w:r>
              <w:rPr>
                <w:rFonts w:hint="eastAsia"/>
                <w:sz w:val="21"/>
                <w:szCs w:val="21"/>
              </w:rPr>
              <w:t>：缓和医疗的概念、目标和原则。缓和医疗在老年医学中的应用。缓和医疗与传统治疗的区别。</w:t>
            </w:r>
          </w:p>
          <w:p w14:paraId="53BF0473">
            <w:pPr>
              <w:widowControl w:val="0"/>
              <w:ind w:firstLine="420" w:firstLineChars="200"/>
              <w:jc w:val="both"/>
              <w:rPr>
                <w:rFonts w:hint="eastAsia"/>
                <w:sz w:val="21"/>
                <w:szCs w:val="21"/>
              </w:rPr>
            </w:pPr>
            <w:r>
              <w:rPr>
                <w:sz w:val="21"/>
                <w:szCs w:val="21"/>
              </w:rPr>
              <w:t>教学难点</w:t>
            </w:r>
            <w:r>
              <w:rPr>
                <w:rFonts w:hint="eastAsia"/>
                <w:sz w:val="21"/>
                <w:szCs w:val="21"/>
              </w:rPr>
              <w:t>：如何在临床实践中实施缓和医疗。缓和医疗的心理和社会支持。</w:t>
            </w:r>
          </w:p>
          <w:p w14:paraId="42CDD287">
            <w:pPr>
              <w:widowControl w:val="0"/>
              <w:ind w:firstLine="420" w:firstLineChars="200"/>
              <w:jc w:val="both"/>
              <w:rPr>
                <w:rFonts w:hint="eastAsia"/>
                <w:sz w:val="21"/>
                <w:szCs w:val="21"/>
              </w:rPr>
            </w:pPr>
            <w:r>
              <w:rPr>
                <w:sz w:val="21"/>
                <w:szCs w:val="21"/>
              </w:rPr>
              <w:t>能力要求</w:t>
            </w:r>
            <w:r>
              <w:rPr>
                <w:rFonts w:hint="eastAsia"/>
                <w:sz w:val="21"/>
                <w:szCs w:val="21"/>
              </w:rPr>
              <w:t>：能够识别需要缓和医疗的老年患者。能够提供基本的缓和医疗服务。</w:t>
            </w:r>
          </w:p>
          <w:p w14:paraId="36D0D796">
            <w:pPr>
              <w:widowControl w:val="0"/>
              <w:jc w:val="both"/>
              <w:rPr>
                <w:rFonts w:hint="eastAsia"/>
                <w:b/>
                <w:bCs/>
                <w:sz w:val="21"/>
                <w:szCs w:val="21"/>
              </w:rPr>
            </w:pPr>
          </w:p>
          <w:p w14:paraId="6D124D1F">
            <w:pPr>
              <w:widowControl w:val="0"/>
              <w:jc w:val="both"/>
              <w:rPr>
                <w:rFonts w:hint="eastAsia"/>
                <w:b/>
                <w:bCs/>
                <w:sz w:val="21"/>
                <w:szCs w:val="21"/>
              </w:rPr>
            </w:pPr>
            <w:r>
              <w:rPr>
                <w:rFonts w:hint="eastAsia"/>
                <w:b/>
                <w:bCs/>
                <w:sz w:val="21"/>
                <w:szCs w:val="21"/>
              </w:rPr>
              <w:t>第十二章：老年医学伦理问题</w:t>
            </w:r>
          </w:p>
          <w:p w14:paraId="59229A84">
            <w:pPr>
              <w:widowControl w:val="0"/>
              <w:ind w:firstLine="420" w:firstLineChars="200"/>
              <w:jc w:val="both"/>
              <w:rPr>
                <w:rFonts w:hint="eastAsia"/>
                <w:sz w:val="21"/>
                <w:szCs w:val="21"/>
              </w:rPr>
            </w:pPr>
            <w:r>
              <w:rPr>
                <w:sz w:val="21"/>
                <w:szCs w:val="21"/>
              </w:rPr>
              <w:t>知识点</w:t>
            </w:r>
            <w:r>
              <w:rPr>
                <w:rFonts w:hint="eastAsia"/>
                <w:sz w:val="21"/>
                <w:szCs w:val="21"/>
              </w:rPr>
              <w:t>：老年医学中的伦理问题（如知情同意、医疗决策等）。老年医学伦理的基本原则。伦理问题对老年健康管理的影响。</w:t>
            </w:r>
          </w:p>
          <w:p w14:paraId="6C3DB771">
            <w:pPr>
              <w:widowControl w:val="0"/>
              <w:ind w:firstLine="420" w:firstLineChars="200"/>
              <w:jc w:val="both"/>
              <w:rPr>
                <w:rFonts w:hint="eastAsia"/>
                <w:sz w:val="21"/>
                <w:szCs w:val="21"/>
              </w:rPr>
            </w:pPr>
            <w:r>
              <w:rPr>
                <w:sz w:val="21"/>
                <w:szCs w:val="21"/>
              </w:rPr>
              <w:t>教学难点</w:t>
            </w:r>
            <w:r>
              <w:rPr>
                <w:rFonts w:hint="eastAsia"/>
                <w:sz w:val="21"/>
                <w:szCs w:val="21"/>
              </w:rPr>
              <w:t>：伦理和法律问题的复杂性和多样性。如何在实际工作中处理伦理问题。</w:t>
            </w:r>
          </w:p>
          <w:p w14:paraId="064FE7CD">
            <w:pPr>
              <w:widowControl w:val="0"/>
              <w:ind w:firstLine="420" w:firstLineChars="200"/>
              <w:jc w:val="both"/>
              <w:rPr>
                <w:rFonts w:hint="eastAsia"/>
                <w:sz w:val="21"/>
                <w:szCs w:val="21"/>
              </w:rPr>
            </w:pPr>
            <w:r>
              <w:rPr>
                <w:sz w:val="21"/>
                <w:szCs w:val="21"/>
              </w:rPr>
              <w:t>能力要求</w:t>
            </w:r>
            <w:r>
              <w:rPr>
                <w:rFonts w:hint="eastAsia"/>
                <w:sz w:val="21"/>
                <w:szCs w:val="21"/>
              </w:rPr>
              <w:t>：能够分析老年医学中的伦理问题。能够在实践中遵循伦理原则。</w:t>
            </w:r>
          </w:p>
          <w:p w14:paraId="5301B0C1">
            <w:pPr>
              <w:widowControl w:val="0"/>
              <w:jc w:val="both"/>
              <w:rPr>
                <w:rFonts w:hint="eastAsia"/>
                <w:sz w:val="21"/>
                <w:szCs w:val="21"/>
              </w:rPr>
            </w:pPr>
          </w:p>
          <w:p w14:paraId="427C5A3F">
            <w:pPr>
              <w:widowControl w:val="0"/>
              <w:jc w:val="both"/>
              <w:rPr>
                <w:rFonts w:hint="eastAsia"/>
                <w:b/>
                <w:bCs/>
                <w:sz w:val="21"/>
                <w:szCs w:val="21"/>
              </w:rPr>
            </w:pPr>
            <w:r>
              <w:rPr>
                <w:rFonts w:hint="eastAsia"/>
                <w:b/>
                <w:bCs/>
                <w:sz w:val="21"/>
                <w:szCs w:val="21"/>
              </w:rPr>
              <w:t>第十三章：老年认知功能障碍</w:t>
            </w:r>
          </w:p>
          <w:p w14:paraId="32581452">
            <w:pPr>
              <w:widowControl w:val="0"/>
              <w:ind w:firstLine="420" w:firstLineChars="200"/>
              <w:jc w:val="both"/>
              <w:rPr>
                <w:rFonts w:hint="eastAsia"/>
                <w:sz w:val="21"/>
                <w:szCs w:val="21"/>
              </w:rPr>
            </w:pPr>
            <w:r>
              <w:rPr>
                <w:sz w:val="21"/>
                <w:szCs w:val="21"/>
              </w:rPr>
              <w:t>知识点</w:t>
            </w:r>
            <w:r>
              <w:rPr>
                <w:rFonts w:hint="eastAsia"/>
                <w:sz w:val="21"/>
                <w:szCs w:val="21"/>
              </w:rPr>
              <w:t>：认知功能障碍的定义、类型（如阿尔茨海默病、血管性痴呆等）。认知功能障碍的评估方法和诊断标准。认知功能障碍的管理策略和干预措施。</w:t>
            </w:r>
          </w:p>
          <w:p w14:paraId="782A0507">
            <w:pPr>
              <w:widowControl w:val="0"/>
              <w:ind w:firstLine="420" w:firstLineChars="200"/>
              <w:jc w:val="both"/>
              <w:rPr>
                <w:rFonts w:hint="eastAsia"/>
                <w:sz w:val="21"/>
                <w:szCs w:val="21"/>
              </w:rPr>
            </w:pPr>
            <w:r>
              <w:rPr>
                <w:sz w:val="21"/>
                <w:szCs w:val="21"/>
              </w:rPr>
              <w:t>教学难点</w:t>
            </w:r>
            <w:r>
              <w:rPr>
                <w:rFonts w:hint="eastAsia"/>
                <w:sz w:val="21"/>
                <w:szCs w:val="21"/>
              </w:rPr>
              <w:t>：如何早期识别认知功能障碍。如何结合心理干预和药物治疗。</w:t>
            </w:r>
          </w:p>
          <w:p w14:paraId="3D933A0E">
            <w:pPr>
              <w:widowControl w:val="0"/>
              <w:ind w:firstLine="420" w:firstLineChars="200"/>
              <w:jc w:val="both"/>
              <w:rPr>
                <w:rFonts w:hint="eastAsia"/>
                <w:sz w:val="21"/>
                <w:szCs w:val="21"/>
              </w:rPr>
            </w:pPr>
            <w:r>
              <w:rPr>
                <w:sz w:val="21"/>
                <w:szCs w:val="21"/>
              </w:rPr>
              <w:t>能力要求</w:t>
            </w:r>
            <w:r>
              <w:rPr>
                <w:rFonts w:hint="eastAsia"/>
                <w:sz w:val="21"/>
                <w:szCs w:val="21"/>
              </w:rPr>
              <w:t>：能够识别认知功能障碍的表现。能够制定和实施干预计划。</w:t>
            </w:r>
          </w:p>
          <w:p w14:paraId="1833EB84">
            <w:pPr>
              <w:widowControl w:val="0"/>
              <w:jc w:val="both"/>
              <w:rPr>
                <w:rFonts w:hint="eastAsia"/>
                <w:sz w:val="21"/>
                <w:szCs w:val="21"/>
              </w:rPr>
            </w:pPr>
          </w:p>
          <w:p w14:paraId="5426EEAC">
            <w:pPr>
              <w:widowControl w:val="0"/>
              <w:jc w:val="both"/>
              <w:rPr>
                <w:rFonts w:hint="eastAsia"/>
                <w:b/>
                <w:bCs/>
                <w:sz w:val="21"/>
                <w:szCs w:val="21"/>
              </w:rPr>
            </w:pPr>
            <w:r>
              <w:rPr>
                <w:rFonts w:hint="eastAsia"/>
                <w:b/>
                <w:bCs/>
                <w:sz w:val="21"/>
                <w:szCs w:val="21"/>
              </w:rPr>
              <w:t>第十四章：老年综合征与老年常见问题的评估和干预</w:t>
            </w:r>
          </w:p>
          <w:p w14:paraId="22B0D299">
            <w:pPr>
              <w:widowControl w:val="0"/>
              <w:ind w:firstLine="420" w:firstLineChars="200"/>
              <w:jc w:val="both"/>
              <w:rPr>
                <w:rFonts w:hint="eastAsia"/>
                <w:sz w:val="21"/>
                <w:szCs w:val="21"/>
              </w:rPr>
            </w:pPr>
            <w:r>
              <w:rPr>
                <w:sz w:val="21"/>
                <w:szCs w:val="21"/>
              </w:rPr>
              <w:t>知识点</w:t>
            </w:r>
            <w:r>
              <w:rPr>
                <w:rFonts w:hint="eastAsia"/>
                <w:sz w:val="21"/>
                <w:szCs w:val="21"/>
              </w:rPr>
              <w:t>：老年人营养不良的原因、表现和预防措施。视力障碍和听力障碍的常见原因、表现和干预方法。营养、视力和听力障碍对生活质量的影响。</w:t>
            </w:r>
          </w:p>
          <w:p w14:paraId="21F919B0">
            <w:pPr>
              <w:widowControl w:val="0"/>
              <w:ind w:firstLine="420" w:firstLineChars="200"/>
              <w:jc w:val="both"/>
              <w:rPr>
                <w:rFonts w:hint="eastAsia"/>
                <w:sz w:val="21"/>
                <w:szCs w:val="21"/>
              </w:rPr>
            </w:pPr>
            <w:r>
              <w:rPr>
                <w:sz w:val="21"/>
                <w:szCs w:val="21"/>
              </w:rPr>
              <w:t>教学难点</w:t>
            </w:r>
            <w:r>
              <w:rPr>
                <w:rFonts w:hint="eastAsia"/>
                <w:sz w:val="21"/>
                <w:szCs w:val="21"/>
              </w:rPr>
              <w:t>：如何早期发现和干预营养不良、视力和听力障碍。如何结合健康管理改善老年人的生活质量。</w:t>
            </w:r>
          </w:p>
          <w:p w14:paraId="4777044B">
            <w:pPr>
              <w:widowControl w:val="0"/>
              <w:ind w:firstLine="420" w:firstLineChars="200"/>
              <w:jc w:val="both"/>
              <w:rPr>
                <w:rFonts w:hint="eastAsia"/>
                <w:sz w:val="21"/>
                <w:szCs w:val="21"/>
              </w:rPr>
            </w:pPr>
            <w:r>
              <w:rPr>
                <w:sz w:val="21"/>
                <w:szCs w:val="21"/>
              </w:rPr>
              <w:t>能力要求</w:t>
            </w:r>
            <w:r>
              <w:rPr>
                <w:rFonts w:hint="eastAsia"/>
                <w:sz w:val="21"/>
                <w:szCs w:val="21"/>
              </w:rPr>
              <w:t>：能够识别营养不良、视力和听力障碍的表现。能够制定和实施干预措施。</w:t>
            </w:r>
          </w:p>
          <w:p w14:paraId="6A6366AF">
            <w:pPr>
              <w:widowControl w:val="0"/>
              <w:jc w:val="both"/>
              <w:rPr>
                <w:rFonts w:hint="eastAsia"/>
                <w:sz w:val="21"/>
                <w:szCs w:val="21"/>
              </w:rPr>
            </w:pPr>
          </w:p>
          <w:p w14:paraId="3BEC9940">
            <w:pPr>
              <w:widowControl w:val="0"/>
              <w:jc w:val="both"/>
              <w:rPr>
                <w:rFonts w:hint="eastAsia"/>
                <w:b/>
                <w:bCs/>
                <w:sz w:val="21"/>
                <w:szCs w:val="21"/>
              </w:rPr>
            </w:pPr>
            <w:r>
              <w:rPr>
                <w:rFonts w:hint="eastAsia"/>
                <w:b/>
                <w:bCs/>
                <w:sz w:val="21"/>
                <w:szCs w:val="21"/>
              </w:rPr>
              <w:t>第十五章：常见老年疾病特点及综合诊治</w:t>
            </w:r>
          </w:p>
          <w:p w14:paraId="0F6DC486">
            <w:pPr>
              <w:widowControl w:val="0"/>
              <w:ind w:firstLine="420" w:firstLineChars="200"/>
              <w:jc w:val="both"/>
              <w:rPr>
                <w:rFonts w:hint="eastAsia"/>
                <w:sz w:val="21"/>
                <w:szCs w:val="21"/>
              </w:rPr>
            </w:pPr>
            <w:r>
              <w:rPr>
                <w:sz w:val="21"/>
                <w:szCs w:val="21"/>
              </w:rPr>
              <w:t>知识点</w:t>
            </w:r>
            <w:r>
              <w:rPr>
                <w:rFonts w:hint="eastAsia"/>
                <w:sz w:val="21"/>
                <w:szCs w:val="21"/>
              </w:rPr>
              <w:t>：常见老年疾病（如心血管疾病、糖尿病、骨质疏松等）的特点。综合诊治的原则和方法。多病共存的管理策略。</w:t>
            </w:r>
          </w:p>
          <w:p w14:paraId="5F595177">
            <w:pPr>
              <w:widowControl w:val="0"/>
              <w:ind w:firstLine="420" w:firstLineChars="200"/>
              <w:jc w:val="both"/>
              <w:rPr>
                <w:rFonts w:hint="eastAsia"/>
                <w:sz w:val="21"/>
                <w:szCs w:val="21"/>
              </w:rPr>
            </w:pPr>
            <w:r>
              <w:rPr>
                <w:sz w:val="21"/>
                <w:szCs w:val="21"/>
              </w:rPr>
              <w:t>教学难点</w:t>
            </w:r>
            <w:r>
              <w:rPr>
                <w:rFonts w:hint="eastAsia"/>
                <w:sz w:val="21"/>
                <w:szCs w:val="21"/>
              </w:rPr>
              <w:t>：如何结合老年人的特点进行综合诊治。多病共存的药物管理和康复指导。</w:t>
            </w:r>
          </w:p>
          <w:p w14:paraId="6C621B2A">
            <w:pPr>
              <w:widowControl w:val="0"/>
              <w:ind w:firstLine="420" w:firstLineChars="200"/>
              <w:jc w:val="both"/>
              <w:rPr>
                <w:rFonts w:hint="eastAsia"/>
                <w:sz w:val="21"/>
                <w:szCs w:val="21"/>
              </w:rPr>
            </w:pPr>
            <w:r>
              <w:rPr>
                <w:sz w:val="21"/>
                <w:szCs w:val="21"/>
              </w:rPr>
              <w:t>能力要求</w:t>
            </w:r>
            <w:r>
              <w:rPr>
                <w:rFonts w:hint="eastAsia"/>
                <w:sz w:val="21"/>
                <w:szCs w:val="21"/>
              </w:rPr>
              <w:t>：能分析常见老年疾病的特点。能够制定综合诊治计划。</w:t>
            </w:r>
          </w:p>
          <w:p w14:paraId="45F1FF81">
            <w:pPr>
              <w:widowControl w:val="0"/>
              <w:jc w:val="both"/>
              <w:rPr>
                <w:rFonts w:hint="eastAsia"/>
                <w:sz w:val="21"/>
                <w:szCs w:val="21"/>
              </w:rPr>
            </w:pPr>
          </w:p>
          <w:p w14:paraId="0AB915AB">
            <w:pPr>
              <w:widowControl w:val="0"/>
              <w:jc w:val="both"/>
              <w:rPr>
                <w:rFonts w:hint="eastAsia"/>
                <w:b/>
                <w:bCs/>
                <w:sz w:val="21"/>
                <w:szCs w:val="21"/>
              </w:rPr>
            </w:pPr>
            <w:r>
              <w:rPr>
                <w:rFonts w:hint="eastAsia"/>
                <w:b/>
                <w:bCs/>
                <w:sz w:val="21"/>
                <w:szCs w:val="21"/>
              </w:rPr>
              <w:t>第十六章：老年家庭护理和照顾</w:t>
            </w:r>
          </w:p>
          <w:p w14:paraId="4FF49B5D">
            <w:pPr>
              <w:widowControl w:val="0"/>
              <w:ind w:firstLine="420" w:firstLineChars="200"/>
              <w:jc w:val="both"/>
              <w:rPr>
                <w:rFonts w:hint="eastAsia"/>
                <w:sz w:val="21"/>
                <w:szCs w:val="21"/>
              </w:rPr>
            </w:pPr>
            <w:r>
              <w:rPr>
                <w:sz w:val="21"/>
                <w:szCs w:val="21"/>
              </w:rPr>
              <w:t>知识点</w:t>
            </w:r>
            <w:r>
              <w:rPr>
                <w:rFonts w:hint="eastAsia"/>
                <w:sz w:val="21"/>
                <w:szCs w:val="21"/>
              </w:rPr>
              <w:t>：老年家庭护理的特点和重要性。家庭护理的常见内容和方法。家庭照顾者的作用和心理支持。</w:t>
            </w:r>
          </w:p>
          <w:p w14:paraId="3FB4F6E6">
            <w:pPr>
              <w:widowControl w:val="0"/>
              <w:ind w:firstLine="420" w:firstLineChars="200"/>
              <w:jc w:val="both"/>
              <w:rPr>
                <w:rFonts w:hint="eastAsia"/>
                <w:sz w:val="21"/>
                <w:szCs w:val="21"/>
              </w:rPr>
            </w:pPr>
            <w:r>
              <w:rPr>
                <w:sz w:val="21"/>
                <w:szCs w:val="21"/>
              </w:rPr>
              <w:t>教学难点</w:t>
            </w:r>
            <w:r>
              <w:rPr>
                <w:rFonts w:hint="eastAsia"/>
                <w:sz w:val="21"/>
                <w:szCs w:val="21"/>
              </w:rPr>
              <w:t>：如何根据家庭环境提供有效的护理。如何支持家庭照顾者的心理健康。</w:t>
            </w:r>
          </w:p>
          <w:p w14:paraId="06425E18">
            <w:pPr>
              <w:widowControl w:val="0"/>
              <w:ind w:firstLine="420" w:firstLineChars="200"/>
              <w:jc w:val="both"/>
              <w:rPr>
                <w:rFonts w:hint="eastAsia"/>
                <w:sz w:val="21"/>
                <w:szCs w:val="21"/>
              </w:rPr>
            </w:pPr>
            <w:r>
              <w:rPr>
                <w:sz w:val="21"/>
                <w:szCs w:val="21"/>
              </w:rPr>
              <w:t>能力要求</w:t>
            </w:r>
            <w:r>
              <w:rPr>
                <w:rFonts w:hint="eastAsia"/>
                <w:sz w:val="21"/>
                <w:szCs w:val="21"/>
              </w:rPr>
              <w:t>：能够制定适合家庭环境的护理计划。能够指导家庭成员进行护理。</w:t>
            </w:r>
          </w:p>
        </w:tc>
      </w:tr>
    </w:tbl>
    <w:p w14:paraId="23360FE8">
      <w:pPr>
        <w:pStyle w:val="19"/>
        <w:numPr>
          <w:ilvl w:val="0"/>
          <w:numId w:val="1"/>
        </w:numPr>
        <w:spacing w:before="163" w:after="163"/>
      </w:pPr>
      <w:r>
        <w:rPr>
          <w:rFonts w:hint="eastAsia"/>
        </w:rPr>
        <w:t>教学单元对课程目标的支撑关系</w:t>
      </w:r>
    </w:p>
    <w:tbl>
      <w:tblPr>
        <w:tblStyle w:val="9"/>
        <w:tblpPr w:leftFromText="180" w:rightFromText="180" w:vertAnchor="text" w:horzAnchor="page" w:tblpXSpec="center" w:tblpY="627"/>
        <w:tblOverlap w:val="never"/>
        <w:tblW w:w="51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304"/>
        <w:gridCol w:w="1170"/>
        <w:gridCol w:w="1709"/>
        <w:gridCol w:w="1688"/>
        <w:gridCol w:w="1908"/>
      </w:tblGrid>
      <w:tr w14:paraId="33FA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253" w:type="dxa"/>
            <w:tcBorders>
              <w:top w:val="single" w:color="auto" w:sz="12" w:space="0"/>
              <w:left w:val="single" w:color="auto" w:sz="12" w:space="0"/>
              <w:tl2br w:val="single" w:color="auto" w:sz="4" w:space="0"/>
            </w:tcBorders>
          </w:tcPr>
          <w:p w14:paraId="6C0CFA57">
            <w:pPr>
              <w:pStyle w:val="15"/>
            </w:pPr>
            <w:r>
              <w:rPr>
                <w:rFonts w:hint="eastAsia"/>
              </w:rPr>
              <w:t>课程目标</w:t>
            </w:r>
          </w:p>
          <w:p w14:paraId="48ECCB40">
            <w:pPr>
              <w:pStyle w:val="15"/>
            </w:pPr>
          </w:p>
          <w:p w14:paraId="3F3E229A">
            <w:pPr>
              <w:pStyle w:val="15"/>
            </w:pPr>
            <w:r>
              <w:rPr>
                <w:rFonts w:hint="eastAsia"/>
              </w:rPr>
              <w:t>教学单元</w:t>
            </w:r>
          </w:p>
        </w:tc>
        <w:tc>
          <w:tcPr>
            <w:tcW w:w="1144" w:type="dxa"/>
            <w:tcBorders>
              <w:top w:val="single" w:color="auto" w:sz="12" w:space="0"/>
            </w:tcBorders>
            <w:vAlign w:val="center"/>
          </w:tcPr>
          <w:p w14:paraId="4DC24B4E">
            <w:pPr>
              <w:pStyle w:val="15"/>
            </w:pPr>
            <w:r>
              <w:rPr>
                <w:rFonts w:hint="eastAsia"/>
              </w:rPr>
              <w:t>1</w:t>
            </w:r>
          </w:p>
        </w:tc>
        <w:tc>
          <w:tcPr>
            <w:tcW w:w="1671" w:type="dxa"/>
            <w:tcBorders>
              <w:top w:val="single" w:color="auto" w:sz="12" w:space="0"/>
            </w:tcBorders>
            <w:vAlign w:val="center"/>
          </w:tcPr>
          <w:p w14:paraId="31CFD59D">
            <w:pPr>
              <w:pStyle w:val="15"/>
            </w:pPr>
            <w:r>
              <w:rPr>
                <w:rFonts w:hint="eastAsia"/>
              </w:rPr>
              <w:t>2</w:t>
            </w:r>
          </w:p>
        </w:tc>
        <w:tc>
          <w:tcPr>
            <w:tcW w:w="1650" w:type="dxa"/>
            <w:tcBorders>
              <w:top w:val="single" w:color="auto" w:sz="12" w:space="0"/>
            </w:tcBorders>
            <w:vAlign w:val="center"/>
          </w:tcPr>
          <w:p w14:paraId="0D42BF8E">
            <w:pPr>
              <w:pStyle w:val="15"/>
            </w:pPr>
            <w:r>
              <w:rPr>
                <w:rFonts w:hint="eastAsia"/>
              </w:rPr>
              <w:t>3</w:t>
            </w:r>
          </w:p>
        </w:tc>
        <w:tc>
          <w:tcPr>
            <w:tcW w:w="1865" w:type="dxa"/>
            <w:tcBorders>
              <w:top w:val="single" w:color="auto" w:sz="12" w:space="0"/>
            </w:tcBorders>
            <w:vAlign w:val="center"/>
          </w:tcPr>
          <w:p w14:paraId="54BB640E">
            <w:pPr>
              <w:pStyle w:val="15"/>
            </w:pPr>
            <w:r>
              <w:rPr>
                <w:rFonts w:hint="eastAsia"/>
              </w:rPr>
              <w:t>4</w:t>
            </w:r>
          </w:p>
        </w:tc>
      </w:tr>
      <w:tr w14:paraId="2C3B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25544EB1">
            <w:pPr>
              <w:pStyle w:val="16"/>
              <w:framePr w:hSpace="0" w:wrap="auto" w:vAnchor="margin" w:hAnchor="text" w:xAlign="left" w:yAlign="inline"/>
            </w:pPr>
            <w:r>
              <w:t>人口老龄化与老年医学发展</w:t>
            </w:r>
          </w:p>
        </w:tc>
        <w:tc>
          <w:tcPr>
            <w:tcW w:w="1144" w:type="dxa"/>
            <w:vAlign w:val="center"/>
          </w:tcPr>
          <w:p w14:paraId="2E5BA223">
            <w:pPr>
              <w:pStyle w:val="16"/>
              <w:framePr w:hSpace="0" w:wrap="auto" w:vAnchor="margin" w:hAnchor="text" w:xAlign="left" w:yAlign="inline"/>
            </w:pPr>
            <w:r>
              <w:rPr>
                <w:rFonts w:hint="eastAsia"/>
              </w:rPr>
              <w:t>√</w:t>
            </w:r>
          </w:p>
        </w:tc>
        <w:tc>
          <w:tcPr>
            <w:tcW w:w="1671" w:type="dxa"/>
            <w:vAlign w:val="center"/>
          </w:tcPr>
          <w:p w14:paraId="0C67D749">
            <w:pPr>
              <w:pStyle w:val="16"/>
              <w:framePr w:hSpace="0" w:wrap="auto" w:vAnchor="margin" w:hAnchor="text" w:xAlign="left" w:yAlign="inline"/>
            </w:pPr>
            <w:r>
              <w:rPr>
                <w:rFonts w:hint="eastAsia"/>
              </w:rPr>
              <w:t>√</w:t>
            </w:r>
          </w:p>
        </w:tc>
        <w:tc>
          <w:tcPr>
            <w:tcW w:w="1650" w:type="dxa"/>
            <w:vAlign w:val="center"/>
          </w:tcPr>
          <w:p w14:paraId="06BAB256">
            <w:pPr>
              <w:pStyle w:val="16"/>
              <w:framePr w:hSpace="0" w:wrap="auto" w:vAnchor="margin" w:hAnchor="text" w:xAlign="left" w:yAlign="inline"/>
            </w:pPr>
          </w:p>
        </w:tc>
        <w:tc>
          <w:tcPr>
            <w:tcW w:w="1865" w:type="dxa"/>
            <w:vAlign w:val="center"/>
          </w:tcPr>
          <w:p w14:paraId="4358442A">
            <w:pPr>
              <w:pStyle w:val="16"/>
              <w:framePr w:hSpace="0" w:wrap="auto" w:vAnchor="margin" w:hAnchor="text" w:xAlign="left" w:yAlign="inline"/>
            </w:pPr>
            <w:r>
              <w:rPr>
                <w:rFonts w:hint="eastAsia"/>
              </w:rPr>
              <w:t>√</w:t>
            </w:r>
          </w:p>
        </w:tc>
      </w:tr>
      <w:tr w14:paraId="6CF7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253" w:type="dxa"/>
            <w:tcBorders>
              <w:left w:val="single" w:color="auto" w:sz="12" w:space="0"/>
            </w:tcBorders>
          </w:tcPr>
          <w:p w14:paraId="0FD63C51">
            <w:pPr>
              <w:pStyle w:val="16"/>
              <w:framePr w:hSpace="0" w:wrap="auto" w:vAnchor="margin" w:hAnchor="text" w:xAlign="left" w:yAlign="inline"/>
            </w:pPr>
            <w:r>
              <w:t>衰老</w:t>
            </w:r>
          </w:p>
        </w:tc>
        <w:tc>
          <w:tcPr>
            <w:tcW w:w="1144" w:type="dxa"/>
            <w:vAlign w:val="center"/>
          </w:tcPr>
          <w:p w14:paraId="28D4A886">
            <w:pPr>
              <w:pStyle w:val="16"/>
              <w:framePr w:hSpace="0" w:wrap="auto" w:vAnchor="margin" w:hAnchor="text" w:xAlign="left" w:yAlign="inline"/>
            </w:pPr>
            <w:r>
              <w:rPr>
                <w:rFonts w:hint="eastAsia"/>
              </w:rPr>
              <w:t>√</w:t>
            </w:r>
          </w:p>
        </w:tc>
        <w:tc>
          <w:tcPr>
            <w:tcW w:w="1671" w:type="dxa"/>
            <w:vAlign w:val="center"/>
          </w:tcPr>
          <w:p w14:paraId="0151DFE5">
            <w:pPr>
              <w:pStyle w:val="16"/>
              <w:framePr w:hSpace="0" w:wrap="auto" w:vAnchor="margin" w:hAnchor="text" w:xAlign="left" w:yAlign="inline"/>
            </w:pPr>
            <w:r>
              <w:rPr>
                <w:rFonts w:hint="eastAsia"/>
              </w:rPr>
              <w:t>√</w:t>
            </w:r>
          </w:p>
        </w:tc>
        <w:tc>
          <w:tcPr>
            <w:tcW w:w="1650" w:type="dxa"/>
            <w:vAlign w:val="center"/>
          </w:tcPr>
          <w:p w14:paraId="3D07050C">
            <w:pPr>
              <w:pStyle w:val="16"/>
              <w:framePr w:hSpace="0" w:wrap="auto" w:vAnchor="margin" w:hAnchor="text" w:xAlign="left" w:yAlign="inline"/>
            </w:pPr>
            <w:r>
              <w:rPr>
                <w:rFonts w:hint="eastAsia"/>
              </w:rPr>
              <w:t>√</w:t>
            </w:r>
          </w:p>
        </w:tc>
        <w:tc>
          <w:tcPr>
            <w:tcW w:w="1865" w:type="dxa"/>
            <w:vAlign w:val="center"/>
          </w:tcPr>
          <w:p w14:paraId="51596152">
            <w:pPr>
              <w:pStyle w:val="16"/>
              <w:framePr w:hSpace="0" w:wrap="auto" w:vAnchor="margin" w:hAnchor="text" w:xAlign="left" w:yAlign="inline"/>
            </w:pPr>
            <w:r>
              <w:rPr>
                <w:rFonts w:hint="eastAsia"/>
              </w:rPr>
              <w:t>√</w:t>
            </w:r>
          </w:p>
        </w:tc>
      </w:tr>
      <w:tr w14:paraId="6556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6987CF0E">
            <w:pPr>
              <w:pStyle w:val="16"/>
              <w:framePr w:hSpace="0" w:wrap="auto" w:vAnchor="margin" w:hAnchor="text" w:xAlign="left" w:yAlign="inline"/>
            </w:pPr>
            <w:r>
              <w:t>老年综合评估</w:t>
            </w:r>
          </w:p>
        </w:tc>
        <w:tc>
          <w:tcPr>
            <w:tcW w:w="1144" w:type="dxa"/>
            <w:vAlign w:val="center"/>
          </w:tcPr>
          <w:p w14:paraId="1A1F35D0">
            <w:pPr>
              <w:pStyle w:val="16"/>
              <w:framePr w:hSpace="0" w:wrap="auto" w:vAnchor="margin" w:hAnchor="text" w:xAlign="left" w:yAlign="inline"/>
            </w:pPr>
            <w:r>
              <w:rPr>
                <w:rFonts w:hint="eastAsia"/>
              </w:rPr>
              <w:t>√</w:t>
            </w:r>
          </w:p>
        </w:tc>
        <w:tc>
          <w:tcPr>
            <w:tcW w:w="1671" w:type="dxa"/>
            <w:vAlign w:val="center"/>
          </w:tcPr>
          <w:p w14:paraId="3A602B5A">
            <w:pPr>
              <w:pStyle w:val="16"/>
              <w:framePr w:hSpace="0" w:wrap="auto" w:vAnchor="margin" w:hAnchor="text" w:xAlign="left" w:yAlign="inline"/>
            </w:pPr>
            <w:r>
              <w:rPr>
                <w:rFonts w:hint="eastAsia"/>
              </w:rPr>
              <w:t>√</w:t>
            </w:r>
          </w:p>
        </w:tc>
        <w:tc>
          <w:tcPr>
            <w:tcW w:w="1650" w:type="dxa"/>
            <w:vAlign w:val="center"/>
          </w:tcPr>
          <w:p w14:paraId="166BFDC8">
            <w:pPr>
              <w:pStyle w:val="16"/>
              <w:framePr w:hSpace="0" w:wrap="auto" w:vAnchor="margin" w:hAnchor="text" w:xAlign="left" w:yAlign="inline"/>
            </w:pPr>
            <w:r>
              <w:rPr>
                <w:rFonts w:hint="eastAsia"/>
              </w:rPr>
              <w:t>√</w:t>
            </w:r>
          </w:p>
        </w:tc>
        <w:tc>
          <w:tcPr>
            <w:tcW w:w="1865" w:type="dxa"/>
            <w:vAlign w:val="center"/>
          </w:tcPr>
          <w:p w14:paraId="47F38C37">
            <w:pPr>
              <w:pStyle w:val="16"/>
              <w:framePr w:hSpace="0" w:wrap="auto" w:vAnchor="margin" w:hAnchor="text" w:xAlign="left" w:yAlign="inline"/>
            </w:pPr>
            <w:r>
              <w:rPr>
                <w:rFonts w:hint="eastAsia"/>
              </w:rPr>
              <w:t>√</w:t>
            </w:r>
          </w:p>
        </w:tc>
      </w:tr>
      <w:tr w14:paraId="0AA7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54D18594">
            <w:pPr>
              <w:pStyle w:val="16"/>
              <w:framePr w:hSpace="0" w:wrap="auto" w:vAnchor="margin" w:hAnchor="text" w:xAlign="left" w:yAlign="inline"/>
            </w:pPr>
            <w:r>
              <w:t>老年医学多学科团队</w:t>
            </w:r>
          </w:p>
        </w:tc>
        <w:tc>
          <w:tcPr>
            <w:tcW w:w="1144" w:type="dxa"/>
            <w:vAlign w:val="center"/>
          </w:tcPr>
          <w:p w14:paraId="04FE6D24">
            <w:pPr>
              <w:pStyle w:val="16"/>
              <w:framePr w:hSpace="0" w:wrap="auto" w:vAnchor="margin" w:hAnchor="text" w:xAlign="left" w:yAlign="inline"/>
            </w:pPr>
            <w:r>
              <w:rPr>
                <w:rFonts w:hint="eastAsia"/>
              </w:rPr>
              <w:t>√</w:t>
            </w:r>
          </w:p>
        </w:tc>
        <w:tc>
          <w:tcPr>
            <w:tcW w:w="1671" w:type="dxa"/>
            <w:vAlign w:val="center"/>
          </w:tcPr>
          <w:p w14:paraId="2FADA08C">
            <w:pPr>
              <w:pStyle w:val="16"/>
              <w:framePr w:hSpace="0" w:wrap="auto" w:vAnchor="margin" w:hAnchor="text" w:xAlign="left" w:yAlign="inline"/>
            </w:pPr>
            <w:r>
              <w:rPr>
                <w:rFonts w:hint="eastAsia"/>
              </w:rPr>
              <w:t>√</w:t>
            </w:r>
          </w:p>
        </w:tc>
        <w:tc>
          <w:tcPr>
            <w:tcW w:w="1650" w:type="dxa"/>
            <w:vAlign w:val="center"/>
          </w:tcPr>
          <w:p w14:paraId="32F4E39E">
            <w:pPr>
              <w:pStyle w:val="16"/>
              <w:framePr w:hSpace="0" w:wrap="auto" w:vAnchor="margin" w:hAnchor="text" w:xAlign="left" w:yAlign="inline"/>
            </w:pPr>
            <w:r>
              <w:rPr>
                <w:rFonts w:hint="eastAsia"/>
              </w:rPr>
              <w:t>√</w:t>
            </w:r>
          </w:p>
        </w:tc>
        <w:tc>
          <w:tcPr>
            <w:tcW w:w="1865" w:type="dxa"/>
            <w:vAlign w:val="center"/>
          </w:tcPr>
          <w:p w14:paraId="77CCE62F">
            <w:pPr>
              <w:pStyle w:val="16"/>
              <w:framePr w:hSpace="0" w:wrap="auto" w:vAnchor="margin" w:hAnchor="text" w:xAlign="left" w:yAlign="inline"/>
            </w:pPr>
            <w:r>
              <w:rPr>
                <w:rFonts w:hint="eastAsia"/>
              </w:rPr>
              <w:t>√</w:t>
            </w:r>
          </w:p>
        </w:tc>
      </w:tr>
      <w:tr w14:paraId="7D74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57B36CF0">
            <w:pPr>
              <w:pStyle w:val="16"/>
              <w:framePr w:hSpace="0" w:wrap="auto" w:vAnchor="margin" w:hAnchor="text" w:xAlign="left" w:yAlign="inline"/>
            </w:pPr>
            <w:r>
              <w:t>老年共病管理</w:t>
            </w:r>
          </w:p>
        </w:tc>
        <w:tc>
          <w:tcPr>
            <w:tcW w:w="1144" w:type="dxa"/>
            <w:vAlign w:val="center"/>
          </w:tcPr>
          <w:p w14:paraId="19672994">
            <w:pPr>
              <w:pStyle w:val="16"/>
              <w:framePr w:hSpace="0" w:wrap="auto" w:vAnchor="margin" w:hAnchor="text" w:xAlign="left" w:yAlign="inline"/>
            </w:pPr>
            <w:r>
              <w:rPr>
                <w:rFonts w:hint="eastAsia"/>
              </w:rPr>
              <w:t>√</w:t>
            </w:r>
          </w:p>
        </w:tc>
        <w:tc>
          <w:tcPr>
            <w:tcW w:w="1671" w:type="dxa"/>
            <w:vAlign w:val="center"/>
          </w:tcPr>
          <w:p w14:paraId="25B2C5F2">
            <w:pPr>
              <w:pStyle w:val="16"/>
              <w:framePr w:hSpace="0" w:wrap="auto" w:vAnchor="margin" w:hAnchor="text" w:xAlign="left" w:yAlign="inline"/>
            </w:pPr>
          </w:p>
        </w:tc>
        <w:tc>
          <w:tcPr>
            <w:tcW w:w="1650" w:type="dxa"/>
            <w:vAlign w:val="center"/>
          </w:tcPr>
          <w:p w14:paraId="56608AB6">
            <w:pPr>
              <w:pStyle w:val="16"/>
              <w:framePr w:hSpace="0" w:wrap="auto" w:vAnchor="margin" w:hAnchor="text" w:xAlign="left" w:yAlign="inline"/>
            </w:pPr>
            <w:r>
              <w:rPr>
                <w:rFonts w:hint="eastAsia"/>
              </w:rPr>
              <w:t>√</w:t>
            </w:r>
          </w:p>
        </w:tc>
        <w:tc>
          <w:tcPr>
            <w:tcW w:w="1865" w:type="dxa"/>
            <w:vAlign w:val="center"/>
          </w:tcPr>
          <w:p w14:paraId="50B651FD">
            <w:pPr>
              <w:pStyle w:val="16"/>
              <w:framePr w:hSpace="0" w:wrap="auto" w:vAnchor="margin" w:hAnchor="text" w:xAlign="left" w:yAlign="inline"/>
            </w:pPr>
            <w:r>
              <w:rPr>
                <w:rFonts w:hint="eastAsia"/>
              </w:rPr>
              <w:t>√</w:t>
            </w:r>
          </w:p>
        </w:tc>
      </w:tr>
      <w:tr w14:paraId="37C5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7147BBD6">
            <w:pPr>
              <w:pStyle w:val="16"/>
              <w:framePr w:hSpace="0" w:wrap="auto" w:vAnchor="margin" w:hAnchor="text" w:xAlign="left" w:yAlign="inline"/>
            </w:pPr>
            <w:r>
              <w:t>老年人心理健康</w:t>
            </w:r>
          </w:p>
        </w:tc>
        <w:tc>
          <w:tcPr>
            <w:tcW w:w="1144" w:type="dxa"/>
            <w:vAlign w:val="center"/>
          </w:tcPr>
          <w:p w14:paraId="67FDF8DA">
            <w:pPr>
              <w:pStyle w:val="16"/>
              <w:framePr w:hSpace="0" w:wrap="auto" w:vAnchor="margin" w:hAnchor="text" w:xAlign="left" w:yAlign="inline"/>
            </w:pPr>
            <w:r>
              <w:rPr>
                <w:rFonts w:hint="eastAsia"/>
              </w:rPr>
              <w:t>√</w:t>
            </w:r>
          </w:p>
        </w:tc>
        <w:tc>
          <w:tcPr>
            <w:tcW w:w="1671" w:type="dxa"/>
            <w:vAlign w:val="center"/>
          </w:tcPr>
          <w:p w14:paraId="1540A3A2">
            <w:pPr>
              <w:pStyle w:val="16"/>
              <w:framePr w:hSpace="0" w:wrap="auto" w:vAnchor="margin" w:hAnchor="text" w:xAlign="left" w:yAlign="inline"/>
            </w:pPr>
            <w:r>
              <w:rPr>
                <w:rFonts w:hint="eastAsia"/>
              </w:rPr>
              <w:t>√</w:t>
            </w:r>
          </w:p>
        </w:tc>
        <w:tc>
          <w:tcPr>
            <w:tcW w:w="1650" w:type="dxa"/>
            <w:vAlign w:val="center"/>
          </w:tcPr>
          <w:p w14:paraId="6BD2288F">
            <w:pPr>
              <w:pStyle w:val="16"/>
              <w:framePr w:hSpace="0" w:wrap="auto" w:vAnchor="margin" w:hAnchor="text" w:xAlign="left" w:yAlign="inline"/>
            </w:pPr>
            <w:r>
              <w:rPr>
                <w:rFonts w:hint="eastAsia"/>
              </w:rPr>
              <w:t>√</w:t>
            </w:r>
          </w:p>
        </w:tc>
        <w:tc>
          <w:tcPr>
            <w:tcW w:w="1865" w:type="dxa"/>
            <w:vAlign w:val="center"/>
          </w:tcPr>
          <w:p w14:paraId="786AE451">
            <w:pPr>
              <w:pStyle w:val="16"/>
              <w:framePr w:hSpace="0" w:wrap="auto" w:vAnchor="margin" w:hAnchor="text" w:xAlign="left" w:yAlign="inline"/>
            </w:pPr>
            <w:r>
              <w:rPr>
                <w:rFonts w:hint="eastAsia"/>
              </w:rPr>
              <w:t>√</w:t>
            </w:r>
          </w:p>
        </w:tc>
      </w:tr>
      <w:tr w14:paraId="35EA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28960F83">
            <w:pPr>
              <w:pStyle w:val="16"/>
              <w:framePr w:hSpace="0" w:wrap="auto" w:vAnchor="margin" w:hAnchor="text" w:xAlign="left" w:yAlign="inline"/>
            </w:pPr>
            <w:r>
              <w:t>老年人康复</w:t>
            </w:r>
          </w:p>
        </w:tc>
        <w:tc>
          <w:tcPr>
            <w:tcW w:w="1144" w:type="dxa"/>
            <w:vAlign w:val="center"/>
          </w:tcPr>
          <w:p w14:paraId="1FDDCE70">
            <w:pPr>
              <w:pStyle w:val="16"/>
              <w:framePr w:hSpace="0" w:wrap="auto" w:vAnchor="margin" w:hAnchor="text" w:xAlign="left" w:yAlign="inline"/>
            </w:pPr>
            <w:r>
              <w:rPr>
                <w:rFonts w:hint="eastAsia"/>
              </w:rPr>
              <w:t>√</w:t>
            </w:r>
          </w:p>
        </w:tc>
        <w:tc>
          <w:tcPr>
            <w:tcW w:w="1671" w:type="dxa"/>
            <w:vAlign w:val="center"/>
          </w:tcPr>
          <w:p w14:paraId="1B455ADC">
            <w:pPr>
              <w:pStyle w:val="16"/>
              <w:framePr w:hSpace="0" w:wrap="auto" w:vAnchor="margin" w:hAnchor="text" w:xAlign="left" w:yAlign="inline"/>
            </w:pPr>
          </w:p>
        </w:tc>
        <w:tc>
          <w:tcPr>
            <w:tcW w:w="1650" w:type="dxa"/>
            <w:vAlign w:val="center"/>
          </w:tcPr>
          <w:p w14:paraId="4EBB57ED">
            <w:pPr>
              <w:pStyle w:val="16"/>
              <w:framePr w:hSpace="0" w:wrap="auto" w:vAnchor="margin" w:hAnchor="text" w:xAlign="left" w:yAlign="inline"/>
            </w:pPr>
            <w:r>
              <w:rPr>
                <w:rFonts w:hint="eastAsia"/>
              </w:rPr>
              <w:t>√</w:t>
            </w:r>
          </w:p>
        </w:tc>
        <w:tc>
          <w:tcPr>
            <w:tcW w:w="1865" w:type="dxa"/>
            <w:vAlign w:val="center"/>
          </w:tcPr>
          <w:p w14:paraId="04290D2C">
            <w:pPr>
              <w:pStyle w:val="16"/>
              <w:framePr w:hSpace="0" w:wrap="auto" w:vAnchor="margin" w:hAnchor="text" w:xAlign="left" w:yAlign="inline"/>
            </w:pPr>
            <w:r>
              <w:rPr>
                <w:rFonts w:hint="eastAsia"/>
              </w:rPr>
              <w:t>√</w:t>
            </w:r>
          </w:p>
        </w:tc>
      </w:tr>
      <w:tr w14:paraId="1A3F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68A70A54">
            <w:pPr>
              <w:pStyle w:val="16"/>
              <w:framePr w:hSpace="0" w:wrap="auto" w:vAnchor="margin" w:hAnchor="text" w:xAlign="left" w:yAlign="inline"/>
            </w:pPr>
            <w:r>
              <w:t>老年人健康管理</w:t>
            </w:r>
          </w:p>
        </w:tc>
        <w:tc>
          <w:tcPr>
            <w:tcW w:w="1144" w:type="dxa"/>
            <w:vAlign w:val="center"/>
          </w:tcPr>
          <w:p w14:paraId="6B4430C6">
            <w:pPr>
              <w:pStyle w:val="16"/>
              <w:framePr w:hSpace="0" w:wrap="auto" w:vAnchor="margin" w:hAnchor="text" w:xAlign="left" w:yAlign="inline"/>
            </w:pPr>
            <w:r>
              <w:rPr>
                <w:rFonts w:hint="eastAsia"/>
              </w:rPr>
              <w:t>√</w:t>
            </w:r>
          </w:p>
        </w:tc>
        <w:tc>
          <w:tcPr>
            <w:tcW w:w="1671" w:type="dxa"/>
            <w:vAlign w:val="center"/>
          </w:tcPr>
          <w:p w14:paraId="32100A3A">
            <w:pPr>
              <w:pStyle w:val="16"/>
              <w:framePr w:hSpace="0" w:wrap="auto" w:vAnchor="margin" w:hAnchor="text" w:xAlign="left" w:yAlign="inline"/>
            </w:pPr>
          </w:p>
        </w:tc>
        <w:tc>
          <w:tcPr>
            <w:tcW w:w="1650" w:type="dxa"/>
            <w:vAlign w:val="center"/>
          </w:tcPr>
          <w:p w14:paraId="2C6514EF">
            <w:pPr>
              <w:pStyle w:val="16"/>
              <w:framePr w:hSpace="0" w:wrap="auto" w:vAnchor="margin" w:hAnchor="text" w:xAlign="left" w:yAlign="inline"/>
            </w:pPr>
            <w:r>
              <w:rPr>
                <w:rFonts w:hint="eastAsia"/>
              </w:rPr>
              <w:t>√</w:t>
            </w:r>
          </w:p>
        </w:tc>
        <w:tc>
          <w:tcPr>
            <w:tcW w:w="1865" w:type="dxa"/>
            <w:vAlign w:val="center"/>
          </w:tcPr>
          <w:p w14:paraId="3CE0E1B3">
            <w:pPr>
              <w:pStyle w:val="16"/>
              <w:framePr w:hSpace="0" w:wrap="auto" w:vAnchor="margin" w:hAnchor="text" w:xAlign="left" w:yAlign="inline"/>
            </w:pPr>
            <w:r>
              <w:rPr>
                <w:rFonts w:hint="eastAsia"/>
              </w:rPr>
              <w:t>√</w:t>
            </w:r>
          </w:p>
        </w:tc>
      </w:tr>
      <w:tr w14:paraId="0A14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3E300A77">
            <w:pPr>
              <w:pStyle w:val="16"/>
              <w:framePr w:hSpace="0" w:wrap="auto" w:vAnchor="margin" w:hAnchor="text" w:xAlign="left" w:yAlign="inline"/>
            </w:pPr>
            <w:r>
              <w:t>老年人围术期管理</w:t>
            </w:r>
          </w:p>
        </w:tc>
        <w:tc>
          <w:tcPr>
            <w:tcW w:w="1144" w:type="dxa"/>
            <w:vAlign w:val="center"/>
          </w:tcPr>
          <w:p w14:paraId="540E3BDD">
            <w:pPr>
              <w:pStyle w:val="16"/>
              <w:framePr w:hSpace="0" w:wrap="auto" w:vAnchor="margin" w:hAnchor="text" w:xAlign="left" w:yAlign="inline"/>
            </w:pPr>
            <w:r>
              <w:rPr>
                <w:rFonts w:hint="eastAsia"/>
              </w:rPr>
              <w:t>√</w:t>
            </w:r>
          </w:p>
        </w:tc>
        <w:tc>
          <w:tcPr>
            <w:tcW w:w="1671" w:type="dxa"/>
            <w:vAlign w:val="center"/>
          </w:tcPr>
          <w:p w14:paraId="411B75CF">
            <w:pPr>
              <w:pStyle w:val="16"/>
              <w:framePr w:hSpace="0" w:wrap="auto" w:vAnchor="margin" w:hAnchor="text" w:xAlign="left" w:yAlign="inline"/>
            </w:pPr>
          </w:p>
        </w:tc>
        <w:tc>
          <w:tcPr>
            <w:tcW w:w="1650" w:type="dxa"/>
            <w:vAlign w:val="center"/>
          </w:tcPr>
          <w:p w14:paraId="55836EF3">
            <w:pPr>
              <w:pStyle w:val="16"/>
              <w:framePr w:hSpace="0" w:wrap="auto" w:vAnchor="margin" w:hAnchor="text" w:xAlign="left" w:yAlign="inline"/>
            </w:pPr>
            <w:r>
              <w:rPr>
                <w:rFonts w:hint="eastAsia"/>
              </w:rPr>
              <w:t>√</w:t>
            </w:r>
          </w:p>
        </w:tc>
        <w:tc>
          <w:tcPr>
            <w:tcW w:w="1865" w:type="dxa"/>
            <w:vAlign w:val="center"/>
          </w:tcPr>
          <w:p w14:paraId="2E443792">
            <w:pPr>
              <w:pStyle w:val="16"/>
              <w:framePr w:hSpace="0" w:wrap="auto" w:vAnchor="margin" w:hAnchor="text" w:xAlign="left" w:yAlign="inline"/>
            </w:pPr>
            <w:r>
              <w:rPr>
                <w:rFonts w:hint="eastAsia"/>
              </w:rPr>
              <w:t>√</w:t>
            </w:r>
          </w:p>
        </w:tc>
      </w:tr>
      <w:tr w14:paraId="17D2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5081A8D6">
            <w:pPr>
              <w:pStyle w:val="16"/>
              <w:framePr w:hSpace="0" w:wrap="auto" w:vAnchor="margin" w:hAnchor="text" w:xAlign="left" w:yAlign="inline"/>
            </w:pPr>
            <w:r>
              <w:t>老年人急性期照护、中期照护与长期照护</w:t>
            </w:r>
          </w:p>
        </w:tc>
        <w:tc>
          <w:tcPr>
            <w:tcW w:w="1144" w:type="dxa"/>
            <w:vAlign w:val="center"/>
          </w:tcPr>
          <w:p w14:paraId="1936E832">
            <w:pPr>
              <w:pStyle w:val="16"/>
              <w:framePr w:hSpace="0" w:wrap="auto" w:vAnchor="margin" w:hAnchor="text" w:xAlign="left" w:yAlign="inline"/>
            </w:pPr>
            <w:r>
              <w:rPr>
                <w:rFonts w:hint="eastAsia"/>
              </w:rPr>
              <w:t>√</w:t>
            </w:r>
          </w:p>
        </w:tc>
        <w:tc>
          <w:tcPr>
            <w:tcW w:w="1671" w:type="dxa"/>
            <w:vAlign w:val="center"/>
          </w:tcPr>
          <w:p w14:paraId="6A768075">
            <w:pPr>
              <w:pStyle w:val="16"/>
              <w:framePr w:hSpace="0" w:wrap="auto" w:vAnchor="margin" w:hAnchor="text" w:xAlign="left" w:yAlign="inline"/>
            </w:pPr>
          </w:p>
        </w:tc>
        <w:tc>
          <w:tcPr>
            <w:tcW w:w="1650" w:type="dxa"/>
            <w:vAlign w:val="center"/>
          </w:tcPr>
          <w:p w14:paraId="5F2AEE7B">
            <w:pPr>
              <w:pStyle w:val="16"/>
              <w:framePr w:hSpace="0" w:wrap="auto" w:vAnchor="margin" w:hAnchor="text" w:xAlign="left" w:yAlign="inline"/>
            </w:pPr>
            <w:r>
              <w:rPr>
                <w:rFonts w:hint="eastAsia"/>
              </w:rPr>
              <w:t>√</w:t>
            </w:r>
          </w:p>
        </w:tc>
        <w:tc>
          <w:tcPr>
            <w:tcW w:w="1865" w:type="dxa"/>
            <w:vAlign w:val="center"/>
          </w:tcPr>
          <w:p w14:paraId="0D0BC6B1">
            <w:pPr>
              <w:pStyle w:val="16"/>
              <w:framePr w:hSpace="0" w:wrap="auto" w:vAnchor="margin" w:hAnchor="text" w:xAlign="left" w:yAlign="inline"/>
            </w:pPr>
            <w:r>
              <w:rPr>
                <w:rFonts w:hint="eastAsia"/>
              </w:rPr>
              <w:t>√</w:t>
            </w:r>
          </w:p>
        </w:tc>
      </w:tr>
      <w:tr w14:paraId="1863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55564425">
            <w:pPr>
              <w:pStyle w:val="16"/>
              <w:framePr w:hSpace="0" w:wrap="auto" w:vAnchor="margin" w:hAnchor="text" w:xAlign="left" w:yAlign="inline"/>
            </w:pPr>
            <w:r>
              <w:t>缓和医疗</w:t>
            </w:r>
          </w:p>
        </w:tc>
        <w:tc>
          <w:tcPr>
            <w:tcW w:w="1144" w:type="dxa"/>
            <w:vAlign w:val="center"/>
          </w:tcPr>
          <w:p w14:paraId="6981274A">
            <w:pPr>
              <w:pStyle w:val="16"/>
              <w:framePr w:hSpace="0" w:wrap="auto" w:vAnchor="margin" w:hAnchor="text" w:xAlign="left" w:yAlign="inline"/>
            </w:pPr>
          </w:p>
        </w:tc>
        <w:tc>
          <w:tcPr>
            <w:tcW w:w="1671" w:type="dxa"/>
            <w:vAlign w:val="center"/>
          </w:tcPr>
          <w:p w14:paraId="1ACD38A6">
            <w:pPr>
              <w:pStyle w:val="16"/>
              <w:framePr w:hSpace="0" w:wrap="auto" w:vAnchor="margin" w:hAnchor="text" w:xAlign="left" w:yAlign="inline"/>
            </w:pPr>
          </w:p>
        </w:tc>
        <w:tc>
          <w:tcPr>
            <w:tcW w:w="1650" w:type="dxa"/>
            <w:vAlign w:val="center"/>
          </w:tcPr>
          <w:p w14:paraId="4E02E7F5">
            <w:pPr>
              <w:pStyle w:val="16"/>
              <w:framePr w:hSpace="0" w:wrap="auto" w:vAnchor="margin" w:hAnchor="text" w:xAlign="left" w:yAlign="inline"/>
            </w:pPr>
            <w:r>
              <w:rPr>
                <w:rFonts w:hint="eastAsia"/>
              </w:rPr>
              <w:t>√</w:t>
            </w:r>
          </w:p>
        </w:tc>
        <w:tc>
          <w:tcPr>
            <w:tcW w:w="1865" w:type="dxa"/>
            <w:vAlign w:val="center"/>
          </w:tcPr>
          <w:p w14:paraId="60898FEC">
            <w:pPr>
              <w:pStyle w:val="16"/>
              <w:framePr w:hSpace="0" w:wrap="auto" w:vAnchor="margin" w:hAnchor="text" w:xAlign="left" w:yAlign="inline"/>
            </w:pPr>
            <w:r>
              <w:rPr>
                <w:rFonts w:hint="eastAsia"/>
              </w:rPr>
              <w:t>√</w:t>
            </w:r>
          </w:p>
        </w:tc>
      </w:tr>
      <w:tr w14:paraId="668E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523B954E">
            <w:pPr>
              <w:pStyle w:val="16"/>
              <w:framePr w:hSpace="0" w:wrap="auto" w:vAnchor="margin" w:hAnchor="text" w:xAlign="left" w:yAlign="inline"/>
            </w:pPr>
            <w:r>
              <w:t>老年医学伦理问题</w:t>
            </w:r>
          </w:p>
        </w:tc>
        <w:tc>
          <w:tcPr>
            <w:tcW w:w="1144" w:type="dxa"/>
            <w:vAlign w:val="center"/>
          </w:tcPr>
          <w:p w14:paraId="52DBBF8E">
            <w:pPr>
              <w:pStyle w:val="16"/>
              <w:framePr w:hSpace="0" w:wrap="auto" w:vAnchor="margin" w:hAnchor="text" w:xAlign="left" w:yAlign="inline"/>
            </w:pPr>
            <w:r>
              <w:rPr>
                <w:rFonts w:hint="eastAsia"/>
              </w:rPr>
              <w:t>√</w:t>
            </w:r>
          </w:p>
        </w:tc>
        <w:tc>
          <w:tcPr>
            <w:tcW w:w="1671" w:type="dxa"/>
            <w:vAlign w:val="center"/>
          </w:tcPr>
          <w:p w14:paraId="53508BD8">
            <w:pPr>
              <w:pStyle w:val="16"/>
              <w:framePr w:hSpace="0" w:wrap="auto" w:vAnchor="margin" w:hAnchor="text" w:xAlign="left" w:yAlign="inline"/>
            </w:pPr>
          </w:p>
        </w:tc>
        <w:tc>
          <w:tcPr>
            <w:tcW w:w="1650" w:type="dxa"/>
            <w:vAlign w:val="center"/>
          </w:tcPr>
          <w:p w14:paraId="5411AE77">
            <w:pPr>
              <w:pStyle w:val="16"/>
              <w:framePr w:hSpace="0" w:wrap="auto" w:vAnchor="margin" w:hAnchor="text" w:xAlign="left" w:yAlign="inline"/>
            </w:pPr>
            <w:r>
              <w:rPr>
                <w:rFonts w:hint="eastAsia"/>
              </w:rPr>
              <w:t>√</w:t>
            </w:r>
          </w:p>
        </w:tc>
        <w:tc>
          <w:tcPr>
            <w:tcW w:w="1865" w:type="dxa"/>
            <w:vAlign w:val="center"/>
          </w:tcPr>
          <w:p w14:paraId="455EF2A2">
            <w:pPr>
              <w:pStyle w:val="16"/>
              <w:framePr w:hSpace="0" w:wrap="auto" w:vAnchor="margin" w:hAnchor="text" w:xAlign="left" w:yAlign="inline"/>
            </w:pPr>
            <w:r>
              <w:rPr>
                <w:rFonts w:hint="eastAsia"/>
              </w:rPr>
              <w:t>√</w:t>
            </w:r>
          </w:p>
        </w:tc>
      </w:tr>
      <w:tr w14:paraId="6C7F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5CEC4B90">
            <w:pPr>
              <w:pStyle w:val="16"/>
              <w:framePr w:hSpace="0" w:wrap="auto" w:vAnchor="margin" w:hAnchor="text" w:xAlign="left" w:yAlign="inline"/>
            </w:pPr>
            <w:r>
              <w:t>老年认知功能障碍</w:t>
            </w:r>
          </w:p>
        </w:tc>
        <w:tc>
          <w:tcPr>
            <w:tcW w:w="1144" w:type="dxa"/>
            <w:vAlign w:val="center"/>
          </w:tcPr>
          <w:p w14:paraId="701BC6B3">
            <w:pPr>
              <w:pStyle w:val="16"/>
              <w:framePr w:hSpace="0" w:wrap="auto" w:vAnchor="margin" w:hAnchor="text" w:xAlign="left" w:yAlign="inline"/>
            </w:pPr>
          </w:p>
        </w:tc>
        <w:tc>
          <w:tcPr>
            <w:tcW w:w="1671" w:type="dxa"/>
            <w:vAlign w:val="center"/>
          </w:tcPr>
          <w:p w14:paraId="74A2B6BD">
            <w:pPr>
              <w:pStyle w:val="16"/>
              <w:framePr w:hSpace="0" w:wrap="auto" w:vAnchor="margin" w:hAnchor="text" w:xAlign="left" w:yAlign="inline"/>
            </w:pPr>
            <w:r>
              <w:rPr>
                <w:rFonts w:hint="eastAsia"/>
              </w:rPr>
              <w:t>√</w:t>
            </w:r>
          </w:p>
        </w:tc>
        <w:tc>
          <w:tcPr>
            <w:tcW w:w="1650" w:type="dxa"/>
            <w:vAlign w:val="center"/>
          </w:tcPr>
          <w:p w14:paraId="2149584A">
            <w:pPr>
              <w:pStyle w:val="16"/>
              <w:framePr w:hSpace="0" w:wrap="auto" w:vAnchor="margin" w:hAnchor="text" w:xAlign="left" w:yAlign="inline"/>
            </w:pPr>
            <w:r>
              <w:rPr>
                <w:rFonts w:hint="eastAsia"/>
              </w:rPr>
              <w:t>√</w:t>
            </w:r>
          </w:p>
        </w:tc>
        <w:tc>
          <w:tcPr>
            <w:tcW w:w="1865" w:type="dxa"/>
            <w:vAlign w:val="center"/>
          </w:tcPr>
          <w:p w14:paraId="15CCCA74">
            <w:pPr>
              <w:pStyle w:val="16"/>
              <w:framePr w:hSpace="0" w:wrap="auto" w:vAnchor="margin" w:hAnchor="text" w:xAlign="left" w:yAlign="inline"/>
            </w:pPr>
            <w:r>
              <w:rPr>
                <w:rFonts w:hint="eastAsia"/>
              </w:rPr>
              <w:t>√</w:t>
            </w:r>
          </w:p>
        </w:tc>
      </w:tr>
      <w:tr w14:paraId="22D7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72409E38">
            <w:pPr>
              <w:pStyle w:val="16"/>
              <w:framePr w:hSpace="0" w:wrap="auto" w:vAnchor="margin" w:hAnchor="text" w:xAlign="left" w:yAlign="inline"/>
            </w:pPr>
            <w:r>
              <w:t>老年人营养不良和视力障碍、听力障</w:t>
            </w:r>
          </w:p>
        </w:tc>
        <w:tc>
          <w:tcPr>
            <w:tcW w:w="1144" w:type="dxa"/>
            <w:vAlign w:val="center"/>
          </w:tcPr>
          <w:p w14:paraId="3402ACBA">
            <w:pPr>
              <w:pStyle w:val="16"/>
              <w:framePr w:hSpace="0" w:wrap="auto" w:vAnchor="margin" w:hAnchor="text" w:xAlign="left" w:yAlign="inline"/>
            </w:pPr>
          </w:p>
        </w:tc>
        <w:tc>
          <w:tcPr>
            <w:tcW w:w="1671" w:type="dxa"/>
            <w:vAlign w:val="center"/>
          </w:tcPr>
          <w:p w14:paraId="65A92213">
            <w:pPr>
              <w:pStyle w:val="16"/>
              <w:framePr w:hSpace="0" w:wrap="auto" w:vAnchor="margin" w:hAnchor="text" w:xAlign="left" w:yAlign="inline"/>
            </w:pPr>
          </w:p>
        </w:tc>
        <w:tc>
          <w:tcPr>
            <w:tcW w:w="1650" w:type="dxa"/>
            <w:vAlign w:val="center"/>
          </w:tcPr>
          <w:p w14:paraId="248D302F">
            <w:pPr>
              <w:pStyle w:val="16"/>
              <w:framePr w:hSpace="0" w:wrap="auto" w:vAnchor="margin" w:hAnchor="text" w:xAlign="left" w:yAlign="inline"/>
            </w:pPr>
            <w:r>
              <w:rPr>
                <w:rFonts w:hint="eastAsia"/>
              </w:rPr>
              <w:t>√</w:t>
            </w:r>
          </w:p>
        </w:tc>
        <w:tc>
          <w:tcPr>
            <w:tcW w:w="1865" w:type="dxa"/>
            <w:vAlign w:val="center"/>
          </w:tcPr>
          <w:p w14:paraId="577E4986">
            <w:pPr>
              <w:pStyle w:val="16"/>
              <w:framePr w:hSpace="0" w:wrap="auto" w:vAnchor="margin" w:hAnchor="text" w:xAlign="left" w:yAlign="inline"/>
            </w:pPr>
            <w:r>
              <w:rPr>
                <w:rFonts w:hint="eastAsia"/>
              </w:rPr>
              <w:t>√</w:t>
            </w:r>
          </w:p>
        </w:tc>
      </w:tr>
      <w:tr w14:paraId="585F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61386E07">
            <w:pPr>
              <w:pStyle w:val="16"/>
              <w:framePr w:hSpace="0" w:wrap="auto" w:vAnchor="margin" w:hAnchor="text" w:xAlign="left" w:yAlign="inline"/>
            </w:pPr>
            <w:r>
              <w:t>常见老年疾病特点及综合诊治</w:t>
            </w:r>
          </w:p>
        </w:tc>
        <w:tc>
          <w:tcPr>
            <w:tcW w:w="1144" w:type="dxa"/>
            <w:vAlign w:val="center"/>
          </w:tcPr>
          <w:p w14:paraId="4CE1FE19">
            <w:pPr>
              <w:pStyle w:val="16"/>
              <w:framePr w:hSpace="0" w:wrap="auto" w:vAnchor="margin" w:hAnchor="text" w:xAlign="left" w:yAlign="inline"/>
            </w:pPr>
          </w:p>
        </w:tc>
        <w:tc>
          <w:tcPr>
            <w:tcW w:w="1671" w:type="dxa"/>
            <w:vAlign w:val="center"/>
          </w:tcPr>
          <w:p w14:paraId="14DDF314">
            <w:pPr>
              <w:pStyle w:val="16"/>
              <w:framePr w:hSpace="0" w:wrap="auto" w:vAnchor="margin" w:hAnchor="text" w:xAlign="left" w:yAlign="inline"/>
            </w:pPr>
          </w:p>
        </w:tc>
        <w:tc>
          <w:tcPr>
            <w:tcW w:w="1650" w:type="dxa"/>
            <w:vAlign w:val="center"/>
          </w:tcPr>
          <w:p w14:paraId="21C3129F">
            <w:pPr>
              <w:pStyle w:val="16"/>
              <w:framePr w:hSpace="0" w:wrap="auto" w:vAnchor="margin" w:hAnchor="text" w:xAlign="left" w:yAlign="inline"/>
            </w:pPr>
            <w:r>
              <w:rPr>
                <w:rFonts w:hint="eastAsia"/>
              </w:rPr>
              <w:t>√</w:t>
            </w:r>
          </w:p>
        </w:tc>
        <w:tc>
          <w:tcPr>
            <w:tcW w:w="1865" w:type="dxa"/>
            <w:vAlign w:val="center"/>
          </w:tcPr>
          <w:p w14:paraId="53AE14C2">
            <w:pPr>
              <w:pStyle w:val="16"/>
              <w:framePr w:hSpace="0" w:wrap="auto" w:vAnchor="margin" w:hAnchor="text" w:xAlign="left" w:yAlign="inline"/>
            </w:pPr>
            <w:r>
              <w:rPr>
                <w:rFonts w:hint="eastAsia"/>
              </w:rPr>
              <w:t>√</w:t>
            </w:r>
          </w:p>
        </w:tc>
      </w:tr>
      <w:tr w14:paraId="7F6C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bottom w:val="single" w:color="auto" w:sz="12" w:space="0"/>
            </w:tcBorders>
          </w:tcPr>
          <w:p w14:paraId="19EA29CC">
            <w:pPr>
              <w:pStyle w:val="16"/>
              <w:framePr w:hSpace="0" w:wrap="auto" w:vAnchor="margin" w:hAnchor="text" w:xAlign="left" w:yAlign="inline"/>
            </w:pPr>
            <w:r>
              <w:t>老年家庭护理和照顾</w:t>
            </w:r>
          </w:p>
        </w:tc>
        <w:tc>
          <w:tcPr>
            <w:tcW w:w="1144" w:type="dxa"/>
            <w:tcBorders>
              <w:bottom w:val="single" w:color="auto" w:sz="12" w:space="0"/>
            </w:tcBorders>
            <w:vAlign w:val="center"/>
          </w:tcPr>
          <w:p w14:paraId="4752445C">
            <w:pPr>
              <w:pStyle w:val="16"/>
              <w:framePr w:hSpace="0" w:wrap="auto" w:vAnchor="margin" w:hAnchor="text" w:xAlign="left" w:yAlign="inline"/>
            </w:pPr>
          </w:p>
        </w:tc>
        <w:tc>
          <w:tcPr>
            <w:tcW w:w="1671" w:type="dxa"/>
            <w:tcBorders>
              <w:bottom w:val="single" w:color="auto" w:sz="12" w:space="0"/>
            </w:tcBorders>
            <w:vAlign w:val="center"/>
          </w:tcPr>
          <w:p w14:paraId="3A1561AD">
            <w:pPr>
              <w:pStyle w:val="16"/>
              <w:framePr w:hSpace="0" w:wrap="auto" w:vAnchor="margin" w:hAnchor="text" w:xAlign="left" w:yAlign="inline"/>
            </w:pPr>
          </w:p>
        </w:tc>
        <w:tc>
          <w:tcPr>
            <w:tcW w:w="1650" w:type="dxa"/>
            <w:tcBorders>
              <w:bottom w:val="single" w:color="auto" w:sz="12" w:space="0"/>
            </w:tcBorders>
            <w:vAlign w:val="center"/>
          </w:tcPr>
          <w:p w14:paraId="61510509">
            <w:pPr>
              <w:pStyle w:val="16"/>
              <w:framePr w:hSpace="0" w:wrap="auto" w:vAnchor="margin" w:hAnchor="text" w:xAlign="left" w:yAlign="inline"/>
            </w:pPr>
            <w:r>
              <w:rPr>
                <w:rFonts w:hint="eastAsia"/>
              </w:rPr>
              <w:t>√</w:t>
            </w:r>
          </w:p>
        </w:tc>
        <w:tc>
          <w:tcPr>
            <w:tcW w:w="1865" w:type="dxa"/>
            <w:tcBorders>
              <w:bottom w:val="single" w:color="auto" w:sz="12" w:space="0"/>
            </w:tcBorders>
            <w:vAlign w:val="center"/>
          </w:tcPr>
          <w:p w14:paraId="7C3B0647">
            <w:pPr>
              <w:pStyle w:val="16"/>
              <w:framePr w:hSpace="0" w:wrap="auto" w:vAnchor="margin" w:hAnchor="text" w:xAlign="left" w:yAlign="inline"/>
            </w:pPr>
            <w:r>
              <w:rPr>
                <w:rFonts w:hint="eastAsia"/>
              </w:rPr>
              <w:t>√</w:t>
            </w:r>
          </w:p>
        </w:tc>
      </w:tr>
    </w:tbl>
    <w:p w14:paraId="48895D29">
      <w:pPr>
        <w:pStyle w:val="19"/>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135"/>
        <w:gridCol w:w="1770"/>
        <w:gridCol w:w="2442"/>
        <w:gridCol w:w="730"/>
        <w:gridCol w:w="676"/>
        <w:gridCol w:w="723"/>
      </w:tblGrid>
      <w:tr w14:paraId="3085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85" w:type="dxa"/>
            <w:vMerge w:val="restart"/>
            <w:tcBorders>
              <w:top w:val="single" w:color="auto" w:sz="12" w:space="0"/>
              <w:left w:val="single" w:color="auto" w:sz="12" w:space="0"/>
            </w:tcBorders>
            <w:vAlign w:val="center"/>
          </w:tcPr>
          <w:p w14:paraId="3B51630A">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教学单元</w:t>
            </w:r>
          </w:p>
        </w:tc>
        <w:tc>
          <w:tcPr>
            <w:tcW w:w="1728" w:type="dxa"/>
            <w:vMerge w:val="restart"/>
            <w:tcBorders>
              <w:top w:val="single" w:color="auto" w:sz="12" w:space="0"/>
            </w:tcBorders>
            <w:vAlign w:val="center"/>
          </w:tcPr>
          <w:p w14:paraId="3C515A10">
            <w:pPr>
              <w:pStyle w:val="15"/>
              <w:widowControl w:val="0"/>
            </w:pPr>
            <w:r>
              <w:t>教与学方式</w:t>
            </w:r>
          </w:p>
        </w:tc>
        <w:tc>
          <w:tcPr>
            <w:tcW w:w="2384" w:type="dxa"/>
            <w:vMerge w:val="restart"/>
            <w:tcBorders>
              <w:top w:val="single" w:color="auto" w:sz="12" w:space="0"/>
            </w:tcBorders>
            <w:vAlign w:val="center"/>
          </w:tcPr>
          <w:p w14:paraId="17F8F314">
            <w:pPr>
              <w:pStyle w:val="15"/>
              <w:widowControl w:val="0"/>
            </w:pPr>
            <w:r>
              <w:t>考核方式</w:t>
            </w:r>
          </w:p>
        </w:tc>
        <w:tc>
          <w:tcPr>
            <w:tcW w:w="2079" w:type="dxa"/>
            <w:gridSpan w:val="3"/>
            <w:tcBorders>
              <w:top w:val="single" w:color="auto" w:sz="12" w:space="0"/>
              <w:right w:val="single" w:color="auto" w:sz="12" w:space="0"/>
            </w:tcBorders>
            <w:vAlign w:val="center"/>
          </w:tcPr>
          <w:p w14:paraId="449202E2">
            <w:pPr>
              <w:pStyle w:val="15"/>
              <w:widowControl w:val="0"/>
            </w:pPr>
            <w:r>
              <w:t>学时分配</w:t>
            </w:r>
          </w:p>
        </w:tc>
      </w:tr>
      <w:tr w14:paraId="29E4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85" w:type="dxa"/>
            <w:vMerge w:val="continue"/>
            <w:tcBorders>
              <w:left w:val="single" w:color="auto" w:sz="12" w:space="0"/>
            </w:tcBorders>
          </w:tcPr>
          <w:p w14:paraId="0A235FB8">
            <w:pPr>
              <w:widowControl w:val="0"/>
              <w:snapToGrid w:val="0"/>
              <w:jc w:val="center"/>
              <w:rPr>
                <w:rFonts w:ascii="Times New Roman" w:hAnsi="Times New Roman" w:eastAsia="黑体" w:cs="Times New Roman"/>
                <w:bCs/>
                <w:sz w:val="21"/>
                <w:szCs w:val="21"/>
              </w:rPr>
            </w:pPr>
          </w:p>
        </w:tc>
        <w:tc>
          <w:tcPr>
            <w:tcW w:w="1728" w:type="dxa"/>
            <w:vMerge w:val="continue"/>
          </w:tcPr>
          <w:p w14:paraId="0A1BC50D">
            <w:pPr>
              <w:widowControl w:val="0"/>
              <w:snapToGrid w:val="0"/>
              <w:jc w:val="center"/>
              <w:rPr>
                <w:rFonts w:ascii="Times New Roman" w:hAnsi="Times New Roman" w:eastAsia="黑体" w:cs="Times New Roman"/>
                <w:bCs/>
                <w:sz w:val="21"/>
                <w:szCs w:val="21"/>
              </w:rPr>
            </w:pPr>
          </w:p>
        </w:tc>
        <w:tc>
          <w:tcPr>
            <w:tcW w:w="2384" w:type="dxa"/>
            <w:vMerge w:val="continue"/>
          </w:tcPr>
          <w:p w14:paraId="666347D5">
            <w:pPr>
              <w:widowControl w:val="0"/>
              <w:snapToGrid w:val="0"/>
              <w:jc w:val="center"/>
              <w:rPr>
                <w:rFonts w:ascii="Times New Roman" w:hAnsi="Times New Roman" w:eastAsia="黑体" w:cs="Times New Roman"/>
                <w:bCs/>
                <w:sz w:val="21"/>
                <w:szCs w:val="21"/>
              </w:rPr>
            </w:pPr>
          </w:p>
        </w:tc>
        <w:tc>
          <w:tcPr>
            <w:tcW w:w="713" w:type="dxa"/>
            <w:vAlign w:val="center"/>
          </w:tcPr>
          <w:p w14:paraId="09C7947E">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理论</w:t>
            </w:r>
          </w:p>
        </w:tc>
        <w:tc>
          <w:tcPr>
            <w:tcW w:w="660" w:type="dxa"/>
            <w:vAlign w:val="center"/>
          </w:tcPr>
          <w:p w14:paraId="48985EA5">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实践</w:t>
            </w:r>
          </w:p>
        </w:tc>
        <w:tc>
          <w:tcPr>
            <w:tcW w:w="706" w:type="dxa"/>
            <w:tcBorders>
              <w:right w:val="single" w:color="auto" w:sz="12" w:space="0"/>
            </w:tcBorders>
            <w:vAlign w:val="center"/>
          </w:tcPr>
          <w:p w14:paraId="1873B49D">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小计</w:t>
            </w:r>
          </w:p>
        </w:tc>
      </w:tr>
      <w:tr w14:paraId="0448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085" w:type="dxa"/>
            <w:tcBorders>
              <w:left w:val="single" w:color="auto" w:sz="12" w:space="0"/>
            </w:tcBorders>
            <w:vAlign w:val="center"/>
          </w:tcPr>
          <w:p w14:paraId="44178873">
            <w:pPr>
              <w:widowControl/>
              <w:jc w:val="both"/>
              <w:textAlignment w:val="center"/>
              <w:rPr>
                <w:rFonts w:hint="eastAsia"/>
                <w:sz w:val="21"/>
                <w:szCs w:val="21"/>
              </w:rPr>
            </w:pPr>
            <w:r>
              <w:rPr>
                <w:sz w:val="21"/>
                <w:szCs w:val="21"/>
              </w:rPr>
              <w:t>人口老龄化与老年医学发展</w:t>
            </w:r>
          </w:p>
        </w:tc>
        <w:tc>
          <w:tcPr>
            <w:tcW w:w="1728" w:type="dxa"/>
            <w:vAlign w:val="center"/>
          </w:tcPr>
          <w:p w14:paraId="3A346685">
            <w:pPr>
              <w:widowControl/>
              <w:jc w:val="both"/>
              <w:rPr>
                <w:rFonts w:hint="eastAsia"/>
                <w:sz w:val="21"/>
                <w:szCs w:val="21"/>
              </w:rPr>
            </w:pPr>
            <w:r>
              <w:rPr>
                <w:rFonts w:hint="eastAsia"/>
                <w:sz w:val="21"/>
                <w:szCs w:val="21"/>
              </w:rPr>
              <w:t>讲授学习</w:t>
            </w:r>
          </w:p>
        </w:tc>
        <w:tc>
          <w:tcPr>
            <w:tcW w:w="2384" w:type="dxa"/>
            <w:vAlign w:val="center"/>
          </w:tcPr>
          <w:p w14:paraId="074DCA9F">
            <w:pPr>
              <w:widowControl/>
              <w:jc w:val="both"/>
              <w:textAlignment w:val="center"/>
              <w:rPr>
                <w:rFonts w:ascii="Times New Roman" w:hAnsi="Times New Roman" w:cs="Times New Roman"/>
                <w:bCs/>
                <w:sz w:val="21"/>
                <w:szCs w:val="21"/>
              </w:rPr>
            </w:pPr>
            <w:r>
              <w:rPr>
                <w:rFonts w:hint="eastAsia" w:ascii="Times New Roman" w:hAnsi="Times New Roman" w:cs="Times New Roman"/>
                <w:bCs/>
                <w:sz w:val="21"/>
                <w:szCs w:val="21"/>
              </w:rPr>
              <w:t>理论考核</w:t>
            </w:r>
          </w:p>
        </w:tc>
        <w:tc>
          <w:tcPr>
            <w:tcW w:w="713" w:type="dxa"/>
            <w:vAlign w:val="center"/>
          </w:tcPr>
          <w:p w14:paraId="4E62E21E">
            <w:pPr>
              <w:widowControl w:val="0"/>
              <w:jc w:val="both"/>
              <w:rPr>
                <w:rFonts w:ascii="Times New Roman" w:hAnsi="Times New Roman" w:cs="Times New Roman"/>
                <w:color w:val="000000"/>
                <w:sz w:val="22"/>
                <w:szCs w:val="22"/>
                <w:lang w:bidi="ar"/>
              </w:rPr>
            </w:pPr>
            <w:r>
              <w:rPr>
                <w:rFonts w:hint="eastAsia" w:ascii="Times New Roman" w:hAnsi="Times New Roman" w:cs="Times New Roman"/>
                <w:color w:val="000000"/>
                <w:lang w:bidi="ar"/>
              </w:rPr>
              <w:t>2</w:t>
            </w:r>
          </w:p>
        </w:tc>
        <w:tc>
          <w:tcPr>
            <w:tcW w:w="660" w:type="dxa"/>
            <w:vAlign w:val="center"/>
          </w:tcPr>
          <w:p w14:paraId="4289871E">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0</w:t>
            </w:r>
          </w:p>
        </w:tc>
        <w:tc>
          <w:tcPr>
            <w:tcW w:w="706" w:type="dxa"/>
            <w:tcBorders>
              <w:right w:val="single" w:color="auto" w:sz="12" w:space="0"/>
            </w:tcBorders>
            <w:vAlign w:val="center"/>
          </w:tcPr>
          <w:p w14:paraId="31116B28">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4919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735C5871">
            <w:pPr>
              <w:widowControl/>
              <w:jc w:val="both"/>
              <w:textAlignment w:val="center"/>
              <w:rPr>
                <w:rFonts w:hint="eastAsia"/>
                <w:sz w:val="21"/>
                <w:szCs w:val="21"/>
              </w:rPr>
            </w:pPr>
            <w:r>
              <w:rPr>
                <w:sz w:val="21"/>
                <w:szCs w:val="21"/>
              </w:rPr>
              <w:t>衰老</w:t>
            </w:r>
          </w:p>
        </w:tc>
        <w:tc>
          <w:tcPr>
            <w:tcW w:w="1728" w:type="dxa"/>
          </w:tcPr>
          <w:p w14:paraId="4CFB109B">
            <w:pPr>
              <w:widowControl/>
              <w:jc w:val="both"/>
              <w:rPr>
                <w:rFonts w:ascii="Times New Roman" w:hAnsi="Times New Roman" w:cs="Times New Roman"/>
                <w:sz w:val="21"/>
                <w:szCs w:val="21"/>
              </w:rPr>
            </w:pPr>
            <w:r>
              <w:rPr>
                <w:rFonts w:hint="eastAsia"/>
                <w:sz w:val="21"/>
                <w:szCs w:val="21"/>
              </w:rPr>
              <w:t>讲授学习</w:t>
            </w:r>
            <w:r>
              <w:rPr>
                <w:sz w:val="21"/>
                <w:szCs w:val="21"/>
              </w:rPr>
              <w:t>+案例讨论</w:t>
            </w:r>
          </w:p>
        </w:tc>
        <w:tc>
          <w:tcPr>
            <w:tcW w:w="2384" w:type="dxa"/>
          </w:tcPr>
          <w:p w14:paraId="56B8D696">
            <w:pPr>
              <w:widowControl/>
              <w:jc w:val="both"/>
              <w:textAlignment w:val="center"/>
              <w:rPr>
                <w:rFonts w:ascii="Times New Roman" w:hAnsi="Times New Roman" w:cs="Times New Roman"/>
                <w:bCs/>
                <w:sz w:val="21"/>
                <w:szCs w:val="21"/>
              </w:rPr>
            </w:pPr>
            <w:r>
              <w:rPr>
                <w:sz w:val="21"/>
                <w:szCs w:val="21"/>
              </w:rPr>
              <w:t>理论+实践考核</w:t>
            </w:r>
          </w:p>
        </w:tc>
        <w:tc>
          <w:tcPr>
            <w:tcW w:w="713" w:type="dxa"/>
            <w:vAlign w:val="center"/>
          </w:tcPr>
          <w:p w14:paraId="0C0D0EE3">
            <w:pPr>
              <w:widowControl w:val="0"/>
              <w:jc w:val="both"/>
              <w:rPr>
                <w:rFonts w:ascii="Times New Roman" w:hAnsi="Times New Roman" w:cs="Times New Roman"/>
                <w:color w:val="000000"/>
                <w:sz w:val="22"/>
                <w:szCs w:val="22"/>
                <w:lang w:bidi="ar"/>
              </w:rPr>
            </w:pPr>
            <w:r>
              <w:rPr>
                <w:rFonts w:hint="eastAsia" w:ascii="Times New Roman" w:hAnsi="Times New Roman" w:cs="Times New Roman"/>
                <w:color w:val="000000"/>
                <w:lang w:bidi="ar"/>
              </w:rPr>
              <w:t>1</w:t>
            </w:r>
          </w:p>
        </w:tc>
        <w:tc>
          <w:tcPr>
            <w:tcW w:w="660" w:type="dxa"/>
            <w:vAlign w:val="center"/>
          </w:tcPr>
          <w:p w14:paraId="6C00DE7F">
            <w:pPr>
              <w:widowControl w:val="0"/>
              <w:jc w:val="both"/>
              <w:rPr>
                <w:rFonts w:ascii="Times New Roman" w:hAnsi="Times New Roman" w:cs="Times New Roman"/>
                <w:color w:val="000000"/>
                <w:sz w:val="22"/>
                <w:szCs w:val="22"/>
                <w:lang w:bidi="ar"/>
              </w:rPr>
            </w:pPr>
            <w:r>
              <w:rPr>
                <w:rFonts w:hint="eastAsia" w:ascii="Times New Roman" w:hAnsi="Times New Roman" w:cs="Times New Roman"/>
                <w:color w:val="000000"/>
                <w:lang w:bidi="ar"/>
              </w:rPr>
              <w:t>1</w:t>
            </w:r>
          </w:p>
        </w:tc>
        <w:tc>
          <w:tcPr>
            <w:tcW w:w="706" w:type="dxa"/>
            <w:tcBorders>
              <w:right w:val="single" w:color="auto" w:sz="12" w:space="0"/>
            </w:tcBorders>
            <w:vAlign w:val="center"/>
          </w:tcPr>
          <w:p w14:paraId="7864ABA3">
            <w:pPr>
              <w:widowControl w:val="0"/>
              <w:jc w:val="both"/>
              <w:rPr>
                <w:rFonts w:ascii="Times New Roman" w:hAnsi="Times New Roman" w:cs="Times New Roman"/>
                <w:color w:val="000000"/>
                <w:sz w:val="22"/>
                <w:szCs w:val="22"/>
                <w:lang w:bidi="ar"/>
              </w:rPr>
            </w:pPr>
            <w:r>
              <w:rPr>
                <w:rFonts w:hint="eastAsia" w:ascii="Times New Roman" w:hAnsi="Times New Roman" w:cs="Times New Roman"/>
                <w:color w:val="000000"/>
                <w:lang w:bidi="ar"/>
              </w:rPr>
              <w:t>2</w:t>
            </w:r>
          </w:p>
        </w:tc>
      </w:tr>
      <w:tr w14:paraId="5785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3B2A12EB">
            <w:pPr>
              <w:widowControl w:val="0"/>
              <w:jc w:val="both"/>
              <w:textAlignment w:val="center"/>
              <w:rPr>
                <w:rFonts w:hint="eastAsia"/>
                <w:sz w:val="21"/>
                <w:szCs w:val="21"/>
              </w:rPr>
            </w:pPr>
            <w:r>
              <w:rPr>
                <w:sz w:val="21"/>
                <w:szCs w:val="21"/>
              </w:rPr>
              <w:t>老年综合评估</w:t>
            </w:r>
          </w:p>
        </w:tc>
        <w:tc>
          <w:tcPr>
            <w:tcW w:w="1728" w:type="dxa"/>
          </w:tcPr>
          <w:p w14:paraId="58249D02">
            <w:pPr>
              <w:widowControl/>
              <w:jc w:val="both"/>
              <w:rPr>
                <w:rFonts w:hint="eastAsia"/>
                <w:sz w:val="21"/>
                <w:szCs w:val="21"/>
              </w:rPr>
            </w:pPr>
            <w:r>
              <w:rPr>
                <w:rFonts w:hint="eastAsia"/>
                <w:sz w:val="21"/>
                <w:szCs w:val="21"/>
              </w:rPr>
              <w:t>讲授学习</w:t>
            </w:r>
            <w:r>
              <w:rPr>
                <w:sz w:val="21"/>
                <w:szCs w:val="21"/>
              </w:rPr>
              <w:t>+案例讨论</w:t>
            </w:r>
          </w:p>
        </w:tc>
        <w:tc>
          <w:tcPr>
            <w:tcW w:w="2384" w:type="dxa"/>
          </w:tcPr>
          <w:p w14:paraId="0FA83530">
            <w:pPr>
              <w:widowControl/>
              <w:jc w:val="both"/>
              <w:textAlignment w:val="center"/>
              <w:rPr>
                <w:rFonts w:hint="eastAsia"/>
                <w:sz w:val="21"/>
                <w:szCs w:val="21"/>
              </w:rPr>
            </w:pPr>
            <w:r>
              <w:rPr>
                <w:sz w:val="21"/>
                <w:szCs w:val="21"/>
              </w:rPr>
              <w:t>理论+实践考核</w:t>
            </w:r>
          </w:p>
        </w:tc>
        <w:tc>
          <w:tcPr>
            <w:tcW w:w="713" w:type="dxa"/>
            <w:vAlign w:val="center"/>
          </w:tcPr>
          <w:p w14:paraId="430D35A6">
            <w:pPr>
              <w:widowControl w:val="0"/>
              <w:jc w:val="both"/>
              <w:rPr>
                <w:rFonts w:ascii="Times New Roman" w:hAnsi="Times New Roman" w:cs="Times New Roman"/>
              </w:rPr>
            </w:pPr>
            <w:r>
              <w:rPr>
                <w:rFonts w:hint="eastAsia" w:ascii="Times New Roman" w:hAnsi="Times New Roman" w:cs="Times New Roman"/>
              </w:rPr>
              <w:t>1</w:t>
            </w:r>
          </w:p>
        </w:tc>
        <w:tc>
          <w:tcPr>
            <w:tcW w:w="660" w:type="dxa"/>
            <w:vAlign w:val="center"/>
          </w:tcPr>
          <w:p w14:paraId="6CCFF885">
            <w:pPr>
              <w:widowControl w:val="0"/>
              <w:jc w:val="both"/>
              <w:rPr>
                <w:rFonts w:ascii="Times New Roman" w:hAnsi="Times New Roman" w:cs="Times New Roman"/>
              </w:rPr>
            </w:pPr>
            <w:r>
              <w:rPr>
                <w:rFonts w:hint="eastAsia" w:ascii="Times New Roman" w:hAnsi="Times New Roman" w:cs="Times New Roman"/>
              </w:rPr>
              <w:t>1</w:t>
            </w:r>
          </w:p>
        </w:tc>
        <w:tc>
          <w:tcPr>
            <w:tcW w:w="706" w:type="dxa"/>
            <w:tcBorders>
              <w:right w:val="single" w:color="auto" w:sz="12" w:space="0"/>
            </w:tcBorders>
            <w:vAlign w:val="center"/>
          </w:tcPr>
          <w:p w14:paraId="017DF0A5">
            <w:pPr>
              <w:widowControl w:val="0"/>
              <w:jc w:val="both"/>
              <w:rPr>
                <w:rFonts w:ascii="Times New Roman" w:hAnsi="Times New Roman" w:cs="Times New Roman"/>
              </w:rPr>
            </w:pPr>
            <w:r>
              <w:rPr>
                <w:rFonts w:hint="eastAsia" w:ascii="Times New Roman" w:hAnsi="Times New Roman" w:cs="Times New Roman"/>
              </w:rPr>
              <w:t>2</w:t>
            </w:r>
          </w:p>
        </w:tc>
      </w:tr>
      <w:tr w14:paraId="4618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759CA610">
            <w:pPr>
              <w:widowControl/>
              <w:jc w:val="both"/>
              <w:textAlignment w:val="center"/>
              <w:rPr>
                <w:rFonts w:hint="eastAsia"/>
                <w:sz w:val="21"/>
                <w:szCs w:val="21"/>
              </w:rPr>
            </w:pPr>
            <w:r>
              <w:rPr>
                <w:sz w:val="21"/>
                <w:szCs w:val="21"/>
              </w:rPr>
              <w:t>老年医学多学科团队</w:t>
            </w:r>
          </w:p>
        </w:tc>
        <w:tc>
          <w:tcPr>
            <w:tcW w:w="1728" w:type="dxa"/>
            <w:vAlign w:val="center"/>
          </w:tcPr>
          <w:p w14:paraId="0E0015B0">
            <w:pPr>
              <w:widowControl/>
              <w:jc w:val="both"/>
              <w:textAlignment w:val="center"/>
              <w:rPr>
                <w:rFonts w:ascii="Times New Roman" w:hAnsi="Times New Roman" w:cs="Times New Roman"/>
                <w:sz w:val="21"/>
                <w:szCs w:val="21"/>
              </w:rPr>
            </w:pPr>
            <w:r>
              <w:rPr>
                <w:rFonts w:hint="eastAsia"/>
                <w:sz w:val="21"/>
                <w:szCs w:val="21"/>
              </w:rPr>
              <w:t>讲授学习</w:t>
            </w:r>
          </w:p>
        </w:tc>
        <w:tc>
          <w:tcPr>
            <w:tcW w:w="2384" w:type="dxa"/>
            <w:vAlign w:val="center"/>
          </w:tcPr>
          <w:p w14:paraId="344CBE3B">
            <w:pPr>
              <w:widowControl/>
              <w:jc w:val="both"/>
              <w:textAlignment w:val="center"/>
              <w:rPr>
                <w:rFonts w:ascii="Times New Roman" w:hAnsi="Times New Roman" w:cs="Times New Roman"/>
                <w:sz w:val="21"/>
                <w:szCs w:val="21"/>
              </w:rPr>
            </w:pPr>
            <w:r>
              <w:rPr>
                <w:rFonts w:hint="eastAsia" w:ascii="Times New Roman" w:hAnsi="Times New Roman" w:cs="Times New Roman"/>
                <w:bCs/>
                <w:sz w:val="21"/>
                <w:szCs w:val="21"/>
              </w:rPr>
              <w:t>理论考核</w:t>
            </w:r>
          </w:p>
        </w:tc>
        <w:tc>
          <w:tcPr>
            <w:tcW w:w="713" w:type="dxa"/>
            <w:vAlign w:val="center"/>
          </w:tcPr>
          <w:p w14:paraId="7F2AA73C">
            <w:pPr>
              <w:widowControl w:val="0"/>
              <w:jc w:val="both"/>
              <w:rPr>
                <w:rFonts w:ascii="Times New Roman" w:hAnsi="Times New Roman" w:cs="Times New Roman"/>
                <w:color w:val="000000"/>
                <w:sz w:val="22"/>
                <w:szCs w:val="22"/>
                <w:lang w:bidi="ar"/>
              </w:rPr>
            </w:pPr>
            <w:r>
              <w:rPr>
                <w:rFonts w:hint="eastAsia" w:ascii="Times New Roman" w:hAnsi="Times New Roman" w:cs="Times New Roman"/>
                <w:color w:val="000000"/>
                <w:lang w:bidi="ar"/>
              </w:rPr>
              <w:t>2</w:t>
            </w:r>
          </w:p>
        </w:tc>
        <w:tc>
          <w:tcPr>
            <w:tcW w:w="660" w:type="dxa"/>
            <w:vAlign w:val="center"/>
          </w:tcPr>
          <w:p w14:paraId="225EA5C8">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0</w:t>
            </w:r>
          </w:p>
        </w:tc>
        <w:tc>
          <w:tcPr>
            <w:tcW w:w="706" w:type="dxa"/>
            <w:tcBorders>
              <w:right w:val="single" w:color="auto" w:sz="12" w:space="0"/>
            </w:tcBorders>
            <w:vAlign w:val="center"/>
          </w:tcPr>
          <w:p w14:paraId="240A9C3C">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1241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333D0FE2">
            <w:pPr>
              <w:widowControl/>
              <w:jc w:val="both"/>
              <w:textAlignment w:val="center"/>
              <w:rPr>
                <w:rFonts w:hint="eastAsia"/>
                <w:sz w:val="21"/>
                <w:szCs w:val="21"/>
              </w:rPr>
            </w:pPr>
            <w:r>
              <w:rPr>
                <w:sz w:val="21"/>
                <w:szCs w:val="21"/>
              </w:rPr>
              <w:t>老年共病管理</w:t>
            </w:r>
          </w:p>
        </w:tc>
        <w:tc>
          <w:tcPr>
            <w:tcW w:w="1728" w:type="dxa"/>
            <w:vAlign w:val="center"/>
          </w:tcPr>
          <w:p w14:paraId="67ED2D07">
            <w:pPr>
              <w:widowControl/>
              <w:jc w:val="both"/>
              <w:textAlignment w:val="center"/>
              <w:rPr>
                <w:rFonts w:ascii="Times New Roman" w:hAnsi="Times New Roman" w:cs="Times New Roman"/>
                <w:sz w:val="21"/>
                <w:szCs w:val="21"/>
              </w:rPr>
            </w:pPr>
            <w:r>
              <w:rPr>
                <w:rFonts w:hint="eastAsia"/>
                <w:sz w:val="21"/>
                <w:szCs w:val="21"/>
              </w:rPr>
              <w:t>讲授学习</w:t>
            </w:r>
          </w:p>
        </w:tc>
        <w:tc>
          <w:tcPr>
            <w:tcW w:w="2384" w:type="dxa"/>
            <w:vAlign w:val="center"/>
          </w:tcPr>
          <w:p w14:paraId="10E5429B">
            <w:pPr>
              <w:widowControl/>
              <w:jc w:val="both"/>
              <w:textAlignment w:val="center"/>
              <w:rPr>
                <w:rFonts w:ascii="Times New Roman" w:hAnsi="Times New Roman" w:cs="Times New Roman"/>
                <w:sz w:val="21"/>
                <w:szCs w:val="21"/>
              </w:rPr>
            </w:pPr>
            <w:r>
              <w:rPr>
                <w:rFonts w:hint="eastAsia" w:ascii="Times New Roman" w:hAnsi="Times New Roman" w:cs="Times New Roman"/>
                <w:bCs/>
                <w:sz w:val="21"/>
                <w:szCs w:val="21"/>
              </w:rPr>
              <w:t>理论考核</w:t>
            </w:r>
          </w:p>
        </w:tc>
        <w:tc>
          <w:tcPr>
            <w:tcW w:w="713" w:type="dxa"/>
            <w:vAlign w:val="center"/>
          </w:tcPr>
          <w:p w14:paraId="4638FEB6">
            <w:pPr>
              <w:widowControl w:val="0"/>
              <w:jc w:val="both"/>
              <w:rPr>
                <w:rFonts w:ascii="Times New Roman" w:hAnsi="Times New Roman" w:cs="Times New Roman"/>
                <w:color w:val="000000"/>
                <w:sz w:val="22"/>
                <w:szCs w:val="22"/>
                <w:lang w:bidi="ar"/>
              </w:rPr>
            </w:pPr>
            <w:r>
              <w:rPr>
                <w:rFonts w:hint="eastAsia" w:ascii="Times New Roman" w:hAnsi="Times New Roman" w:cs="Times New Roman"/>
                <w:color w:val="000000"/>
                <w:lang w:bidi="ar"/>
              </w:rPr>
              <w:t>2</w:t>
            </w:r>
          </w:p>
        </w:tc>
        <w:tc>
          <w:tcPr>
            <w:tcW w:w="660" w:type="dxa"/>
            <w:vAlign w:val="center"/>
          </w:tcPr>
          <w:p w14:paraId="1390741F">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0</w:t>
            </w:r>
          </w:p>
        </w:tc>
        <w:tc>
          <w:tcPr>
            <w:tcW w:w="706" w:type="dxa"/>
            <w:tcBorders>
              <w:right w:val="single" w:color="auto" w:sz="12" w:space="0"/>
            </w:tcBorders>
            <w:vAlign w:val="center"/>
          </w:tcPr>
          <w:p w14:paraId="27C3813C">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05E4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7BECD7B4">
            <w:pPr>
              <w:widowControl/>
              <w:jc w:val="both"/>
              <w:textAlignment w:val="center"/>
              <w:rPr>
                <w:rFonts w:hint="eastAsia"/>
                <w:sz w:val="21"/>
                <w:szCs w:val="21"/>
              </w:rPr>
            </w:pPr>
            <w:r>
              <w:rPr>
                <w:sz w:val="21"/>
                <w:szCs w:val="21"/>
              </w:rPr>
              <w:t>老年人心理健康</w:t>
            </w:r>
          </w:p>
        </w:tc>
        <w:tc>
          <w:tcPr>
            <w:tcW w:w="1728" w:type="dxa"/>
            <w:vAlign w:val="center"/>
          </w:tcPr>
          <w:p w14:paraId="79EFAA23">
            <w:pPr>
              <w:widowControl/>
              <w:jc w:val="both"/>
              <w:textAlignment w:val="center"/>
              <w:rPr>
                <w:rFonts w:ascii="Times New Roman" w:hAnsi="Times New Roman" w:cs="Times New Roman"/>
                <w:sz w:val="21"/>
                <w:szCs w:val="21"/>
              </w:rPr>
            </w:pPr>
            <w:r>
              <w:rPr>
                <w:rFonts w:hint="eastAsia"/>
                <w:sz w:val="21"/>
                <w:szCs w:val="21"/>
              </w:rPr>
              <w:t>讲授学习</w:t>
            </w:r>
          </w:p>
        </w:tc>
        <w:tc>
          <w:tcPr>
            <w:tcW w:w="2384" w:type="dxa"/>
            <w:vAlign w:val="center"/>
          </w:tcPr>
          <w:p w14:paraId="7A5EEA5C">
            <w:pPr>
              <w:widowControl/>
              <w:jc w:val="both"/>
              <w:textAlignment w:val="center"/>
              <w:rPr>
                <w:rFonts w:ascii="Times New Roman" w:hAnsi="Times New Roman" w:cs="Times New Roman"/>
                <w:sz w:val="21"/>
                <w:szCs w:val="21"/>
              </w:rPr>
            </w:pPr>
            <w:r>
              <w:rPr>
                <w:rFonts w:hint="eastAsia" w:ascii="Times New Roman" w:hAnsi="Times New Roman" w:cs="Times New Roman"/>
                <w:bCs/>
                <w:sz w:val="21"/>
                <w:szCs w:val="21"/>
              </w:rPr>
              <w:t>理论考核</w:t>
            </w:r>
          </w:p>
        </w:tc>
        <w:tc>
          <w:tcPr>
            <w:tcW w:w="713" w:type="dxa"/>
            <w:vAlign w:val="center"/>
          </w:tcPr>
          <w:p w14:paraId="2651D01F">
            <w:pPr>
              <w:widowControl w:val="0"/>
              <w:jc w:val="both"/>
              <w:rPr>
                <w:rFonts w:ascii="Times New Roman" w:hAnsi="Times New Roman" w:cs="Times New Roman"/>
                <w:color w:val="000000"/>
                <w:sz w:val="22"/>
                <w:szCs w:val="22"/>
                <w:lang w:bidi="ar"/>
              </w:rPr>
            </w:pPr>
            <w:r>
              <w:rPr>
                <w:rFonts w:hint="eastAsia" w:ascii="Times New Roman" w:hAnsi="Times New Roman" w:cs="Times New Roman"/>
                <w:color w:val="000000"/>
                <w:lang w:bidi="ar"/>
              </w:rPr>
              <w:t>2</w:t>
            </w:r>
          </w:p>
        </w:tc>
        <w:tc>
          <w:tcPr>
            <w:tcW w:w="660" w:type="dxa"/>
            <w:vAlign w:val="center"/>
          </w:tcPr>
          <w:p w14:paraId="2BAA031D">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0</w:t>
            </w:r>
          </w:p>
        </w:tc>
        <w:tc>
          <w:tcPr>
            <w:tcW w:w="706" w:type="dxa"/>
            <w:tcBorders>
              <w:right w:val="single" w:color="auto" w:sz="12" w:space="0"/>
            </w:tcBorders>
            <w:vAlign w:val="center"/>
          </w:tcPr>
          <w:p w14:paraId="34463ECF">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3076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5941A2DC">
            <w:pPr>
              <w:widowControl w:val="0"/>
              <w:jc w:val="both"/>
              <w:textAlignment w:val="center"/>
              <w:rPr>
                <w:rFonts w:hint="eastAsia"/>
                <w:sz w:val="21"/>
                <w:szCs w:val="21"/>
              </w:rPr>
            </w:pPr>
            <w:r>
              <w:rPr>
                <w:sz w:val="21"/>
                <w:szCs w:val="21"/>
              </w:rPr>
              <w:t>老年人康复</w:t>
            </w:r>
          </w:p>
        </w:tc>
        <w:tc>
          <w:tcPr>
            <w:tcW w:w="1728" w:type="dxa"/>
            <w:vAlign w:val="center"/>
          </w:tcPr>
          <w:p w14:paraId="4611BDF8">
            <w:pPr>
              <w:widowControl w:val="0"/>
              <w:jc w:val="both"/>
              <w:rPr>
                <w:rFonts w:hint="eastAsia"/>
                <w:sz w:val="21"/>
                <w:szCs w:val="21"/>
              </w:rPr>
            </w:pPr>
            <w:r>
              <w:rPr>
                <w:rFonts w:hint="eastAsia"/>
                <w:sz w:val="21"/>
                <w:szCs w:val="21"/>
              </w:rPr>
              <w:t>讲授学习</w:t>
            </w:r>
          </w:p>
        </w:tc>
        <w:tc>
          <w:tcPr>
            <w:tcW w:w="2384" w:type="dxa"/>
            <w:vAlign w:val="center"/>
          </w:tcPr>
          <w:p w14:paraId="31B1AA16">
            <w:pPr>
              <w:widowControl w:val="0"/>
              <w:jc w:val="both"/>
              <w:textAlignment w:val="center"/>
              <w:rPr>
                <w:rFonts w:ascii="Times New Roman" w:hAnsi="Times New Roman" w:cs="Times New Roman"/>
                <w:bCs/>
                <w:sz w:val="21"/>
                <w:szCs w:val="21"/>
              </w:rPr>
            </w:pPr>
            <w:r>
              <w:rPr>
                <w:rFonts w:hint="eastAsia" w:ascii="Times New Roman" w:hAnsi="Times New Roman" w:cs="Times New Roman"/>
                <w:bCs/>
                <w:sz w:val="21"/>
                <w:szCs w:val="21"/>
              </w:rPr>
              <w:t>理论考核</w:t>
            </w:r>
          </w:p>
        </w:tc>
        <w:tc>
          <w:tcPr>
            <w:tcW w:w="713" w:type="dxa"/>
            <w:vAlign w:val="center"/>
          </w:tcPr>
          <w:p w14:paraId="07D6E36A">
            <w:pPr>
              <w:widowControl w:val="0"/>
              <w:jc w:val="both"/>
              <w:rPr>
                <w:rFonts w:ascii="Times New Roman" w:hAnsi="Times New Roman" w:cs="Times New Roman"/>
              </w:rPr>
            </w:pPr>
            <w:r>
              <w:rPr>
                <w:rFonts w:hint="eastAsia" w:ascii="Times New Roman" w:hAnsi="Times New Roman" w:cs="Times New Roman"/>
                <w:color w:val="000000"/>
                <w:lang w:bidi="ar"/>
              </w:rPr>
              <w:t>2</w:t>
            </w:r>
          </w:p>
        </w:tc>
        <w:tc>
          <w:tcPr>
            <w:tcW w:w="660" w:type="dxa"/>
            <w:vAlign w:val="center"/>
          </w:tcPr>
          <w:p w14:paraId="59DF0FAE">
            <w:pPr>
              <w:widowControl w:val="0"/>
              <w:jc w:val="both"/>
              <w:rPr>
                <w:rFonts w:ascii="Times New Roman" w:hAnsi="Times New Roman" w:cs="Times New Roman"/>
              </w:rPr>
            </w:pPr>
            <w:r>
              <w:rPr>
                <w:rFonts w:hint="eastAsia" w:ascii="Times New Roman" w:hAnsi="Times New Roman" w:cs="Times New Roman"/>
              </w:rPr>
              <w:t>0</w:t>
            </w:r>
          </w:p>
        </w:tc>
        <w:tc>
          <w:tcPr>
            <w:tcW w:w="706" w:type="dxa"/>
            <w:tcBorders>
              <w:right w:val="single" w:color="auto" w:sz="12" w:space="0"/>
            </w:tcBorders>
            <w:vAlign w:val="center"/>
          </w:tcPr>
          <w:p w14:paraId="5D696C90">
            <w:pPr>
              <w:widowControl w:val="0"/>
              <w:jc w:val="both"/>
              <w:rPr>
                <w:rFonts w:ascii="Times New Roman" w:hAnsi="Times New Roman" w:cs="Times New Roman"/>
              </w:rPr>
            </w:pPr>
            <w:r>
              <w:rPr>
                <w:rFonts w:ascii="Times New Roman" w:hAnsi="Times New Roman" w:cs="Times New Roman"/>
              </w:rPr>
              <w:t>2</w:t>
            </w:r>
          </w:p>
        </w:tc>
      </w:tr>
      <w:tr w14:paraId="1252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727A0CE9">
            <w:pPr>
              <w:widowControl w:val="0"/>
              <w:jc w:val="both"/>
              <w:textAlignment w:val="center"/>
              <w:rPr>
                <w:rFonts w:hint="eastAsia"/>
                <w:sz w:val="21"/>
                <w:szCs w:val="21"/>
              </w:rPr>
            </w:pPr>
            <w:r>
              <w:rPr>
                <w:sz w:val="21"/>
                <w:szCs w:val="21"/>
              </w:rPr>
              <w:t>老年人健康管理</w:t>
            </w:r>
          </w:p>
        </w:tc>
        <w:tc>
          <w:tcPr>
            <w:tcW w:w="1728" w:type="dxa"/>
            <w:vAlign w:val="center"/>
          </w:tcPr>
          <w:p w14:paraId="4F4E3649">
            <w:pPr>
              <w:widowControl w:val="0"/>
              <w:jc w:val="both"/>
              <w:rPr>
                <w:rFonts w:hint="eastAsia"/>
                <w:sz w:val="21"/>
                <w:szCs w:val="21"/>
              </w:rPr>
            </w:pPr>
            <w:r>
              <w:rPr>
                <w:rFonts w:hint="eastAsia"/>
                <w:sz w:val="21"/>
                <w:szCs w:val="21"/>
              </w:rPr>
              <w:t>讲授学习</w:t>
            </w:r>
          </w:p>
        </w:tc>
        <w:tc>
          <w:tcPr>
            <w:tcW w:w="2384" w:type="dxa"/>
            <w:vAlign w:val="center"/>
          </w:tcPr>
          <w:p w14:paraId="0685813D">
            <w:pPr>
              <w:widowControl w:val="0"/>
              <w:jc w:val="both"/>
              <w:textAlignment w:val="center"/>
              <w:rPr>
                <w:rFonts w:ascii="Times New Roman" w:hAnsi="Times New Roman" w:cs="Times New Roman"/>
                <w:bCs/>
                <w:sz w:val="21"/>
                <w:szCs w:val="21"/>
              </w:rPr>
            </w:pPr>
            <w:r>
              <w:rPr>
                <w:rFonts w:hint="eastAsia" w:ascii="Times New Roman" w:hAnsi="Times New Roman" w:cs="Times New Roman"/>
                <w:bCs/>
                <w:sz w:val="21"/>
                <w:szCs w:val="21"/>
              </w:rPr>
              <w:t>理论考核</w:t>
            </w:r>
          </w:p>
        </w:tc>
        <w:tc>
          <w:tcPr>
            <w:tcW w:w="713" w:type="dxa"/>
            <w:vAlign w:val="center"/>
          </w:tcPr>
          <w:p w14:paraId="4ABBB828">
            <w:pPr>
              <w:widowControl w:val="0"/>
              <w:jc w:val="both"/>
              <w:rPr>
                <w:rFonts w:ascii="Times New Roman" w:hAnsi="Times New Roman" w:cs="Times New Roman"/>
              </w:rPr>
            </w:pPr>
            <w:r>
              <w:rPr>
                <w:rFonts w:hint="eastAsia" w:ascii="Times New Roman" w:hAnsi="Times New Roman" w:cs="Times New Roman"/>
                <w:color w:val="000000"/>
                <w:lang w:bidi="ar"/>
              </w:rPr>
              <w:t>2</w:t>
            </w:r>
          </w:p>
        </w:tc>
        <w:tc>
          <w:tcPr>
            <w:tcW w:w="660" w:type="dxa"/>
            <w:vAlign w:val="center"/>
          </w:tcPr>
          <w:p w14:paraId="1E94BCD0">
            <w:pPr>
              <w:widowControl w:val="0"/>
              <w:jc w:val="both"/>
              <w:rPr>
                <w:rFonts w:ascii="Times New Roman" w:hAnsi="Times New Roman" w:cs="Times New Roman"/>
              </w:rPr>
            </w:pPr>
            <w:r>
              <w:rPr>
                <w:rFonts w:hint="eastAsia" w:ascii="Times New Roman" w:hAnsi="Times New Roman" w:cs="Times New Roman"/>
              </w:rPr>
              <w:t>0</w:t>
            </w:r>
          </w:p>
        </w:tc>
        <w:tc>
          <w:tcPr>
            <w:tcW w:w="706" w:type="dxa"/>
            <w:tcBorders>
              <w:right w:val="single" w:color="auto" w:sz="12" w:space="0"/>
            </w:tcBorders>
            <w:vAlign w:val="center"/>
          </w:tcPr>
          <w:p w14:paraId="4B1C28B7">
            <w:pPr>
              <w:widowControl w:val="0"/>
              <w:jc w:val="both"/>
              <w:rPr>
                <w:rFonts w:ascii="Times New Roman" w:hAnsi="Times New Roman" w:cs="Times New Roman"/>
              </w:rPr>
            </w:pPr>
            <w:r>
              <w:rPr>
                <w:rFonts w:ascii="Times New Roman" w:hAnsi="Times New Roman" w:cs="Times New Roman"/>
              </w:rPr>
              <w:t>2</w:t>
            </w:r>
          </w:p>
        </w:tc>
      </w:tr>
      <w:tr w14:paraId="106D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284C71FC">
            <w:pPr>
              <w:widowControl w:val="0"/>
              <w:jc w:val="both"/>
              <w:textAlignment w:val="center"/>
              <w:rPr>
                <w:rFonts w:hint="eastAsia"/>
                <w:sz w:val="21"/>
                <w:szCs w:val="21"/>
              </w:rPr>
            </w:pPr>
            <w:r>
              <w:rPr>
                <w:sz w:val="21"/>
                <w:szCs w:val="21"/>
              </w:rPr>
              <w:t>老年人围术期管理</w:t>
            </w:r>
          </w:p>
        </w:tc>
        <w:tc>
          <w:tcPr>
            <w:tcW w:w="1728" w:type="dxa"/>
            <w:vAlign w:val="center"/>
          </w:tcPr>
          <w:p w14:paraId="17BD85D3">
            <w:pPr>
              <w:widowControl w:val="0"/>
              <w:jc w:val="both"/>
              <w:rPr>
                <w:rFonts w:hint="eastAsia"/>
                <w:sz w:val="21"/>
                <w:szCs w:val="21"/>
              </w:rPr>
            </w:pPr>
            <w:r>
              <w:rPr>
                <w:rFonts w:hint="eastAsia"/>
                <w:sz w:val="21"/>
                <w:szCs w:val="21"/>
              </w:rPr>
              <w:t>讲授学习</w:t>
            </w:r>
          </w:p>
        </w:tc>
        <w:tc>
          <w:tcPr>
            <w:tcW w:w="2384" w:type="dxa"/>
            <w:vAlign w:val="center"/>
          </w:tcPr>
          <w:p w14:paraId="5CC3A8BF">
            <w:pPr>
              <w:widowControl w:val="0"/>
              <w:jc w:val="both"/>
              <w:textAlignment w:val="center"/>
              <w:rPr>
                <w:rFonts w:ascii="Times New Roman" w:hAnsi="Times New Roman" w:cs="Times New Roman"/>
                <w:bCs/>
                <w:sz w:val="21"/>
                <w:szCs w:val="21"/>
              </w:rPr>
            </w:pPr>
            <w:r>
              <w:rPr>
                <w:rFonts w:hint="eastAsia" w:ascii="Times New Roman" w:hAnsi="Times New Roman" w:cs="Times New Roman"/>
                <w:bCs/>
                <w:sz w:val="21"/>
                <w:szCs w:val="21"/>
              </w:rPr>
              <w:t>理论考核</w:t>
            </w:r>
          </w:p>
        </w:tc>
        <w:tc>
          <w:tcPr>
            <w:tcW w:w="713" w:type="dxa"/>
            <w:vAlign w:val="center"/>
          </w:tcPr>
          <w:p w14:paraId="592D90F6">
            <w:pPr>
              <w:widowControl w:val="0"/>
              <w:jc w:val="both"/>
              <w:rPr>
                <w:rFonts w:ascii="Times New Roman" w:hAnsi="Times New Roman" w:cs="Times New Roman"/>
              </w:rPr>
            </w:pPr>
            <w:r>
              <w:rPr>
                <w:rFonts w:hint="eastAsia" w:ascii="Times New Roman" w:hAnsi="Times New Roman" w:cs="Times New Roman"/>
                <w:color w:val="000000"/>
                <w:lang w:bidi="ar"/>
              </w:rPr>
              <w:t>2</w:t>
            </w:r>
          </w:p>
        </w:tc>
        <w:tc>
          <w:tcPr>
            <w:tcW w:w="660" w:type="dxa"/>
            <w:vAlign w:val="center"/>
          </w:tcPr>
          <w:p w14:paraId="441F0495">
            <w:pPr>
              <w:widowControl w:val="0"/>
              <w:jc w:val="both"/>
              <w:rPr>
                <w:rFonts w:ascii="Times New Roman" w:hAnsi="Times New Roman" w:cs="Times New Roman"/>
              </w:rPr>
            </w:pPr>
            <w:r>
              <w:rPr>
                <w:rFonts w:hint="eastAsia" w:ascii="Times New Roman" w:hAnsi="Times New Roman" w:cs="Times New Roman"/>
              </w:rPr>
              <w:t>0</w:t>
            </w:r>
          </w:p>
        </w:tc>
        <w:tc>
          <w:tcPr>
            <w:tcW w:w="706" w:type="dxa"/>
            <w:tcBorders>
              <w:right w:val="single" w:color="auto" w:sz="12" w:space="0"/>
            </w:tcBorders>
            <w:vAlign w:val="center"/>
          </w:tcPr>
          <w:p w14:paraId="74FFB273">
            <w:pPr>
              <w:widowControl w:val="0"/>
              <w:jc w:val="both"/>
              <w:rPr>
                <w:rFonts w:ascii="Times New Roman" w:hAnsi="Times New Roman" w:cs="Times New Roman"/>
              </w:rPr>
            </w:pPr>
            <w:r>
              <w:rPr>
                <w:rFonts w:ascii="Times New Roman" w:hAnsi="Times New Roman" w:cs="Times New Roman"/>
              </w:rPr>
              <w:t>2</w:t>
            </w:r>
          </w:p>
        </w:tc>
      </w:tr>
      <w:tr w14:paraId="5A64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70AFDD39">
            <w:pPr>
              <w:widowControl w:val="0"/>
              <w:jc w:val="both"/>
              <w:textAlignment w:val="center"/>
              <w:rPr>
                <w:rFonts w:hint="eastAsia"/>
                <w:sz w:val="21"/>
                <w:szCs w:val="21"/>
              </w:rPr>
            </w:pPr>
            <w:r>
              <w:rPr>
                <w:sz w:val="21"/>
                <w:szCs w:val="21"/>
              </w:rPr>
              <w:t>老年人急性期照护、中期照护与长期照护</w:t>
            </w:r>
          </w:p>
        </w:tc>
        <w:tc>
          <w:tcPr>
            <w:tcW w:w="1728" w:type="dxa"/>
          </w:tcPr>
          <w:p w14:paraId="25C6BD35">
            <w:pPr>
              <w:widowControl w:val="0"/>
              <w:jc w:val="both"/>
              <w:rPr>
                <w:rFonts w:hint="eastAsia"/>
                <w:sz w:val="21"/>
                <w:szCs w:val="21"/>
              </w:rPr>
            </w:pPr>
            <w:r>
              <w:rPr>
                <w:rFonts w:hint="eastAsia"/>
                <w:sz w:val="21"/>
                <w:szCs w:val="21"/>
              </w:rPr>
              <w:t>讲授学习</w:t>
            </w:r>
            <w:r>
              <w:rPr>
                <w:sz w:val="21"/>
                <w:szCs w:val="21"/>
              </w:rPr>
              <w:t>+案例讨论</w:t>
            </w:r>
          </w:p>
        </w:tc>
        <w:tc>
          <w:tcPr>
            <w:tcW w:w="2384" w:type="dxa"/>
          </w:tcPr>
          <w:p w14:paraId="54556A80">
            <w:pPr>
              <w:widowControl w:val="0"/>
              <w:jc w:val="both"/>
              <w:textAlignment w:val="center"/>
              <w:rPr>
                <w:rFonts w:ascii="Times New Roman" w:hAnsi="Times New Roman" w:cs="Times New Roman"/>
                <w:bCs/>
                <w:sz w:val="21"/>
                <w:szCs w:val="21"/>
              </w:rPr>
            </w:pPr>
            <w:r>
              <w:rPr>
                <w:sz w:val="21"/>
                <w:szCs w:val="21"/>
              </w:rPr>
              <w:t>理论+实践考核</w:t>
            </w:r>
          </w:p>
        </w:tc>
        <w:tc>
          <w:tcPr>
            <w:tcW w:w="713" w:type="dxa"/>
            <w:vAlign w:val="center"/>
          </w:tcPr>
          <w:p w14:paraId="6BE39EF1">
            <w:pPr>
              <w:widowControl w:val="0"/>
              <w:jc w:val="both"/>
              <w:rPr>
                <w:rFonts w:ascii="Times New Roman" w:hAnsi="Times New Roman" w:cs="Times New Roman"/>
              </w:rPr>
            </w:pPr>
            <w:r>
              <w:rPr>
                <w:rFonts w:hint="eastAsia" w:ascii="Times New Roman" w:hAnsi="Times New Roman" w:cs="Times New Roman"/>
              </w:rPr>
              <w:t>1</w:t>
            </w:r>
          </w:p>
        </w:tc>
        <w:tc>
          <w:tcPr>
            <w:tcW w:w="660" w:type="dxa"/>
            <w:vAlign w:val="center"/>
          </w:tcPr>
          <w:p w14:paraId="165579B7">
            <w:pPr>
              <w:widowControl w:val="0"/>
              <w:jc w:val="both"/>
              <w:rPr>
                <w:rFonts w:ascii="Times New Roman" w:hAnsi="Times New Roman" w:cs="Times New Roman"/>
              </w:rPr>
            </w:pPr>
            <w:r>
              <w:rPr>
                <w:rFonts w:hint="eastAsia" w:ascii="Times New Roman" w:hAnsi="Times New Roman" w:cs="Times New Roman"/>
              </w:rPr>
              <w:t>1</w:t>
            </w:r>
          </w:p>
        </w:tc>
        <w:tc>
          <w:tcPr>
            <w:tcW w:w="706" w:type="dxa"/>
            <w:tcBorders>
              <w:right w:val="single" w:color="auto" w:sz="12" w:space="0"/>
            </w:tcBorders>
            <w:vAlign w:val="center"/>
          </w:tcPr>
          <w:p w14:paraId="682B2630">
            <w:pPr>
              <w:widowControl w:val="0"/>
              <w:jc w:val="both"/>
              <w:rPr>
                <w:rFonts w:ascii="Times New Roman" w:hAnsi="Times New Roman" w:cs="Times New Roman"/>
              </w:rPr>
            </w:pPr>
            <w:r>
              <w:rPr>
                <w:rFonts w:hint="eastAsia" w:ascii="Times New Roman" w:hAnsi="Times New Roman" w:cs="Times New Roman"/>
              </w:rPr>
              <w:t>2</w:t>
            </w:r>
          </w:p>
        </w:tc>
      </w:tr>
      <w:tr w14:paraId="19DB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2FB9AE9E">
            <w:pPr>
              <w:widowControl w:val="0"/>
              <w:jc w:val="both"/>
              <w:textAlignment w:val="center"/>
              <w:rPr>
                <w:rFonts w:hint="eastAsia"/>
                <w:sz w:val="21"/>
                <w:szCs w:val="21"/>
              </w:rPr>
            </w:pPr>
            <w:r>
              <w:rPr>
                <w:sz w:val="21"/>
                <w:szCs w:val="21"/>
              </w:rPr>
              <w:t>缓和医疗</w:t>
            </w:r>
          </w:p>
        </w:tc>
        <w:tc>
          <w:tcPr>
            <w:tcW w:w="1728" w:type="dxa"/>
            <w:vAlign w:val="center"/>
          </w:tcPr>
          <w:p w14:paraId="016CAD5B">
            <w:pPr>
              <w:widowControl w:val="0"/>
              <w:jc w:val="both"/>
              <w:rPr>
                <w:rFonts w:hint="eastAsia"/>
                <w:sz w:val="21"/>
                <w:szCs w:val="21"/>
              </w:rPr>
            </w:pPr>
            <w:r>
              <w:rPr>
                <w:rFonts w:hint="eastAsia"/>
                <w:sz w:val="21"/>
                <w:szCs w:val="21"/>
              </w:rPr>
              <w:t>讲授学习</w:t>
            </w:r>
          </w:p>
        </w:tc>
        <w:tc>
          <w:tcPr>
            <w:tcW w:w="2384" w:type="dxa"/>
            <w:vAlign w:val="center"/>
          </w:tcPr>
          <w:p w14:paraId="41433A40">
            <w:pPr>
              <w:widowControl w:val="0"/>
              <w:jc w:val="both"/>
              <w:textAlignment w:val="center"/>
              <w:rPr>
                <w:rFonts w:ascii="Times New Roman" w:hAnsi="Times New Roman" w:cs="Times New Roman"/>
                <w:bCs/>
                <w:sz w:val="21"/>
                <w:szCs w:val="21"/>
              </w:rPr>
            </w:pPr>
            <w:r>
              <w:rPr>
                <w:rFonts w:hint="eastAsia" w:ascii="Times New Roman" w:hAnsi="Times New Roman" w:cs="Times New Roman"/>
                <w:bCs/>
                <w:sz w:val="21"/>
                <w:szCs w:val="21"/>
              </w:rPr>
              <w:t>理论考核</w:t>
            </w:r>
          </w:p>
        </w:tc>
        <w:tc>
          <w:tcPr>
            <w:tcW w:w="713" w:type="dxa"/>
            <w:vAlign w:val="center"/>
          </w:tcPr>
          <w:p w14:paraId="4B1E79F3">
            <w:pPr>
              <w:widowControl w:val="0"/>
              <w:jc w:val="both"/>
              <w:rPr>
                <w:rFonts w:ascii="Times New Roman" w:hAnsi="Times New Roman" w:cs="Times New Roman"/>
              </w:rPr>
            </w:pPr>
            <w:r>
              <w:rPr>
                <w:rFonts w:hint="eastAsia" w:ascii="Times New Roman" w:hAnsi="Times New Roman" w:cs="Times New Roman"/>
                <w:color w:val="000000"/>
                <w:lang w:bidi="ar"/>
              </w:rPr>
              <w:t>2</w:t>
            </w:r>
          </w:p>
        </w:tc>
        <w:tc>
          <w:tcPr>
            <w:tcW w:w="660" w:type="dxa"/>
            <w:vAlign w:val="center"/>
          </w:tcPr>
          <w:p w14:paraId="6B393644">
            <w:pPr>
              <w:widowControl w:val="0"/>
              <w:jc w:val="both"/>
              <w:rPr>
                <w:rFonts w:ascii="Times New Roman" w:hAnsi="Times New Roman" w:cs="Times New Roman"/>
              </w:rPr>
            </w:pPr>
            <w:r>
              <w:rPr>
                <w:rFonts w:hint="eastAsia" w:ascii="Times New Roman" w:hAnsi="Times New Roman" w:cs="Times New Roman"/>
              </w:rPr>
              <w:t>0</w:t>
            </w:r>
          </w:p>
        </w:tc>
        <w:tc>
          <w:tcPr>
            <w:tcW w:w="706" w:type="dxa"/>
            <w:tcBorders>
              <w:right w:val="single" w:color="auto" w:sz="12" w:space="0"/>
            </w:tcBorders>
            <w:vAlign w:val="center"/>
          </w:tcPr>
          <w:p w14:paraId="0CE3CA7D">
            <w:pPr>
              <w:widowControl w:val="0"/>
              <w:jc w:val="both"/>
              <w:rPr>
                <w:rFonts w:ascii="Times New Roman" w:hAnsi="Times New Roman" w:cs="Times New Roman"/>
              </w:rPr>
            </w:pPr>
            <w:r>
              <w:rPr>
                <w:rFonts w:ascii="Times New Roman" w:hAnsi="Times New Roman" w:cs="Times New Roman"/>
              </w:rPr>
              <w:t>2</w:t>
            </w:r>
          </w:p>
        </w:tc>
      </w:tr>
      <w:tr w14:paraId="72E9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29286E00">
            <w:pPr>
              <w:widowControl w:val="0"/>
              <w:jc w:val="both"/>
              <w:textAlignment w:val="center"/>
              <w:rPr>
                <w:rFonts w:hint="eastAsia"/>
                <w:sz w:val="21"/>
                <w:szCs w:val="21"/>
              </w:rPr>
            </w:pPr>
            <w:r>
              <w:rPr>
                <w:sz w:val="21"/>
                <w:szCs w:val="21"/>
              </w:rPr>
              <w:t>老年医学伦理问题</w:t>
            </w:r>
          </w:p>
        </w:tc>
        <w:tc>
          <w:tcPr>
            <w:tcW w:w="1728" w:type="dxa"/>
            <w:vAlign w:val="center"/>
          </w:tcPr>
          <w:p w14:paraId="0F10CFB1">
            <w:pPr>
              <w:widowControl w:val="0"/>
              <w:jc w:val="both"/>
              <w:rPr>
                <w:rFonts w:hint="eastAsia"/>
                <w:sz w:val="21"/>
                <w:szCs w:val="21"/>
              </w:rPr>
            </w:pPr>
            <w:r>
              <w:rPr>
                <w:rFonts w:hint="eastAsia"/>
                <w:sz w:val="21"/>
                <w:szCs w:val="21"/>
              </w:rPr>
              <w:t>讲授学习</w:t>
            </w:r>
          </w:p>
        </w:tc>
        <w:tc>
          <w:tcPr>
            <w:tcW w:w="2384" w:type="dxa"/>
            <w:vAlign w:val="center"/>
          </w:tcPr>
          <w:p w14:paraId="12FC7D0A">
            <w:pPr>
              <w:widowControl w:val="0"/>
              <w:jc w:val="both"/>
              <w:textAlignment w:val="center"/>
              <w:rPr>
                <w:rFonts w:ascii="Times New Roman" w:hAnsi="Times New Roman" w:cs="Times New Roman"/>
                <w:bCs/>
                <w:sz w:val="21"/>
                <w:szCs w:val="21"/>
              </w:rPr>
            </w:pPr>
            <w:r>
              <w:rPr>
                <w:rFonts w:hint="eastAsia" w:ascii="Times New Roman" w:hAnsi="Times New Roman" w:cs="Times New Roman"/>
                <w:bCs/>
                <w:sz w:val="21"/>
                <w:szCs w:val="21"/>
              </w:rPr>
              <w:t>理论考核</w:t>
            </w:r>
          </w:p>
        </w:tc>
        <w:tc>
          <w:tcPr>
            <w:tcW w:w="713" w:type="dxa"/>
            <w:vAlign w:val="center"/>
          </w:tcPr>
          <w:p w14:paraId="7B55A3E6">
            <w:pPr>
              <w:widowControl w:val="0"/>
              <w:jc w:val="both"/>
              <w:rPr>
                <w:rFonts w:ascii="Times New Roman" w:hAnsi="Times New Roman" w:cs="Times New Roman"/>
              </w:rPr>
            </w:pPr>
            <w:r>
              <w:rPr>
                <w:rFonts w:hint="eastAsia" w:ascii="Times New Roman" w:hAnsi="Times New Roman" w:cs="Times New Roman"/>
                <w:color w:val="000000"/>
                <w:lang w:bidi="ar"/>
              </w:rPr>
              <w:t>2</w:t>
            </w:r>
          </w:p>
        </w:tc>
        <w:tc>
          <w:tcPr>
            <w:tcW w:w="660" w:type="dxa"/>
            <w:vAlign w:val="center"/>
          </w:tcPr>
          <w:p w14:paraId="1F7DA265">
            <w:pPr>
              <w:widowControl w:val="0"/>
              <w:jc w:val="both"/>
              <w:rPr>
                <w:rFonts w:ascii="Times New Roman" w:hAnsi="Times New Roman" w:cs="Times New Roman"/>
              </w:rPr>
            </w:pPr>
            <w:r>
              <w:rPr>
                <w:rFonts w:hint="eastAsia" w:ascii="Times New Roman" w:hAnsi="Times New Roman" w:cs="Times New Roman"/>
              </w:rPr>
              <w:t>0</w:t>
            </w:r>
          </w:p>
        </w:tc>
        <w:tc>
          <w:tcPr>
            <w:tcW w:w="706" w:type="dxa"/>
            <w:tcBorders>
              <w:right w:val="single" w:color="auto" w:sz="12" w:space="0"/>
            </w:tcBorders>
            <w:vAlign w:val="center"/>
          </w:tcPr>
          <w:p w14:paraId="31CBCFA3">
            <w:pPr>
              <w:widowControl w:val="0"/>
              <w:jc w:val="both"/>
              <w:rPr>
                <w:rFonts w:ascii="Times New Roman" w:hAnsi="Times New Roman" w:cs="Times New Roman"/>
              </w:rPr>
            </w:pPr>
            <w:r>
              <w:rPr>
                <w:rFonts w:ascii="Times New Roman" w:hAnsi="Times New Roman" w:cs="Times New Roman"/>
              </w:rPr>
              <w:t>2</w:t>
            </w:r>
          </w:p>
        </w:tc>
      </w:tr>
      <w:tr w14:paraId="4C53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2707B6AB">
            <w:pPr>
              <w:widowControl/>
              <w:jc w:val="both"/>
              <w:textAlignment w:val="center"/>
              <w:rPr>
                <w:rFonts w:hint="eastAsia"/>
                <w:sz w:val="21"/>
                <w:szCs w:val="21"/>
              </w:rPr>
            </w:pPr>
            <w:r>
              <w:rPr>
                <w:sz w:val="21"/>
                <w:szCs w:val="21"/>
              </w:rPr>
              <w:t>老年认知功能障碍</w:t>
            </w:r>
          </w:p>
        </w:tc>
        <w:tc>
          <w:tcPr>
            <w:tcW w:w="1728" w:type="dxa"/>
            <w:vAlign w:val="center"/>
          </w:tcPr>
          <w:p w14:paraId="4AA5370B">
            <w:pPr>
              <w:widowControl/>
              <w:jc w:val="both"/>
              <w:textAlignment w:val="center"/>
              <w:rPr>
                <w:rFonts w:ascii="Times New Roman" w:hAnsi="Times New Roman" w:cs="Times New Roman"/>
                <w:sz w:val="21"/>
                <w:szCs w:val="21"/>
              </w:rPr>
            </w:pPr>
            <w:r>
              <w:rPr>
                <w:rFonts w:hint="eastAsia"/>
                <w:sz w:val="21"/>
                <w:szCs w:val="21"/>
              </w:rPr>
              <w:t>讲授学习</w:t>
            </w:r>
          </w:p>
        </w:tc>
        <w:tc>
          <w:tcPr>
            <w:tcW w:w="2384" w:type="dxa"/>
            <w:vAlign w:val="center"/>
          </w:tcPr>
          <w:p w14:paraId="3F3D8939">
            <w:pPr>
              <w:widowControl/>
              <w:jc w:val="both"/>
              <w:textAlignment w:val="center"/>
              <w:rPr>
                <w:rFonts w:ascii="Times New Roman" w:hAnsi="Times New Roman" w:cs="Times New Roman"/>
                <w:sz w:val="21"/>
                <w:szCs w:val="21"/>
              </w:rPr>
            </w:pPr>
            <w:r>
              <w:rPr>
                <w:rFonts w:hint="eastAsia" w:ascii="Times New Roman" w:hAnsi="Times New Roman" w:cs="Times New Roman"/>
                <w:bCs/>
                <w:sz w:val="21"/>
                <w:szCs w:val="21"/>
              </w:rPr>
              <w:t>理论考核</w:t>
            </w:r>
          </w:p>
        </w:tc>
        <w:tc>
          <w:tcPr>
            <w:tcW w:w="713" w:type="dxa"/>
            <w:vAlign w:val="center"/>
          </w:tcPr>
          <w:p w14:paraId="36C61C96">
            <w:pPr>
              <w:widowControl w:val="0"/>
              <w:jc w:val="both"/>
              <w:rPr>
                <w:rFonts w:ascii="Times New Roman" w:hAnsi="Times New Roman" w:cs="Times New Roman"/>
                <w:color w:val="000000"/>
                <w:sz w:val="22"/>
                <w:szCs w:val="22"/>
                <w:lang w:bidi="ar"/>
              </w:rPr>
            </w:pPr>
            <w:r>
              <w:rPr>
                <w:rFonts w:hint="eastAsia" w:ascii="Times New Roman" w:hAnsi="Times New Roman" w:cs="Times New Roman"/>
                <w:color w:val="000000"/>
                <w:lang w:bidi="ar"/>
              </w:rPr>
              <w:t>2</w:t>
            </w:r>
          </w:p>
        </w:tc>
        <w:tc>
          <w:tcPr>
            <w:tcW w:w="660" w:type="dxa"/>
            <w:vAlign w:val="center"/>
          </w:tcPr>
          <w:p w14:paraId="694367E7">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0</w:t>
            </w:r>
          </w:p>
        </w:tc>
        <w:tc>
          <w:tcPr>
            <w:tcW w:w="706" w:type="dxa"/>
            <w:tcBorders>
              <w:right w:val="single" w:color="auto" w:sz="12" w:space="0"/>
            </w:tcBorders>
            <w:vAlign w:val="center"/>
          </w:tcPr>
          <w:p w14:paraId="59F5F8B6">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17CB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085" w:type="dxa"/>
            <w:tcBorders>
              <w:left w:val="single" w:color="auto" w:sz="12" w:space="0"/>
            </w:tcBorders>
            <w:vAlign w:val="center"/>
          </w:tcPr>
          <w:p w14:paraId="2FA20329">
            <w:pPr>
              <w:widowControl/>
              <w:jc w:val="both"/>
              <w:textAlignment w:val="center"/>
              <w:rPr>
                <w:rFonts w:hint="eastAsia"/>
                <w:sz w:val="21"/>
                <w:szCs w:val="21"/>
              </w:rPr>
            </w:pPr>
            <w:r>
              <w:rPr>
                <w:sz w:val="21"/>
                <w:szCs w:val="21"/>
              </w:rPr>
              <w:t>老年人营养不良和视力障碍、听力障</w:t>
            </w:r>
          </w:p>
        </w:tc>
        <w:tc>
          <w:tcPr>
            <w:tcW w:w="1728" w:type="dxa"/>
          </w:tcPr>
          <w:p w14:paraId="7FA4FC31">
            <w:pPr>
              <w:widowControl/>
              <w:jc w:val="both"/>
              <w:textAlignment w:val="center"/>
              <w:rPr>
                <w:rFonts w:ascii="Times New Roman" w:hAnsi="Times New Roman" w:cs="Times New Roman"/>
                <w:sz w:val="21"/>
                <w:szCs w:val="21"/>
              </w:rPr>
            </w:pPr>
            <w:r>
              <w:rPr>
                <w:rFonts w:hint="eastAsia"/>
                <w:sz w:val="21"/>
                <w:szCs w:val="21"/>
              </w:rPr>
              <w:t>讲授学习</w:t>
            </w:r>
            <w:r>
              <w:rPr>
                <w:sz w:val="21"/>
                <w:szCs w:val="21"/>
              </w:rPr>
              <w:t>+案例讨论</w:t>
            </w:r>
          </w:p>
        </w:tc>
        <w:tc>
          <w:tcPr>
            <w:tcW w:w="2384" w:type="dxa"/>
          </w:tcPr>
          <w:p w14:paraId="776BEE31">
            <w:pPr>
              <w:widowControl/>
              <w:jc w:val="both"/>
              <w:textAlignment w:val="center"/>
              <w:rPr>
                <w:rFonts w:ascii="Times New Roman" w:hAnsi="Times New Roman" w:cs="Times New Roman"/>
                <w:bCs/>
                <w:sz w:val="21"/>
                <w:szCs w:val="21"/>
              </w:rPr>
            </w:pPr>
            <w:r>
              <w:rPr>
                <w:sz w:val="21"/>
                <w:szCs w:val="21"/>
              </w:rPr>
              <w:t>理论+实践考核</w:t>
            </w:r>
          </w:p>
        </w:tc>
        <w:tc>
          <w:tcPr>
            <w:tcW w:w="713" w:type="dxa"/>
            <w:vAlign w:val="center"/>
          </w:tcPr>
          <w:p w14:paraId="029DBA87">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1</w:t>
            </w:r>
          </w:p>
        </w:tc>
        <w:tc>
          <w:tcPr>
            <w:tcW w:w="660" w:type="dxa"/>
            <w:vAlign w:val="center"/>
          </w:tcPr>
          <w:p w14:paraId="78096FBB">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1</w:t>
            </w:r>
          </w:p>
        </w:tc>
        <w:tc>
          <w:tcPr>
            <w:tcW w:w="706" w:type="dxa"/>
            <w:tcBorders>
              <w:right w:val="single" w:color="auto" w:sz="12" w:space="0"/>
            </w:tcBorders>
            <w:vAlign w:val="center"/>
          </w:tcPr>
          <w:p w14:paraId="1D105CF6">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2</w:t>
            </w:r>
          </w:p>
        </w:tc>
      </w:tr>
      <w:tr w14:paraId="0255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6512D0F2">
            <w:pPr>
              <w:widowControl/>
              <w:jc w:val="both"/>
              <w:textAlignment w:val="center"/>
              <w:rPr>
                <w:rFonts w:hint="eastAsia"/>
                <w:sz w:val="21"/>
                <w:szCs w:val="21"/>
              </w:rPr>
            </w:pPr>
            <w:r>
              <w:rPr>
                <w:sz w:val="21"/>
                <w:szCs w:val="21"/>
              </w:rPr>
              <w:t>常见老年疾病特点及综合诊治</w:t>
            </w:r>
          </w:p>
        </w:tc>
        <w:tc>
          <w:tcPr>
            <w:tcW w:w="1728" w:type="dxa"/>
            <w:vAlign w:val="center"/>
          </w:tcPr>
          <w:p w14:paraId="36458F8B">
            <w:pPr>
              <w:widowControl/>
              <w:jc w:val="both"/>
              <w:textAlignment w:val="center"/>
              <w:rPr>
                <w:rFonts w:ascii="Times New Roman" w:hAnsi="Times New Roman" w:cs="Times New Roman"/>
                <w:sz w:val="21"/>
                <w:szCs w:val="21"/>
              </w:rPr>
            </w:pPr>
            <w:r>
              <w:rPr>
                <w:rFonts w:hint="eastAsia"/>
                <w:sz w:val="21"/>
                <w:szCs w:val="21"/>
              </w:rPr>
              <w:t>讲授学习</w:t>
            </w:r>
          </w:p>
        </w:tc>
        <w:tc>
          <w:tcPr>
            <w:tcW w:w="2384" w:type="dxa"/>
            <w:vAlign w:val="center"/>
          </w:tcPr>
          <w:p w14:paraId="25A0A04A">
            <w:pPr>
              <w:widowControl/>
              <w:jc w:val="both"/>
              <w:textAlignment w:val="center"/>
              <w:rPr>
                <w:rFonts w:ascii="Times New Roman" w:hAnsi="Times New Roman" w:cs="Times New Roman"/>
                <w:bCs/>
                <w:sz w:val="21"/>
                <w:szCs w:val="21"/>
              </w:rPr>
            </w:pPr>
            <w:r>
              <w:rPr>
                <w:rFonts w:hint="eastAsia" w:ascii="Times New Roman" w:hAnsi="Times New Roman" w:cs="Times New Roman"/>
                <w:bCs/>
                <w:sz w:val="21"/>
                <w:szCs w:val="21"/>
              </w:rPr>
              <w:t>理论考核</w:t>
            </w:r>
          </w:p>
        </w:tc>
        <w:tc>
          <w:tcPr>
            <w:tcW w:w="713" w:type="dxa"/>
            <w:vAlign w:val="center"/>
          </w:tcPr>
          <w:p w14:paraId="1E31F3BA">
            <w:pPr>
              <w:widowControl w:val="0"/>
              <w:jc w:val="both"/>
              <w:rPr>
                <w:rFonts w:ascii="Times New Roman" w:hAnsi="Times New Roman" w:cs="Times New Roman"/>
                <w:color w:val="000000"/>
                <w:sz w:val="22"/>
                <w:szCs w:val="22"/>
                <w:lang w:bidi="ar"/>
              </w:rPr>
            </w:pPr>
            <w:r>
              <w:rPr>
                <w:rFonts w:hint="eastAsia" w:ascii="Times New Roman" w:hAnsi="Times New Roman" w:cs="Times New Roman"/>
                <w:color w:val="000000"/>
                <w:lang w:bidi="ar"/>
              </w:rPr>
              <w:t>2</w:t>
            </w:r>
          </w:p>
        </w:tc>
        <w:tc>
          <w:tcPr>
            <w:tcW w:w="660" w:type="dxa"/>
            <w:vAlign w:val="center"/>
          </w:tcPr>
          <w:p w14:paraId="7D5FECED">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0</w:t>
            </w:r>
          </w:p>
        </w:tc>
        <w:tc>
          <w:tcPr>
            <w:tcW w:w="706" w:type="dxa"/>
            <w:tcBorders>
              <w:right w:val="single" w:color="auto" w:sz="12" w:space="0"/>
            </w:tcBorders>
            <w:vAlign w:val="center"/>
          </w:tcPr>
          <w:p w14:paraId="64112F70">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69F4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326E90AD">
            <w:pPr>
              <w:widowControl/>
              <w:jc w:val="both"/>
              <w:textAlignment w:val="center"/>
              <w:rPr>
                <w:rFonts w:hint="eastAsia"/>
                <w:sz w:val="21"/>
                <w:szCs w:val="21"/>
              </w:rPr>
            </w:pPr>
            <w:r>
              <w:rPr>
                <w:sz w:val="21"/>
                <w:szCs w:val="21"/>
              </w:rPr>
              <w:t>老年家庭护理和照顾</w:t>
            </w:r>
          </w:p>
        </w:tc>
        <w:tc>
          <w:tcPr>
            <w:tcW w:w="1728" w:type="dxa"/>
            <w:vAlign w:val="center"/>
          </w:tcPr>
          <w:p w14:paraId="5EA435F2">
            <w:pPr>
              <w:widowControl/>
              <w:jc w:val="both"/>
              <w:textAlignment w:val="center"/>
              <w:rPr>
                <w:rFonts w:ascii="Times New Roman" w:hAnsi="Times New Roman" w:cs="Times New Roman"/>
                <w:sz w:val="21"/>
                <w:szCs w:val="21"/>
              </w:rPr>
            </w:pPr>
            <w:r>
              <w:rPr>
                <w:rFonts w:hint="eastAsia"/>
                <w:sz w:val="21"/>
                <w:szCs w:val="21"/>
              </w:rPr>
              <w:t>讲授学习</w:t>
            </w:r>
          </w:p>
        </w:tc>
        <w:tc>
          <w:tcPr>
            <w:tcW w:w="2384" w:type="dxa"/>
            <w:vAlign w:val="center"/>
          </w:tcPr>
          <w:p w14:paraId="5CB66160">
            <w:pPr>
              <w:widowControl/>
              <w:jc w:val="both"/>
              <w:textAlignment w:val="center"/>
              <w:rPr>
                <w:rFonts w:ascii="Times New Roman" w:hAnsi="Times New Roman" w:cs="Times New Roman"/>
                <w:bCs/>
                <w:sz w:val="21"/>
                <w:szCs w:val="21"/>
              </w:rPr>
            </w:pPr>
            <w:r>
              <w:rPr>
                <w:rFonts w:hint="eastAsia" w:ascii="Times New Roman" w:hAnsi="Times New Roman" w:cs="Times New Roman"/>
                <w:bCs/>
                <w:sz w:val="21"/>
                <w:szCs w:val="21"/>
              </w:rPr>
              <w:t>理论考核</w:t>
            </w:r>
          </w:p>
        </w:tc>
        <w:tc>
          <w:tcPr>
            <w:tcW w:w="713" w:type="dxa"/>
            <w:vAlign w:val="center"/>
          </w:tcPr>
          <w:p w14:paraId="5BC27F42">
            <w:pPr>
              <w:widowControl w:val="0"/>
              <w:jc w:val="both"/>
              <w:rPr>
                <w:rFonts w:ascii="Times New Roman" w:hAnsi="Times New Roman" w:cs="Times New Roman"/>
                <w:color w:val="000000"/>
                <w:sz w:val="22"/>
                <w:szCs w:val="22"/>
                <w:lang w:bidi="ar"/>
              </w:rPr>
            </w:pPr>
            <w:r>
              <w:rPr>
                <w:rFonts w:hint="eastAsia" w:ascii="Times New Roman" w:hAnsi="Times New Roman" w:cs="Times New Roman"/>
                <w:color w:val="000000"/>
                <w:lang w:bidi="ar"/>
              </w:rPr>
              <w:t>2</w:t>
            </w:r>
          </w:p>
        </w:tc>
        <w:tc>
          <w:tcPr>
            <w:tcW w:w="660" w:type="dxa"/>
            <w:vAlign w:val="center"/>
          </w:tcPr>
          <w:p w14:paraId="4F98E995">
            <w:pPr>
              <w:widowControl w:val="0"/>
              <w:jc w:val="both"/>
              <w:rPr>
                <w:rFonts w:ascii="Times New Roman" w:hAnsi="Times New Roman" w:cs="Times New Roman"/>
                <w:color w:val="000000"/>
                <w:sz w:val="22"/>
                <w:szCs w:val="22"/>
                <w:lang w:bidi="ar"/>
              </w:rPr>
            </w:pPr>
            <w:r>
              <w:rPr>
                <w:rFonts w:hint="eastAsia" w:ascii="Times New Roman" w:hAnsi="Times New Roman" w:cs="Times New Roman"/>
              </w:rPr>
              <w:t>0</w:t>
            </w:r>
          </w:p>
        </w:tc>
        <w:tc>
          <w:tcPr>
            <w:tcW w:w="706" w:type="dxa"/>
            <w:tcBorders>
              <w:right w:val="single" w:color="auto" w:sz="12" w:space="0"/>
            </w:tcBorders>
            <w:vAlign w:val="center"/>
          </w:tcPr>
          <w:p w14:paraId="3845D478">
            <w:pPr>
              <w:widowControl w:val="0"/>
              <w:jc w:val="both"/>
              <w:rPr>
                <w:rFonts w:ascii="Times New Roman" w:hAnsi="Times New Roman" w:cs="Times New Roman"/>
                <w:color w:val="000000"/>
                <w:sz w:val="22"/>
                <w:szCs w:val="22"/>
                <w:lang w:bidi="ar"/>
              </w:rPr>
            </w:pPr>
            <w:r>
              <w:rPr>
                <w:rFonts w:ascii="Times New Roman" w:hAnsi="Times New Roman" w:cs="Times New Roman"/>
              </w:rPr>
              <w:t>2</w:t>
            </w:r>
          </w:p>
        </w:tc>
      </w:tr>
      <w:tr w14:paraId="1BE1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0C7A90F2">
            <w:pPr>
              <w:widowControl w:val="0"/>
              <w:jc w:val="both"/>
              <w:textAlignment w:val="center"/>
              <w:rPr>
                <w:rFonts w:hint="eastAsia"/>
                <w:sz w:val="21"/>
                <w:szCs w:val="21"/>
              </w:rPr>
            </w:pPr>
          </w:p>
        </w:tc>
        <w:tc>
          <w:tcPr>
            <w:tcW w:w="1728" w:type="dxa"/>
            <w:vAlign w:val="center"/>
          </w:tcPr>
          <w:p w14:paraId="551739C0">
            <w:pPr>
              <w:widowControl w:val="0"/>
              <w:jc w:val="both"/>
              <w:textAlignment w:val="center"/>
              <w:rPr>
                <w:rFonts w:hint="eastAsia"/>
                <w:sz w:val="21"/>
                <w:szCs w:val="21"/>
              </w:rPr>
            </w:pPr>
          </w:p>
        </w:tc>
        <w:tc>
          <w:tcPr>
            <w:tcW w:w="2384" w:type="dxa"/>
            <w:vAlign w:val="center"/>
          </w:tcPr>
          <w:p w14:paraId="770F7089">
            <w:pPr>
              <w:widowControl w:val="0"/>
              <w:jc w:val="both"/>
              <w:textAlignment w:val="center"/>
              <w:rPr>
                <w:rFonts w:ascii="Times New Roman" w:hAnsi="Times New Roman" w:cs="Times New Roman"/>
                <w:bCs/>
                <w:sz w:val="21"/>
                <w:szCs w:val="21"/>
              </w:rPr>
            </w:pPr>
          </w:p>
        </w:tc>
        <w:tc>
          <w:tcPr>
            <w:tcW w:w="713" w:type="dxa"/>
            <w:vAlign w:val="center"/>
          </w:tcPr>
          <w:p w14:paraId="265D264A">
            <w:pPr>
              <w:widowControl w:val="0"/>
              <w:jc w:val="both"/>
              <w:rPr>
                <w:rFonts w:ascii="Times New Roman" w:hAnsi="Times New Roman" w:cs="Times New Roman"/>
                <w:color w:val="000000"/>
                <w:lang w:bidi="ar"/>
              </w:rPr>
            </w:pPr>
            <w:r>
              <w:rPr>
                <w:rFonts w:hint="eastAsia" w:ascii="Times New Roman" w:hAnsi="Times New Roman" w:cs="Times New Roman"/>
                <w:color w:val="000000"/>
                <w:lang w:bidi="ar"/>
              </w:rPr>
              <w:t>1</w:t>
            </w:r>
            <w:r>
              <w:rPr>
                <w:rFonts w:ascii="Times New Roman" w:hAnsi="Times New Roman" w:cs="Times New Roman"/>
                <w:color w:val="000000"/>
                <w:lang w:bidi="ar"/>
              </w:rPr>
              <w:t>6</w:t>
            </w:r>
          </w:p>
        </w:tc>
        <w:tc>
          <w:tcPr>
            <w:tcW w:w="660" w:type="dxa"/>
            <w:vAlign w:val="center"/>
          </w:tcPr>
          <w:p w14:paraId="5E92BBB9">
            <w:pPr>
              <w:widowControl w:val="0"/>
              <w:jc w:val="both"/>
              <w:rPr>
                <w:rFonts w:ascii="Times New Roman" w:hAnsi="Times New Roman" w:cs="Times New Roman"/>
              </w:rPr>
            </w:pPr>
            <w:r>
              <w:rPr>
                <w:rFonts w:hint="eastAsia" w:ascii="Times New Roman" w:hAnsi="Times New Roman" w:cs="Times New Roman"/>
              </w:rPr>
              <w:t>8</w:t>
            </w:r>
          </w:p>
        </w:tc>
        <w:tc>
          <w:tcPr>
            <w:tcW w:w="706" w:type="dxa"/>
            <w:tcBorders>
              <w:right w:val="single" w:color="auto" w:sz="12" w:space="0"/>
            </w:tcBorders>
            <w:vAlign w:val="center"/>
          </w:tcPr>
          <w:p w14:paraId="3E38960D">
            <w:pPr>
              <w:widowControl w:val="0"/>
              <w:jc w:val="both"/>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4</w:t>
            </w:r>
          </w:p>
        </w:tc>
      </w:tr>
    </w:tbl>
    <w:p w14:paraId="660BF86C">
      <w:pPr>
        <w:pStyle w:val="19"/>
        <w:spacing w:before="326" w:beforeLines="100" w:after="163"/>
      </w:pPr>
      <w:r>
        <w:rPr>
          <w:rFonts w:hint="eastAsia"/>
        </w:rPr>
        <w:t>（四）课内实验项目与基本要求</w:t>
      </w:r>
    </w:p>
    <w:tbl>
      <w:tblPr>
        <w:tblStyle w:val="9"/>
        <w:tblW w:w="5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31"/>
        <w:gridCol w:w="1906"/>
        <w:gridCol w:w="4106"/>
        <w:gridCol w:w="876"/>
        <w:gridCol w:w="971"/>
      </w:tblGrid>
      <w:tr w14:paraId="4EDD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714" w:type="dxa"/>
            <w:tcBorders>
              <w:top w:val="single" w:color="auto" w:sz="12" w:space="0"/>
              <w:left w:val="single" w:color="auto" w:sz="12" w:space="0"/>
              <w:bottom w:val="single" w:color="auto" w:sz="4" w:space="0"/>
              <w:right w:val="single" w:color="auto" w:sz="4" w:space="0"/>
            </w:tcBorders>
            <w:shd w:val="clear" w:color="auto" w:fill="auto"/>
            <w:vAlign w:val="center"/>
          </w:tcPr>
          <w:p w14:paraId="053CE2F8">
            <w:pPr>
              <w:snapToGrid w:val="0"/>
              <w:jc w:val="center"/>
              <w:rPr>
                <w:rFonts w:ascii="Times New Roman" w:hAnsi="Times New Roman" w:eastAsia="黑体" w:cs="Times New Roman"/>
                <w:bCs/>
                <w:color w:val="000000"/>
                <w:sz w:val="21"/>
                <w:szCs w:val="16"/>
              </w:rPr>
            </w:pPr>
            <w:r>
              <w:rPr>
                <w:rFonts w:ascii="Times New Roman" w:hAnsi="Times New Roman" w:eastAsia="黑体" w:cs="Times New Roman"/>
                <w:bCs/>
                <w:color w:val="000000"/>
                <w:sz w:val="21"/>
                <w:szCs w:val="16"/>
              </w:rPr>
              <w:t>序号</w:t>
            </w:r>
          </w:p>
        </w:tc>
        <w:tc>
          <w:tcPr>
            <w:tcW w:w="1861" w:type="dxa"/>
            <w:tcBorders>
              <w:top w:val="single" w:color="auto" w:sz="12" w:space="0"/>
              <w:left w:val="single" w:color="auto" w:sz="4" w:space="0"/>
              <w:bottom w:val="single" w:color="auto" w:sz="4" w:space="0"/>
              <w:right w:val="single" w:color="auto" w:sz="4" w:space="0"/>
            </w:tcBorders>
            <w:shd w:val="clear" w:color="auto" w:fill="auto"/>
            <w:vAlign w:val="center"/>
          </w:tcPr>
          <w:p w14:paraId="0BDC0416">
            <w:pPr>
              <w:snapToGrid w:val="0"/>
              <w:jc w:val="center"/>
              <w:rPr>
                <w:rFonts w:ascii="Times New Roman" w:hAnsi="Times New Roman" w:eastAsia="黑体" w:cs="Times New Roman"/>
                <w:bCs/>
                <w:color w:val="000000"/>
                <w:sz w:val="21"/>
                <w:szCs w:val="16"/>
              </w:rPr>
            </w:pPr>
            <w:r>
              <w:rPr>
                <w:rFonts w:ascii="Times New Roman" w:hAnsi="Times New Roman" w:eastAsia="黑体" w:cs="Times New Roman"/>
                <w:bCs/>
                <w:color w:val="000000"/>
                <w:sz w:val="21"/>
                <w:szCs w:val="16"/>
              </w:rPr>
              <w:t>实验项目名称</w:t>
            </w:r>
          </w:p>
        </w:tc>
        <w:tc>
          <w:tcPr>
            <w:tcW w:w="4009" w:type="dxa"/>
            <w:tcBorders>
              <w:top w:val="single" w:color="auto" w:sz="12" w:space="0"/>
              <w:left w:val="single" w:color="auto" w:sz="4" w:space="0"/>
              <w:bottom w:val="single" w:color="auto" w:sz="4" w:space="0"/>
              <w:right w:val="single" w:color="auto" w:sz="4" w:space="0"/>
            </w:tcBorders>
            <w:vAlign w:val="center"/>
          </w:tcPr>
          <w:p w14:paraId="1295781E">
            <w:pPr>
              <w:snapToGrid w:val="0"/>
              <w:jc w:val="center"/>
              <w:rPr>
                <w:rFonts w:ascii="Times New Roman" w:hAnsi="Times New Roman" w:eastAsia="黑体" w:cs="Times New Roman"/>
                <w:bCs/>
                <w:color w:val="000000"/>
                <w:sz w:val="21"/>
                <w:szCs w:val="16"/>
              </w:rPr>
            </w:pPr>
            <w:r>
              <w:rPr>
                <w:rFonts w:ascii="Times New Roman" w:hAnsi="Times New Roman" w:eastAsia="黑体" w:cs="Times New Roman"/>
                <w:bCs/>
                <w:color w:val="000000"/>
                <w:sz w:val="21"/>
                <w:szCs w:val="16"/>
              </w:rPr>
              <w:t>目标要求与主要内容</w:t>
            </w:r>
          </w:p>
        </w:tc>
        <w:tc>
          <w:tcPr>
            <w:tcW w:w="855" w:type="dxa"/>
            <w:tcBorders>
              <w:top w:val="single" w:color="auto" w:sz="12" w:space="0"/>
              <w:left w:val="single" w:color="auto" w:sz="4" w:space="0"/>
              <w:right w:val="single" w:color="auto" w:sz="4" w:space="0"/>
            </w:tcBorders>
            <w:shd w:val="clear" w:color="auto" w:fill="auto"/>
            <w:vAlign w:val="center"/>
          </w:tcPr>
          <w:p w14:paraId="0B2DCC40">
            <w:pPr>
              <w:snapToGrid w:val="0"/>
              <w:jc w:val="center"/>
              <w:rPr>
                <w:rFonts w:ascii="Times New Roman" w:hAnsi="Times New Roman" w:eastAsia="黑体" w:cs="Times New Roman"/>
                <w:bCs/>
                <w:color w:val="000000"/>
                <w:sz w:val="21"/>
                <w:szCs w:val="16"/>
              </w:rPr>
            </w:pPr>
            <w:r>
              <w:rPr>
                <w:rFonts w:ascii="Times New Roman" w:hAnsi="Times New Roman" w:eastAsia="黑体" w:cs="Times New Roman"/>
                <w:bCs/>
                <w:color w:val="000000"/>
                <w:sz w:val="21"/>
                <w:szCs w:val="16"/>
              </w:rPr>
              <w:t>实验</w:t>
            </w:r>
          </w:p>
          <w:p w14:paraId="77017350">
            <w:pPr>
              <w:snapToGrid w:val="0"/>
              <w:jc w:val="center"/>
              <w:rPr>
                <w:rFonts w:ascii="Times New Roman" w:hAnsi="Times New Roman" w:eastAsia="黑体" w:cs="Times New Roman"/>
                <w:bCs/>
                <w:color w:val="000000"/>
                <w:sz w:val="21"/>
                <w:szCs w:val="16"/>
              </w:rPr>
            </w:pPr>
            <w:r>
              <w:rPr>
                <w:rFonts w:ascii="Times New Roman" w:hAnsi="Times New Roman" w:eastAsia="黑体" w:cs="Times New Roman"/>
                <w:bCs/>
                <w:color w:val="000000"/>
                <w:sz w:val="21"/>
                <w:szCs w:val="16"/>
              </w:rPr>
              <w:t>时数</w:t>
            </w:r>
          </w:p>
        </w:tc>
        <w:tc>
          <w:tcPr>
            <w:tcW w:w="946" w:type="dxa"/>
            <w:tcBorders>
              <w:top w:val="single" w:color="auto" w:sz="12" w:space="0"/>
              <w:left w:val="single" w:color="auto" w:sz="4" w:space="0"/>
              <w:right w:val="single" w:color="auto" w:sz="12" w:space="0"/>
            </w:tcBorders>
            <w:shd w:val="clear" w:color="auto" w:fill="auto"/>
            <w:vAlign w:val="center"/>
          </w:tcPr>
          <w:p w14:paraId="0DB1A985">
            <w:pPr>
              <w:snapToGrid w:val="0"/>
              <w:jc w:val="center"/>
              <w:rPr>
                <w:rFonts w:ascii="Times New Roman" w:hAnsi="Times New Roman" w:eastAsia="黑体" w:cs="Times New Roman"/>
                <w:bCs/>
                <w:color w:val="000000"/>
                <w:sz w:val="21"/>
                <w:szCs w:val="16"/>
              </w:rPr>
            </w:pPr>
            <w:r>
              <w:rPr>
                <w:rFonts w:ascii="Times New Roman" w:hAnsi="Times New Roman" w:eastAsia="黑体" w:cs="Times New Roman"/>
                <w:bCs/>
                <w:color w:val="000000"/>
                <w:sz w:val="21"/>
                <w:szCs w:val="16"/>
              </w:rPr>
              <w:t>实验</w:t>
            </w:r>
          </w:p>
          <w:p w14:paraId="73C104B1">
            <w:pPr>
              <w:snapToGrid w:val="0"/>
              <w:jc w:val="center"/>
              <w:rPr>
                <w:rFonts w:ascii="Times New Roman" w:hAnsi="Times New Roman" w:eastAsia="黑体" w:cs="Times New Roman"/>
                <w:bCs/>
                <w:color w:val="000000"/>
                <w:sz w:val="21"/>
                <w:szCs w:val="16"/>
              </w:rPr>
            </w:pPr>
            <w:r>
              <w:rPr>
                <w:rFonts w:ascii="Times New Roman" w:hAnsi="Times New Roman" w:eastAsia="黑体" w:cs="Times New Roman"/>
                <w:bCs/>
                <w:color w:val="000000"/>
                <w:sz w:val="21"/>
                <w:szCs w:val="16"/>
              </w:rPr>
              <w:t>类型</w:t>
            </w:r>
          </w:p>
        </w:tc>
      </w:tr>
      <w:tr w14:paraId="2D73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714" w:type="dxa"/>
            <w:tcBorders>
              <w:top w:val="single" w:color="auto" w:sz="4" w:space="0"/>
              <w:left w:val="single" w:color="auto" w:sz="12" w:space="0"/>
              <w:bottom w:val="single" w:color="auto" w:sz="4" w:space="0"/>
              <w:right w:val="single" w:color="auto" w:sz="4" w:space="0"/>
            </w:tcBorders>
            <w:shd w:val="clear" w:color="auto" w:fill="auto"/>
            <w:vAlign w:val="center"/>
          </w:tcPr>
          <w:p w14:paraId="33282C79">
            <w:pPr>
              <w:widowControl w:val="0"/>
              <w:jc w:val="center"/>
              <w:rPr>
                <w:rFonts w:ascii="Times New Roman" w:hAnsi="Times New Roman"/>
                <w:color w:val="000000"/>
                <w:sz w:val="21"/>
                <w:szCs w:val="21"/>
              </w:rPr>
            </w:pPr>
            <w:r>
              <w:rPr>
                <w:rFonts w:ascii="Times New Roman" w:hAnsi="Times New Roman"/>
                <w:color w:val="000000"/>
                <w:sz w:val="21"/>
                <w:szCs w:val="21"/>
              </w:rPr>
              <w:t>1</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273EEFA1">
            <w:pPr>
              <w:snapToGrid w:val="0"/>
              <w:spacing w:before="163" w:beforeLines="50" w:after="163" w:afterLines="50" w:line="288" w:lineRule="auto"/>
              <w:jc w:val="center"/>
              <w:rPr>
                <w:rFonts w:hint="eastAsia"/>
                <w:sz w:val="21"/>
                <w:szCs w:val="21"/>
              </w:rPr>
            </w:pPr>
            <w:r>
              <w:rPr>
                <w:rFonts w:hint="eastAsia"/>
                <w:sz w:val="21"/>
                <w:szCs w:val="21"/>
              </w:rPr>
              <w:t>老年医养照护</w:t>
            </w:r>
          </w:p>
        </w:tc>
        <w:tc>
          <w:tcPr>
            <w:tcW w:w="4009" w:type="dxa"/>
            <w:tcBorders>
              <w:top w:val="single" w:color="auto" w:sz="4" w:space="0"/>
              <w:left w:val="single" w:color="auto" w:sz="4" w:space="0"/>
              <w:bottom w:val="single" w:color="auto" w:sz="4" w:space="0"/>
              <w:right w:val="single" w:color="auto" w:sz="4" w:space="0"/>
            </w:tcBorders>
            <w:vAlign w:val="center"/>
          </w:tcPr>
          <w:p w14:paraId="347BCCE1">
            <w:pPr>
              <w:snapToGrid w:val="0"/>
              <w:spacing w:before="163" w:beforeLines="50" w:after="163" w:afterLines="50" w:line="288" w:lineRule="auto"/>
              <w:jc w:val="center"/>
              <w:rPr>
                <w:rFonts w:hint="eastAsia"/>
                <w:sz w:val="21"/>
                <w:szCs w:val="21"/>
              </w:rPr>
            </w:pPr>
            <w:r>
              <w:rPr>
                <w:rFonts w:hint="eastAsia"/>
                <w:sz w:val="21"/>
                <w:szCs w:val="21"/>
              </w:rPr>
              <w:t>制作一份老年医养照护服务宣传册</w:t>
            </w:r>
          </w:p>
        </w:tc>
        <w:tc>
          <w:tcPr>
            <w:tcW w:w="855" w:type="dxa"/>
            <w:tcBorders>
              <w:left w:val="single" w:color="auto" w:sz="4" w:space="0"/>
              <w:right w:val="single" w:color="auto" w:sz="4" w:space="0"/>
            </w:tcBorders>
            <w:shd w:val="clear" w:color="auto" w:fill="auto"/>
            <w:vAlign w:val="center"/>
          </w:tcPr>
          <w:p w14:paraId="0C6FA1F8">
            <w:pPr>
              <w:snapToGrid w:val="0"/>
              <w:spacing w:before="163" w:beforeLines="50" w:after="163" w:afterLines="50" w:line="288" w:lineRule="auto"/>
              <w:ind w:firstLine="210" w:firstLineChars="100"/>
              <w:rPr>
                <w:rFonts w:hint="eastAsia"/>
                <w:sz w:val="21"/>
                <w:szCs w:val="21"/>
              </w:rPr>
            </w:pPr>
            <w:r>
              <w:rPr>
                <w:rFonts w:hint="eastAsia"/>
                <w:sz w:val="21"/>
                <w:szCs w:val="21"/>
              </w:rPr>
              <w:t>2</w:t>
            </w:r>
          </w:p>
        </w:tc>
        <w:tc>
          <w:tcPr>
            <w:tcW w:w="946" w:type="dxa"/>
            <w:tcBorders>
              <w:left w:val="single" w:color="auto" w:sz="4" w:space="0"/>
              <w:right w:val="single" w:color="auto" w:sz="12" w:space="0"/>
            </w:tcBorders>
            <w:shd w:val="clear" w:color="auto" w:fill="auto"/>
            <w:vAlign w:val="center"/>
          </w:tcPr>
          <w:p w14:paraId="31A54C7C">
            <w:pPr>
              <w:snapToGrid w:val="0"/>
              <w:spacing w:before="163" w:beforeLines="50" w:after="163" w:afterLines="50" w:line="288" w:lineRule="auto"/>
              <w:jc w:val="center"/>
              <w:rPr>
                <w:rFonts w:hint="eastAsia"/>
                <w:sz w:val="21"/>
                <w:szCs w:val="21"/>
              </w:rPr>
            </w:pPr>
            <w:r>
              <w:rPr>
                <w:rFonts w:hint="eastAsia"/>
                <w:sz w:val="21"/>
                <w:szCs w:val="21"/>
              </w:rPr>
              <w:t>④</w:t>
            </w:r>
          </w:p>
        </w:tc>
      </w:tr>
      <w:tr w14:paraId="7EF0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714" w:type="dxa"/>
            <w:tcBorders>
              <w:top w:val="single" w:color="auto" w:sz="4" w:space="0"/>
              <w:left w:val="single" w:color="auto" w:sz="12" w:space="0"/>
              <w:bottom w:val="single" w:color="auto" w:sz="4" w:space="0"/>
              <w:right w:val="single" w:color="auto" w:sz="4" w:space="0"/>
            </w:tcBorders>
            <w:shd w:val="clear" w:color="auto" w:fill="auto"/>
            <w:vAlign w:val="center"/>
          </w:tcPr>
          <w:p w14:paraId="55BEB010">
            <w:pPr>
              <w:widowControl w:val="0"/>
              <w:jc w:val="center"/>
              <w:rPr>
                <w:rFonts w:ascii="Times New Roman" w:hAnsi="Times New Roman"/>
                <w:color w:val="000000"/>
                <w:sz w:val="21"/>
                <w:szCs w:val="21"/>
              </w:rPr>
            </w:pPr>
            <w:r>
              <w:rPr>
                <w:rFonts w:ascii="Times New Roman" w:hAnsi="Times New Roman"/>
                <w:color w:val="000000"/>
                <w:sz w:val="21"/>
                <w:szCs w:val="21"/>
              </w:rPr>
              <w:t>2</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0F752A56">
            <w:pPr>
              <w:snapToGrid w:val="0"/>
              <w:spacing w:before="163" w:beforeLines="50" w:after="163" w:afterLines="50" w:line="288" w:lineRule="auto"/>
              <w:jc w:val="center"/>
              <w:rPr>
                <w:rFonts w:hint="eastAsia"/>
                <w:sz w:val="21"/>
                <w:szCs w:val="21"/>
              </w:rPr>
            </w:pPr>
            <w:r>
              <w:rPr>
                <w:rFonts w:hint="eastAsia"/>
                <w:sz w:val="21"/>
                <w:szCs w:val="21"/>
              </w:rPr>
              <w:t>评估实施</w:t>
            </w:r>
          </w:p>
        </w:tc>
        <w:tc>
          <w:tcPr>
            <w:tcW w:w="4009" w:type="dxa"/>
            <w:tcBorders>
              <w:top w:val="single" w:color="auto" w:sz="4" w:space="0"/>
              <w:left w:val="single" w:color="auto" w:sz="4" w:space="0"/>
              <w:bottom w:val="single" w:color="auto" w:sz="4" w:space="0"/>
              <w:right w:val="single" w:color="auto" w:sz="4" w:space="0"/>
            </w:tcBorders>
            <w:vAlign w:val="center"/>
          </w:tcPr>
          <w:p w14:paraId="1CE5D486">
            <w:pPr>
              <w:snapToGrid w:val="0"/>
              <w:spacing w:before="163" w:beforeLines="50" w:after="163" w:afterLines="50" w:line="288" w:lineRule="auto"/>
              <w:jc w:val="center"/>
              <w:rPr>
                <w:rFonts w:hint="eastAsia"/>
                <w:sz w:val="21"/>
                <w:szCs w:val="21"/>
              </w:rPr>
            </w:pPr>
            <w:r>
              <w:rPr>
                <w:rFonts w:hint="eastAsia"/>
                <w:sz w:val="21"/>
                <w:szCs w:val="21"/>
              </w:rPr>
              <w:t>老年综合评估表单检索及应用</w:t>
            </w:r>
          </w:p>
        </w:tc>
        <w:tc>
          <w:tcPr>
            <w:tcW w:w="855" w:type="dxa"/>
            <w:tcBorders>
              <w:left w:val="single" w:color="auto" w:sz="4" w:space="0"/>
              <w:bottom w:val="single" w:color="auto" w:sz="4" w:space="0"/>
              <w:right w:val="single" w:color="auto" w:sz="4" w:space="0"/>
            </w:tcBorders>
            <w:shd w:val="clear" w:color="auto" w:fill="auto"/>
            <w:vAlign w:val="center"/>
          </w:tcPr>
          <w:p w14:paraId="3816E3C2">
            <w:pPr>
              <w:snapToGrid w:val="0"/>
              <w:spacing w:before="163" w:beforeLines="50" w:after="163" w:afterLines="50" w:line="288" w:lineRule="auto"/>
              <w:jc w:val="center"/>
              <w:rPr>
                <w:rFonts w:hint="eastAsia"/>
                <w:sz w:val="21"/>
                <w:szCs w:val="21"/>
              </w:rPr>
            </w:pPr>
            <w:r>
              <w:rPr>
                <w:rFonts w:hint="eastAsia"/>
                <w:sz w:val="21"/>
                <w:szCs w:val="21"/>
              </w:rPr>
              <w:t>2</w:t>
            </w:r>
          </w:p>
        </w:tc>
        <w:tc>
          <w:tcPr>
            <w:tcW w:w="946" w:type="dxa"/>
            <w:tcBorders>
              <w:left w:val="single" w:color="auto" w:sz="4" w:space="0"/>
              <w:bottom w:val="single" w:color="auto" w:sz="4" w:space="0"/>
              <w:right w:val="single" w:color="auto" w:sz="12" w:space="0"/>
            </w:tcBorders>
            <w:shd w:val="clear" w:color="auto" w:fill="auto"/>
            <w:vAlign w:val="center"/>
          </w:tcPr>
          <w:p w14:paraId="612C6377">
            <w:pPr>
              <w:snapToGrid w:val="0"/>
              <w:spacing w:before="163" w:beforeLines="50" w:after="163" w:afterLines="50" w:line="288" w:lineRule="auto"/>
              <w:jc w:val="center"/>
              <w:rPr>
                <w:rFonts w:hint="eastAsia"/>
                <w:sz w:val="21"/>
                <w:szCs w:val="21"/>
              </w:rPr>
            </w:pPr>
            <w:r>
              <w:rPr>
                <w:rFonts w:hint="eastAsia"/>
                <w:sz w:val="21"/>
                <w:szCs w:val="21"/>
              </w:rPr>
              <w:t>④</w:t>
            </w:r>
          </w:p>
        </w:tc>
      </w:tr>
      <w:tr w14:paraId="46C6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714" w:type="dxa"/>
            <w:tcBorders>
              <w:top w:val="single" w:color="auto" w:sz="4" w:space="0"/>
              <w:left w:val="single" w:color="auto" w:sz="12" w:space="0"/>
              <w:bottom w:val="single" w:color="auto" w:sz="4" w:space="0"/>
              <w:right w:val="single" w:color="auto" w:sz="4" w:space="0"/>
            </w:tcBorders>
            <w:shd w:val="clear" w:color="auto" w:fill="auto"/>
            <w:vAlign w:val="center"/>
          </w:tcPr>
          <w:p w14:paraId="71FD2840">
            <w:pPr>
              <w:widowControl w:val="0"/>
              <w:jc w:val="center"/>
              <w:rPr>
                <w:rFonts w:ascii="Times New Roman" w:hAnsi="Times New Roman"/>
                <w:color w:val="000000"/>
                <w:sz w:val="21"/>
                <w:szCs w:val="21"/>
              </w:rPr>
            </w:pPr>
            <w:r>
              <w:rPr>
                <w:rFonts w:ascii="Times New Roman" w:hAnsi="Times New Roman"/>
                <w:color w:val="000000"/>
                <w:sz w:val="21"/>
                <w:szCs w:val="21"/>
              </w:rPr>
              <w:t>3</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17FE14AA">
            <w:pPr>
              <w:snapToGrid w:val="0"/>
              <w:spacing w:before="163" w:beforeLines="50" w:after="163" w:afterLines="50" w:line="288" w:lineRule="auto"/>
              <w:jc w:val="center"/>
              <w:rPr>
                <w:rFonts w:hint="eastAsia"/>
                <w:sz w:val="21"/>
                <w:szCs w:val="21"/>
              </w:rPr>
            </w:pPr>
            <w:r>
              <w:rPr>
                <w:rFonts w:hint="eastAsia"/>
                <w:sz w:val="21"/>
                <w:szCs w:val="21"/>
              </w:rPr>
              <w:t>康复实施</w:t>
            </w:r>
          </w:p>
        </w:tc>
        <w:tc>
          <w:tcPr>
            <w:tcW w:w="4009" w:type="dxa"/>
            <w:tcBorders>
              <w:top w:val="single" w:color="auto" w:sz="4" w:space="0"/>
              <w:left w:val="single" w:color="auto" w:sz="4" w:space="0"/>
              <w:bottom w:val="single" w:color="auto" w:sz="4" w:space="0"/>
              <w:right w:val="single" w:color="auto" w:sz="4" w:space="0"/>
            </w:tcBorders>
            <w:vAlign w:val="center"/>
          </w:tcPr>
          <w:p w14:paraId="096B8984">
            <w:pPr>
              <w:snapToGrid w:val="0"/>
              <w:spacing w:before="163" w:beforeLines="50" w:after="163" w:afterLines="50" w:line="288" w:lineRule="auto"/>
              <w:jc w:val="center"/>
              <w:rPr>
                <w:rFonts w:hint="eastAsia"/>
                <w:sz w:val="21"/>
                <w:szCs w:val="21"/>
              </w:rPr>
            </w:pPr>
            <w:r>
              <w:rPr>
                <w:rFonts w:hint="eastAsia"/>
                <w:sz w:val="21"/>
                <w:szCs w:val="21"/>
              </w:rPr>
              <w:t>老年人常见疾病的康复治疗</w:t>
            </w:r>
          </w:p>
        </w:tc>
        <w:tc>
          <w:tcPr>
            <w:tcW w:w="855" w:type="dxa"/>
            <w:tcBorders>
              <w:left w:val="single" w:color="auto" w:sz="4" w:space="0"/>
              <w:right w:val="single" w:color="auto" w:sz="4" w:space="0"/>
            </w:tcBorders>
            <w:shd w:val="clear" w:color="auto" w:fill="auto"/>
            <w:vAlign w:val="center"/>
          </w:tcPr>
          <w:p w14:paraId="7D873290">
            <w:pPr>
              <w:snapToGrid w:val="0"/>
              <w:spacing w:before="163" w:beforeLines="50" w:after="163" w:afterLines="50" w:line="288" w:lineRule="auto"/>
              <w:jc w:val="center"/>
              <w:rPr>
                <w:rFonts w:hint="eastAsia"/>
                <w:sz w:val="21"/>
                <w:szCs w:val="21"/>
              </w:rPr>
            </w:pPr>
            <w:r>
              <w:rPr>
                <w:rFonts w:hint="eastAsia"/>
                <w:sz w:val="21"/>
                <w:szCs w:val="21"/>
              </w:rPr>
              <w:t>2</w:t>
            </w:r>
          </w:p>
        </w:tc>
        <w:tc>
          <w:tcPr>
            <w:tcW w:w="946" w:type="dxa"/>
            <w:tcBorders>
              <w:left w:val="single" w:color="auto" w:sz="4" w:space="0"/>
              <w:right w:val="single" w:color="auto" w:sz="12" w:space="0"/>
            </w:tcBorders>
            <w:shd w:val="clear" w:color="auto" w:fill="auto"/>
            <w:vAlign w:val="center"/>
          </w:tcPr>
          <w:p w14:paraId="46ABC58F">
            <w:pPr>
              <w:snapToGrid w:val="0"/>
              <w:spacing w:before="163" w:beforeLines="50" w:after="163" w:afterLines="50" w:line="288" w:lineRule="auto"/>
              <w:jc w:val="center"/>
              <w:rPr>
                <w:rFonts w:hint="eastAsia"/>
                <w:sz w:val="21"/>
                <w:szCs w:val="21"/>
              </w:rPr>
            </w:pPr>
            <w:r>
              <w:rPr>
                <w:rFonts w:hint="eastAsia"/>
                <w:sz w:val="21"/>
                <w:szCs w:val="21"/>
              </w:rPr>
              <w:t>④</w:t>
            </w:r>
          </w:p>
        </w:tc>
      </w:tr>
      <w:tr w14:paraId="16A7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714" w:type="dxa"/>
            <w:tcBorders>
              <w:top w:val="single" w:color="auto" w:sz="4" w:space="0"/>
              <w:left w:val="single" w:color="auto" w:sz="12" w:space="0"/>
              <w:bottom w:val="single" w:color="auto" w:sz="4" w:space="0"/>
              <w:right w:val="single" w:color="auto" w:sz="4" w:space="0"/>
            </w:tcBorders>
            <w:shd w:val="clear" w:color="auto" w:fill="auto"/>
            <w:vAlign w:val="center"/>
          </w:tcPr>
          <w:p w14:paraId="54AE581B">
            <w:pPr>
              <w:widowControl w:val="0"/>
              <w:jc w:val="center"/>
              <w:rPr>
                <w:rFonts w:ascii="Times New Roman" w:hAnsi="Times New Roman"/>
                <w:color w:val="000000"/>
                <w:sz w:val="21"/>
                <w:szCs w:val="21"/>
              </w:rPr>
            </w:pPr>
            <w:r>
              <w:rPr>
                <w:rFonts w:ascii="Times New Roman" w:hAnsi="Times New Roman"/>
                <w:color w:val="000000"/>
                <w:sz w:val="21"/>
                <w:szCs w:val="21"/>
              </w:rPr>
              <w:t>4</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3F76F121">
            <w:pPr>
              <w:snapToGrid w:val="0"/>
              <w:spacing w:before="163" w:beforeLines="50" w:after="163" w:afterLines="50" w:line="288" w:lineRule="auto"/>
              <w:jc w:val="center"/>
              <w:rPr>
                <w:rFonts w:hint="eastAsia"/>
                <w:sz w:val="21"/>
                <w:szCs w:val="21"/>
              </w:rPr>
            </w:pPr>
            <w:r>
              <w:rPr>
                <w:rFonts w:hint="eastAsia"/>
                <w:sz w:val="21"/>
                <w:szCs w:val="21"/>
              </w:rPr>
              <w:t>健康评估</w:t>
            </w:r>
          </w:p>
        </w:tc>
        <w:tc>
          <w:tcPr>
            <w:tcW w:w="4009" w:type="dxa"/>
            <w:tcBorders>
              <w:top w:val="single" w:color="auto" w:sz="4" w:space="0"/>
              <w:left w:val="single" w:color="auto" w:sz="4" w:space="0"/>
              <w:bottom w:val="single" w:color="auto" w:sz="4" w:space="0"/>
              <w:right w:val="single" w:color="auto" w:sz="4" w:space="0"/>
            </w:tcBorders>
            <w:vAlign w:val="center"/>
          </w:tcPr>
          <w:p w14:paraId="510D595A">
            <w:pPr>
              <w:snapToGrid w:val="0"/>
              <w:spacing w:before="163" w:beforeLines="50" w:after="163" w:afterLines="50" w:line="288" w:lineRule="auto"/>
              <w:jc w:val="center"/>
              <w:rPr>
                <w:rFonts w:hint="eastAsia"/>
                <w:sz w:val="21"/>
                <w:szCs w:val="21"/>
              </w:rPr>
            </w:pPr>
            <w:r>
              <w:rPr>
                <w:rFonts w:hint="eastAsia"/>
                <w:sz w:val="21"/>
                <w:szCs w:val="21"/>
              </w:rPr>
              <w:t>老年人营养评估表单检索及应用</w:t>
            </w:r>
          </w:p>
        </w:tc>
        <w:tc>
          <w:tcPr>
            <w:tcW w:w="855" w:type="dxa"/>
            <w:tcBorders>
              <w:left w:val="single" w:color="auto" w:sz="4" w:space="0"/>
              <w:right w:val="single" w:color="auto" w:sz="4" w:space="0"/>
            </w:tcBorders>
            <w:shd w:val="clear" w:color="auto" w:fill="auto"/>
            <w:vAlign w:val="center"/>
          </w:tcPr>
          <w:p w14:paraId="0829ADC9">
            <w:pPr>
              <w:snapToGrid w:val="0"/>
              <w:spacing w:before="163" w:beforeLines="50" w:after="163" w:afterLines="50" w:line="288" w:lineRule="auto"/>
              <w:jc w:val="center"/>
              <w:rPr>
                <w:rFonts w:hint="eastAsia"/>
                <w:sz w:val="21"/>
                <w:szCs w:val="21"/>
              </w:rPr>
            </w:pPr>
            <w:r>
              <w:rPr>
                <w:rFonts w:hint="eastAsia"/>
                <w:sz w:val="21"/>
                <w:szCs w:val="21"/>
              </w:rPr>
              <w:t>2</w:t>
            </w:r>
          </w:p>
        </w:tc>
        <w:tc>
          <w:tcPr>
            <w:tcW w:w="946" w:type="dxa"/>
            <w:tcBorders>
              <w:left w:val="single" w:color="auto" w:sz="4" w:space="0"/>
              <w:right w:val="single" w:color="auto" w:sz="12" w:space="0"/>
            </w:tcBorders>
            <w:shd w:val="clear" w:color="auto" w:fill="auto"/>
            <w:vAlign w:val="center"/>
          </w:tcPr>
          <w:p w14:paraId="41FCB490">
            <w:pPr>
              <w:snapToGrid w:val="0"/>
              <w:spacing w:before="163" w:beforeLines="50" w:after="163" w:afterLines="50" w:line="288" w:lineRule="auto"/>
              <w:jc w:val="center"/>
              <w:rPr>
                <w:rFonts w:hint="eastAsia"/>
                <w:sz w:val="21"/>
                <w:szCs w:val="21"/>
              </w:rPr>
            </w:pPr>
            <w:r>
              <w:rPr>
                <w:rFonts w:hint="eastAsia"/>
                <w:sz w:val="21"/>
                <w:szCs w:val="21"/>
              </w:rPr>
              <w:t>④</w:t>
            </w:r>
          </w:p>
        </w:tc>
      </w:tr>
      <w:tr w14:paraId="62D6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8387" w:type="dxa"/>
            <w:gridSpan w:val="5"/>
            <w:tcBorders>
              <w:top w:val="single" w:color="auto" w:sz="12" w:space="0"/>
              <w:left w:val="nil"/>
              <w:bottom w:val="nil"/>
              <w:right w:val="nil"/>
            </w:tcBorders>
            <w:shd w:val="clear" w:color="auto" w:fill="auto"/>
            <w:vAlign w:val="center"/>
          </w:tcPr>
          <w:p w14:paraId="3DDD035C">
            <w:pPr>
              <w:snapToGrid w:val="0"/>
              <w:jc w:val="center"/>
              <w:rPr>
                <w:rFonts w:ascii="Times New Roman" w:hAnsi="Times New Roman" w:eastAsia="黑体" w:cs="Times New Roman"/>
                <w:bCs/>
                <w:color w:val="000000"/>
                <w:sz w:val="21"/>
                <w:szCs w:val="20"/>
              </w:rPr>
            </w:pPr>
            <w:r>
              <w:rPr>
                <w:rFonts w:ascii="Times New Roman" w:hAnsi="Times New Roman" w:eastAsia="黑体" w:cs="Times New Roman"/>
                <w:bCs/>
                <w:color w:val="000000"/>
                <w:sz w:val="21"/>
                <w:szCs w:val="20"/>
              </w:rPr>
              <w:t>实验类型：</w:t>
            </w:r>
            <w:r>
              <w:rPr>
                <w:rFonts w:hint="eastAsia"/>
                <w:bCs/>
                <w:color w:val="000000"/>
                <w:sz w:val="21"/>
                <w:szCs w:val="20"/>
              </w:rPr>
              <w:t>①</w:t>
            </w:r>
            <w:r>
              <w:rPr>
                <w:rFonts w:ascii="Times New Roman" w:hAnsi="Times New Roman" w:eastAsia="黑体" w:cs="Times New Roman"/>
                <w:bCs/>
                <w:color w:val="000000"/>
                <w:sz w:val="21"/>
                <w:szCs w:val="20"/>
              </w:rPr>
              <w:t xml:space="preserve">演示型  </w:t>
            </w:r>
            <w:r>
              <w:rPr>
                <w:rFonts w:hint="eastAsia"/>
                <w:bCs/>
                <w:color w:val="000000"/>
                <w:sz w:val="21"/>
                <w:szCs w:val="20"/>
              </w:rPr>
              <w:t>②</w:t>
            </w:r>
            <w:r>
              <w:rPr>
                <w:rFonts w:ascii="Times New Roman" w:hAnsi="Times New Roman" w:eastAsia="黑体" w:cs="Times New Roman"/>
                <w:bCs/>
                <w:color w:val="000000"/>
                <w:sz w:val="21"/>
                <w:szCs w:val="20"/>
              </w:rPr>
              <w:t xml:space="preserve">验证型  </w:t>
            </w:r>
            <w:r>
              <w:rPr>
                <w:rFonts w:hint="eastAsia"/>
                <w:bCs/>
                <w:color w:val="000000"/>
                <w:sz w:val="21"/>
                <w:szCs w:val="20"/>
              </w:rPr>
              <w:t>③</w:t>
            </w:r>
            <w:r>
              <w:rPr>
                <w:rFonts w:ascii="Times New Roman" w:hAnsi="Times New Roman" w:eastAsia="黑体" w:cs="Times New Roman"/>
                <w:bCs/>
                <w:color w:val="000000"/>
                <w:sz w:val="21"/>
                <w:szCs w:val="20"/>
              </w:rPr>
              <w:t xml:space="preserve">设计型  </w:t>
            </w:r>
            <w:r>
              <w:rPr>
                <w:rFonts w:hint="eastAsia"/>
                <w:bCs/>
                <w:color w:val="000000"/>
                <w:sz w:val="21"/>
                <w:szCs w:val="20"/>
              </w:rPr>
              <w:t>④</w:t>
            </w:r>
            <w:r>
              <w:rPr>
                <w:rFonts w:ascii="Times New Roman" w:hAnsi="Times New Roman" w:eastAsia="黑体" w:cs="Times New Roman"/>
                <w:bCs/>
                <w:color w:val="000000"/>
                <w:sz w:val="21"/>
                <w:szCs w:val="20"/>
              </w:rPr>
              <w:t>综合型</w:t>
            </w:r>
          </w:p>
        </w:tc>
      </w:tr>
    </w:tbl>
    <w:tbl>
      <w:tblPr>
        <w:tblStyle w:val="10"/>
        <w:tblpPr w:leftFromText="180" w:rightFromText="180" w:vertAnchor="text" w:horzAnchor="margin" w:tblpX="-299" w:tblpY="974"/>
        <w:tblW w:w="564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85" w:type="dxa"/>
          <w:bottom w:w="28" w:type="dxa"/>
          <w:right w:w="85" w:type="dxa"/>
        </w:tblCellMar>
      </w:tblPr>
      <w:tblGrid>
        <w:gridCol w:w="9566"/>
      </w:tblGrid>
      <w:tr w14:paraId="40D52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9341" w:type="dxa"/>
            <w:vAlign w:val="center"/>
          </w:tcPr>
          <w:p w14:paraId="5302B57A">
            <w:pPr>
              <w:pStyle w:val="16"/>
              <w:framePr w:hSpace="0" w:wrap="auto" w:vAnchor="margin" w:hAnchor="text" w:xAlign="left" w:yAlign="inline"/>
              <w:ind w:firstLine="420" w:firstLineChars="200"/>
              <w:jc w:val="both"/>
              <w:rPr>
                <w:rFonts w:hint="eastAsia" w:ascii="宋体" w:hAnsi="宋体"/>
                <w:color w:val="auto"/>
              </w:rPr>
            </w:pPr>
            <w:r>
              <w:rPr>
                <w:rFonts w:hint="eastAsia" w:ascii="宋体" w:hAnsi="宋体"/>
                <w:color w:val="auto"/>
              </w:rPr>
              <w:t>1.课程思政元素</w:t>
            </w:r>
          </w:p>
          <w:p w14:paraId="29F8EE2D">
            <w:pPr>
              <w:pStyle w:val="16"/>
              <w:framePr w:hSpace="0" w:wrap="auto" w:vAnchor="margin" w:hAnchor="text" w:xAlign="left" w:yAlign="inline"/>
              <w:ind w:firstLine="420" w:firstLineChars="200"/>
              <w:jc w:val="both"/>
              <w:rPr>
                <w:rFonts w:hint="eastAsia" w:ascii="宋体" w:hAnsi="宋体"/>
                <w:color w:val="auto"/>
              </w:rPr>
            </w:pPr>
            <w:r>
              <w:rPr>
                <w:rFonts w:ascii="宋体" w:hAnsi="宋体"/>
                <w:color w:val="auto"/>
              </w:rPr>
              <w:t>相关思政元素:尊重、理解、服务态度、职业素养、包容、责任担当、人文精神、服务意识、爱岗敬业、服务精神、进取精神</w:t>
            </w:r>
          </w:p>
          <w:p w14:paraId="4DD5FA8E">
            <w:pPr>
              <w:pStyle w:val="16"/>
              <w:framePr w:hSpace="0" w:wrap="auto" w:vAnchor="margin" w:hAnchor="text" w:xAlign="left" w:yAlign="inline"/>
              <w:ind w:firstLine="420" w:firstLineChars="200"/>
              <w:jc w:val="both"/>
              <w:rPr>
                <w:rFonts w:hint="eastAsia" w:ascii="宋体" w:hAnsi="宋体"/>
                <w:color w:val="auto"/>
              </w:rPr>
            </w:pPr>
            <w:r>
              <w:rPr>
                <w:rFonts w:hint="eastAsia" w:ascii="宋体" w:hAnsi="宋体"/>
                <w:color w:val="auto"/>
              </w:rPr>
              <w:t>2.课程思政教学方法</w:t>
            </w:r>
          </w:p>
          <w:p w14:paraId="24F9FAFF">
            <w:pPr>
              <w:pStyle w:val="16"/>
              <w:framePr w:hSpace="0" w:wrap="auto" w:vAnchor="margin" w:hAnchor="text" w:xAlign="left" w:yAlign="inline"/>
              <w:ind w:firstLine="420" w:firstLineChars="200"/>
              <w:jc w:val="both"/>
              <w:rPr>
                <w:rFonts w:hint="eastAsia" w:ascii="宋体" w:hAnsi="宋体"/>
                <w:color w:val="auto"/>
              </w:rPr>
            </w:pPr>
            <w:r>
              <w:rPr>
                <w:rFonts w:hint="eastAsia" w:ascii="宋体" w:hAnsi="宋体"/>
                <w:color w:val="auto"/>
              </w:rPr>
              <w:t>2.1 案例教学法</w:t>
            </w:r>
          </w:p>
          <w:p w14:paraId="251EC136">
            <w:pPr>
              <w:pStyle w:val="16"/>
              <w:framePr w:hSpace="0" w:wrap="auto" w:vAnchor="margin" w:hAnchor="text" w:xAlign="left" w:yAlign="inline"/>
              <w:ind w:firstLine="420" w:firstLineChars="200"/>
              <w:jc w:val="both"/>
              <w:rPr>
                <w:rFonts w:hint="eastAsia" w:ascii="宋体" w:hAnsi="宋体"/>
                <w:color w:val="auto"/>
              </w:rPr>
            </w:pPr>
            <w:r>
              <w:rPr>
                <w:rFonts w:hint="eastAsia" w:ascii="宋体" w:hAnsi="宋体"/>
                <w:color w:val="auto"/>
              </w:rPr>
              <w:t>案例教学法的核心是案例。根据本课程的教学目标和教学内容，选取了养老服务行业中的典型案例，如“虐老事件”典型案例、纪录片《生命里》中安宁疗护案例、失智老年人照护职场情景案例、“成长中的青春养老人”案例等。案例的选取有利于教学内容的真实性、可感性、具体性与生动性，有利于对教学内容的充实、深化与提升，有利于突出教学重点、难点和关键点，使学生在知识增长、理论认识、情感体验及思想水平上都有大幅度提升。在教师的引导下，学生开展对案例的讨论，有利于学生分析、判断、归纳、总结及运用能力的培养和提高，有利于理性认知与精神体验的形成。</w:t>
            </w:r>
          </w:p>
          <w:p w14:paraId="27E6ED6A">
            <w:pPr>
              <w:pStyle w:val="16"/>
              <w:framePr w:hSpace="0" w:wrap="auto" w:vAnchor="margin" w:hAnchor="text" w:xAlign="left" w:yAlign="inline"/>
              <w:ind w:firstLine="420" w:firstLineChars="200"/>
              <w:jc w:val="both"/>
              <w:rPr>
                <w:rFonts w:hint="eastAsia" w:ascii="宋体" w:hAnsi="宋体"/>
                <w:color w:val="auto"/>
              </w:rPr>
            </w:pPr>
            <w:r>
              <w:rPr>
                <w:rFonts w:hint="eastAsia" w:ascii="宋体" w:hAnsi="宋体"/>
                <w:color w:val="auto"/>
              </w:rPr>
              <w:t>2.2角色扮演法</w:t>
            </w:r>
          </w:p>
          <w:p w14:paraId="612EC935">
            <w:pPr>
              <w:pStyle w:val="16"/>
              <w:framePr w:hSpace="0" w:wrap="auto" w:vAnchor="margin" w:hAnchor="text" w:xAlign="left" w:yAlign="inline"/>
              <w:ind w:firstLine="420" w:firstLineChars="200"/>
              <w:jc w:val="both"/>
              <w:rPr>
                <w:rFonts w:hint="eastAsia" w:ascii="宋体" w:hAnsi="宋体"/>
                <w:color w:val="auto"/>
              </w:rPr>
            </w:pPr>
            <w:r>
              <w:rPr>
                <w:rFonts w:ascii="宋体" w:hAnsi="宋体"/>
                <w:color w:val="auto"/>
              </w:rPr>
              <w:t>角色扮演通过对职场情景案例的模拟，以情景剧的形式阐明工作情况。学生在职场情景中模拟失能、失智老人的状态，模拟照护人员的言行举止，无论是角色扮演者还是观众，都能在认知、感知、合作、沟通以及灵活地解决问题方面提高能力。角色扮演既要求被试者扮演一个特定的管理角色来观察被试者的多种表现，了解其心理素质和潜在的能力，又通过情景模拟，要求其演指定行为的角色，并对其行为表演进行评定与反馈，以此来帮助其发展和提高行为技能。</w:t>
            </w:r>
          </w:p>
          <w:p w14:paraId="5AE9DDF4">
            <w:pPr>
              <w:pStyle w:val="16"/>
              <w:framePr w:hSpace="0" w:wrap="auto" w:vAnchor="margin" w:hAnchor="text" w:xAlign="left" w:yAlign="inline"/>
              <w:ind w:firstLine="420" w:firstLineChars="200"/>
              <w:jc w:val="both"/>
              <w:rPr>
                <w:rFonts w:hint="eastAsia" w:ascii="宋体" w:hAnsi="宋体"/>
                <w:color w:val="auto"/>
              </w:rPr>
            </w:pPr>
            <w:r>
              <w:rPr>
                <w:rFonts w:hint="eastAsia" w:ascii="宋体" w:hAnsi="宋体"/>
                <w:color w:val="auto"/>
              </w:rPr>
              <w:t>2.3小组合作教学法</w:t>
            </w:r>
          </w:p>
          <w:p w14:paraId="58F4C277">
            <w:pPr>
              <w:pStyle w:val="16"/>
              <w:framePr w:hSpace="0" w:wrap="auto" w:vAnchor="margin" w:hAnchor="text" w:xAlign="left" w:yAlign="inline"/>
              <w:ind w:firstLine="420" w:firstLineChars="200"/>
              <w:jc w:val="both"/>
            </w:pPr>
            <w:r>
              <w:rPr>
                <w:rFonts w:ascii="宋体" w:hAnsi="宋体"/>
                <w:color w:val="auto"/>
              </w:rPr>
              <w:t>小组合作是指学生在事先规定的合理时间内，大家各自独立完成被准确描述的任务。小组合作有两种实施方案:不同分工(一个学习小组中每一个工作组完成不同的任务)和相同分工(-个学习小组中所有的工作组完成一样的任务)。本课程小组合作主要体现在小组案例分析与讨论、分小组进行照护技能实操练习与展示等环节。</w:t>
            </w:r>
          </w:p>
        </w:tc>
      </w:tr>
    </w:tbl>
    <w:p w14:paraId="42FA79C4">
      <w:pPr>
        <w:pStyle w:val="18"/>
        <w:spacing w:before="326" w:beforeLines="100" w:line="360" w:lineRule="auto"/>
        <w:ind w:firstLine="140" w:firstLineChars="50"/>
        <w:rPr>
          <w:rFonts w:hint="eastAsia" w:ascii="黑体" w:hAnsi="宋体"/>
        </w:rPr>
      </w:pPr>
      <w:r>
        <w:rPr>
          <w:rFonts w:hint="eastAsia" w:ascii="黑体" w:hAnsi="宋体"/>
        </w:rPr>
        <w:t>四、课程思政教学设计</w:t>
      </w:r>
    </w:p>
    <w:p w14:paraId="48E45831">
      <w:pPr>
        <w:pStyle w:val="18"/>
        <w:numPr>
          <w:ilvl w:val="0"/>
          <w:numId w:val="2"/>
        </w:numPr>
        <w:spacing w:before="326" w:beforeLines="100" w:line="360" w:lineRule="auto"/>
        <w:rPr>
          <w:rFonts w:hint="eastAsia" w:ascii="黑体" w:hAnsi="宋体"/>
        </w:rPr>
      </w:pPr>
      <w:r>
        <w:rPr>
          <w:rFonts w:hint="eastAsia" w:ascii="黑体" w:hAnsi="宋体"/>
        </w:rPr>
        <w:t>课程考核</w:t>
      </w:r>
    </w:p>
    <w:tbl>
      <w:tblPr>
        <w:tblStyle w:val="10"/>
        <w:tblW w:w="8318" w:type="dxa"/>
        <w:tblInd w:w="0" w:type="dxa"/>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00"/>
        <w:gridCol w:w="2177"/>
        <w:gridCol w:w="1042"/>
        <w:gridCol w:w="812"/>
        <w:gridCol w:w="870"/>
        <w:gridCol w:w="885"/>
        <w:gridCol w:w="1006"/>
      </w:tblGrid>
      <w:tr w14:paraId="316F5700">
        <w:tblPrEx>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26" w:type="dxa"/>
            <w:vMerge w:val="restart"/>
            <w:tcBorders>
              <w:top w:val="single" w:color="auto" w:sz="12" w:space="0"/>
              <w:left w:val="single" w:color="auto" w:sz="12" w:space="0"/>
            </w:tcBorders>
            <w:vAlign w:val="center"/>
          </w:tcPr>
          <w:p w14:paraId="7B183999">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0" w:type="dxa"/>
            <w:vMerge w:val="restart"/>
            <w:tcBorders>
              <w:top w:val="single" w:color="auto" w:sz="12" w:space="0"/>
            </w:tcBorders>
            <w:vAlign w:val="center"/>
          </w:tcPr>
          <w:p w14:paraId="6B668EB4">
            <w:pPr>
              <w:pStyle w:val="18"/>
              <w:widowControl w:val="0"/>
              <w:spacing w:line="240" w:lineRule="auto"/>
              <w:jc w:val="center"/>
              <w:rPr>
                <w:rFonts w:hint="eastAsia" w:ascii="黑体" w:hAnsi="宋体"/>
              </w:rPr>
            </w:pPr>
            <w:r>
              <w:rPr>
                <w:rFonts w:hint="eastAsia" w:ascii="黑体" w:hAnsi="黑体"/>
                <w:bCs/>
                <w:sz w:val="21"/>
                <w:szCs w:val="21"/>
              </w:rPr>
              <w:t>占比</w:t>
            </w:r>
          </w:p>
        </w:tc>
        <w:tc>
          <w:tcPr>
            <w:tcW w:w="2177" w:type="dxa"/>
            <w:vMerge w:val="restart"/>
            <w:tcBorders>
              <w:top w:val="single" w:color="auto" w:sz="12" w:space="0"/>
              <w:right w:val="double" w:color="auto" w:sz="4" w:space="0"/>
            </w:tcBorders>
            <w:vAlign w:val="center"/>
          </w:tcPr>
          <w:p w14:paraId="587D6D6D">
            <w:pPr>
              <w:pStyle w:val="18"/>
              <w:widowControl w:val="0"/>
              <w:jc w:val="center"/>
              <w:rPr>
                <w:rFonts w:hint="eastAsia" w:ascii="黑体" w:hAnsi="黑体"/>
                <w:bCs/>
                <w:sz w:val="21"/>
                <w:szCs w:val="21"/>
              </w:rPr>
            </w:pPr>
            <w:r>
              <w:rPr>
                <w:rFonts w:hint="eastAsia" w:ascii="黑体" w:hAnsi="黑体"/>
                <w:bCs/>
                <w:sz w:val="21"/>
                <w:szCs w:val="21"/>
              </w:rPr>
              <w:t>考核方式</w:t>
            </w:r>
          </w:p>
        </w:tc>
        <w:tc>
          <w:tcPr>
            <w:tcW w:w="3609" w:type="dxa"/>
            <w:gridSpan w:val="4"/>
            <w:tcBorders>
              <w:top w:val="single" w:color="auto" w:sz="12" w:space="0"/>
              <w:left w:val="double" w:color="auto" w:sz="4" w:space="0"/>
              <w:right w:val="single" w:color="auto" w:sz="12" w:space="0"/>
            </w:tcBorders>
            <w:vAlign w:val="center"/>
          </w:tcPr>
          <w:p w14:paraId="5EDBC6F0">
            <w:pPr>
              <w:pStyle w:val="18"/>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1006" w:type="dxa"/>
            <w:vMerge w:val="restart"/>
            <w:tcBorders>
              <w:top w:val="single" w:color="auto" w:sz="12" w:space="0"/>
              <w:right w:val="single" w:color="auto" w:sz="12" w:space="0"/>
            </w:tcBorders>
            <w:vAlign w:val="center"/>
          </w:tcPr>
          <w:p w14:paraId="306BC4F2">
            <w:pPr>
              <w:pStyle w:val="18"/>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0528C132">
        <w:tblPrEx>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26" w:type="dxa"/>
            <w:vMerge w:val="continue"/>
            <w:tcBorders>
              <w:left w:val="single" w:color="auto" w:sz="12" w:space="0"/>
            </w:tcBorders>
          </w:tcPr>
          <w:p w14:paraId="176961BC">
            <w:pPr>
              <w:widowControl w:val="0"/>
              <w:snapToGrid w:val="0"/>
              <w:jc w:val="center"/>
              <w:rPr>
                <w:rFonts w:hint="eastAsia" w:ascii="黑体" w:hAnsi="黑体" w:eastAsia="黑体"/>
                <w:bCs/>
                <w:sz w:val="21"/>
                <w:szCs w:val="21"/>
              </w:rPr>
            </w:pPr>
          </w:p>
        </w:tc>
        <w:tc>
          <w:tcPr>
            <w:tcW w:w="700" w:type="dxa"/>
            <w:vMerge w:val="continue"/>
          </w:tcPr>
          <w:p w14:paraId="40D72EC1">
            <w:pPr>
              <w:pStyle w:val="18"/>
              <w:widowControl w:val="0"/>
              <w:jc w:val="both"/>
              <w:rPr>
                <w:rFonts w:hint="eastAsia" w:ascii="黑体" w:hAnsi="黑体"/>
                <w:bCs/>
                <w:sz w:val="21"/>
                <w:szCs w:val="21"/>
              </w:rPr>
            </w:pPr>
          </w:p>
        </w:tc>
        <w:tc>
          <w:tcPr>
            <w:tcW w:w="2177" w:type="dxa"/>
            <w:vMerge w:val="continue"/>
            <w:tcBorders>
              <w:right w:val="double" w:color="auto" w:sz="4" w:space="0"/>
            </w:tcBorders>
          </w:tcPr>
          <w:p w14:paraId="1A298A91">
            <w:pPr>
              <w:pStyle w:val="18"/>
              <w:widowControl w:val="0"/>
              <w:jc w:val="both"/>
              <w:rPr>
                <w:rFonts w:hint="eastAsia" w:ascii="黑体" w:hAnsi="黑体"/>
                <w:bCs/>
                <w:sz w:val="21"/>
                <w:szCs w:val="21"/>
              </w:rPr>
            </w:pPr>
          </w:p>
        </w:tc>
        <w:tc>
          <w:tcPr>
            <w:tcW w:w="1042" w:type="dxa"/>
            <w:tcBorders>
              <w:left w:val="double" w:color="auto" w:sz="4" w:space="0"/>
            </w:tcBorders>
            <w:vAlign w:val="center"/>
          </w:tcPr>
          <w:p w14:paraId="46B59818">
            <w:pPr>
              <w:pStyle w:val="18"/>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812" w:type="dxa"/>
            <w:vAlign w:val="center"/>
          </w:tcPr>
          <w:p w14:paraId="3F98AC22">
            <w:pPr>
              <w:pStyle w:val="18"/>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870" w:type="dxa"/>
            <w:vAlign w:val="center"/>
          </w:tcPr>
          <w:p w14:paraId="5F105EE7">
            <w:pPr>
              <w:pStyle w:val="18"/>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885" w:type="dxa"/>
            <w:tcBorders>
              <w:right w:val="single" w:color="auto" w:sz="12" w:space="0"/>
            </w:tcBorders>
            <w:vAlign w:val="center"/>
          </w:tcPr>
          <w:p w14:paraId="1215B9DC">
            <w:pPr>
              <w:pStyle w:val="18"/>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1006" w:type="dxa"/>
            <w:vMerge w:val="continue"/>
            <w:tcBorders>
              <w:right w:val="single" w:color="auto" w:sz="12" w:space="0"/>
            </w:tcBorders>
          </w:tcPr>
          <w:p w14:paraId="6687DCA6">
            <w:pPr>
              <w:pStyle w:val="18"/>
              <w:widowControl w:val="0"/>
              <w:spacing w:line="240" w:lineRule="auto"/>
              <w:jc w:val="center"/>
              <w:rPr>
                <w:rFonts w:hint="eastAsia" w:ascii="黑体" w:hAnsi="黑体"/>
                <w:bCs/>
                <w:sz w:val="21"/>
                <w:szCs w:val="21"/>
              </w:rPr>
            </w:pPr>
          </w:p>
        </w:tc>
      </w:tr>
      <w:tr w14:paraId="62E7C45D">
        <w:tblPrEx>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6" w:type="dxa"/>
            <w:tcBorders>
              <w:left w:val="single" w:color="auto" w:sz="12" w:space="0"/>
            </w:tcBorders>
          </w:tcPr>
          <w:p w14:paraId="07885C6E">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X1</w:t>
            </w:r>
          </w:p>
        </w:tc>
        <w:tc>
          <w:tcPr>
            <w:tcW w:w="700" w:type="dxa"/>
          </w:tcPr>
          <w:p w14:paraId="154EA375">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40%</w:t>
            </w:r>
          </w:p>
        </w:tc>
        <w:tc>
          <w:tcPr>
            <w:tcW w:w="2177" w:type="dxa"/>
            <w:tcBorders>
              <w:right w:val="double" w:color="auto" w:sz="4" w:space="0"/>
            </w:tcBorders>
          </w:tcPr>
          <w:p w14:paraId="04E17B87">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调研报告</w:t>
            </w:r>
          </w:p>
        </w:tc>
        <w:tc>
          <w:tcPr>
            <w:tcW w:w="1042" w:type="dxa"/>
            <w:tcBorders>
              <w:left w:val="double" w:color="auto" w:sz="4" w:space="0"/>
            </w:tcBorders>
            <w:vAlign w:val="center"/>
          </w:tcPr>
          <w:p w14:paraId="594C8A1C">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50</w:t>
            </w:r>
          </w:p>
        </w:tc>
        <w:tc>
          <w:tcPr>
            <w:tcW w:w="812" w:type="dxa"/>
            <w:vAlign w:val="center"/>
          </w:tcPr>
          <w:p w14:paraId="685B4A7B">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20</w:t>
            </w:r>
          </w:p>
        </w:tc>
        <w:tc>
          <w:tcPr>
            <w:tcW w:w="870" w:type="dxa"/>
            <w:vAlign w:val="center"/>
          </w:tcPr>
          <w:p w14:paraId="1145499F">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20</w:t>
            </w:r>
          </w:p>
        </w:tc>
        <w:tc>
          <w:tcPr>
            <w:tcW w:w="885" w:type="dxa"/>
            <w:tcBorders>
              <w:right w:val="single" w:color="auto" w:sz="12" w:space="0"/>
            </w:tcBorders>
            <w:vAlign w:val="center"/>
          </w:tcPr>
          <w:p w14:paraId="2A2612AF">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10</w:t>
            </w:r>
          </w:p>
        </w:tc>
        <w:tc>
          <w:tcPr>
            <w:tcW w:w="1006" w:type="dxa"/>
            <w:tcBorders>
              <w:right w:val="single" w:color="auto" w:sz="12" w:space="0"/>
            </w:tcBorders>
            <w:vAlign w:val="center"/>
          </w:tcPr>
          <w:p w14:paraId="11A786B7">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100</w:t>
            </w:r>
          </w:p>
        </w:tc>
      </w:tr>
      <w:tr w14:paraId="5613FAE2">
        <w:tblPrEx>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6" w:type="dxa"/>
            <w:tcBorders>
              <w:left w:val="single" w:color="auto" w:sz="12" w:space="0"/>
            </w:tcBorders>
          </w:tcPr>
          <w:p w14:paraId="7065123A">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X2</w:t>
            </w:r>
          </w:p>
        </w:tc>
        <w:tc>
          <w:tcPr>
            <w:tcW w:w="700" w:type="dxa"/>
          </w:tcPr>
          <w:p w14:paraId="7079313B">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lang w:val="en-US" w:eastAsia="zh-CN"/>
              </w:rPr>
              <w:t>30</w:t>
            </w:r>
            <w:r>
              <w:rPr>
                <w:rFonts w:hint="eastAsia" w:eastAsiaTheme="minorEastAsia"/>
                <w:bCs/>
                <w:color w:val="000000"/>
                <w:szCs w:val="20"/>
              </w:rPr>
              <w:t>%</w:t>
            </w:r>
          </w:p>
        </w:tc>
        <w:tc>
          <w:tcPr>
            <w:tcW w:w="2177" w:type="dxa"/>
            <w:tcBorders>
              <w:right w:val="double" w:color="auto" w:sz="4" w:space="0"/>
            </w:tcBorders>
          </w:tcPr>
          <w:p w14:paraId="74628F81">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实训报告</w:t>
            </w:r>
          </w:p>
        </w:tc>
        <w:tc>
          <w:tcPr>
            <w:tcW w:w="1042" w:type="dxa"/>
            <w:tcBorders>
              <w:left w:val="double" w:color="auto" w:sz="4" w:space="0"/>
            </w:tcBorders>
            <w:vAlign w:val="center"/>
          </w:tcPr>
          <w:p w14:paraId="0428376F">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50</w:t>
            </w:r>
          </w:p>
        </w:tc>
        <w:tc>
          <w:tcPr>
            <w:tcW w:w="812" w:type="dxa"/>
            <w:vAlign w:val="center"/>
          </w:tcPr>
          <w:p w14:paraId="15E362A3">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20</w:t>
            </w:r>
          </w:p>
        </w:tc>
        <w:tc>
          <w:tcPr>
            <w:tcW w:w="870" w:type="dxa"/>
            <w:vAlign w:val="center"/>
          </w:tcPr>
          <w:p w14:paraId="4F4BBB5D">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20</w:t>
            </w:r>
          </w:p>
        </w:tc>
        <w:tc>
          <w:tcPr>
            <w:tcW w:w="885" w:type="dxa"/>
            <w:tcBorders>
              <w:right w:val="single" w:color="auto" w:sz="12" w:space="0"/>
            </w:tcBorders>
            <w:vAlign w:val="center"/>
          </w:tcPr>
          <w:p w14:paraId="275FC8CF">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10</w:t>
            </w:r>
          </w:p>
        </w:tc>
        <w:tc>
          <w:tcPr>
            <w:tcW w:w="1006" w:type="dxa"/>
            <w:tcBorders>
              <w:right w:val="single" w:color="auto" w:sz="12" w:space="0"/>
            </w:tcBorders>
            <w:vAlign w:val="center"/>
          </w:tcPr>
          <w:p w14:paraId="20A787DD">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100</w:t>
            </w:r>
          </w:p>
        </w:tc>
      </w:tr>
      <w:tr w14:paraId="49ACFF01">
        <w:tblPrEx>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6" w:type="dxa"/>
            <w:tcBorders>
              <w:left w:val="single" w:color="auto" w:sz="12" w:space="0"/>
            </w:tcBorders>
          </w:tcPr>
          <w:p w14:paraId="578C8286">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X3</w:t>
            </w:r>
          </w:p>
        </w:tc>
        <w:tc>
          <w:tcPr>
            <w:tcW w:w="700" w:type="dxa"/>
          </w:tcPr>
          <w:p w14:paraId="44782107">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2</w:t>
            </w:r>
            <w:r>
              <w:rPr>
                <w:rFonts w:hint="eastAsia" w:eastAsiaTheme="minorEastAsia"/>
                <w:bCs/>
                <w:color w:val="000000"/>
                <w:szCs w:val="20"/>
                <w:lang w:val="en-US" w:eastAsia="zh-CN"/>
              </w:rPr>
              <w:t>0</w:t>
            </w:r>
            <w:r>
              <w:rPr>
                <w:rFonts w:hint="eastAsia" w:eastAsiaTheme="minorEastAsia"/>
                <w:bCs/>
                <w:color w:val="000000"/>
                <w:szCs w:val="20"/>
              </w:rPr>
              <w:t>%</w:t>
            </w:r>
          </w:p>
        </w:tc>
        <w:tc>
          <w:tcPr>
            <w:tcW w:w="2177" w:type="dxa"/>
            <w:tcBorders>
              <w:right w:val="double" w:color="auto" w:sz="4" w:space="0"/>
            </w:tcBorders>
          </w:tcPr>
          <w:p w14:paraId="4F97D4EC">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课堂展示</w:t>
            </w:r>
          </w:p>
        </w:tc>
        <w:tc>
          <w:tcPr>
            <w:tcW w:w="1042" w:type="dxa"/>
            <w:tcBorders>
              <w:left w:val="double" w:color="auto" w:sz="4" w:space="0"/>
            </w:tcBorders>
            <w:vAlign w:val="center"/>
          </w:tcPr>
          <w:p w14:paraId="0ED0313D">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30</w:t>
            </w:r>
          </w:p>
        </w:tc>
        <w:tc>
          <w:tcPr>
            <w:tcW w:w="812" w:type="dxa"/>
            <w:vAlign w:val="center"/>
          </w:tcPr>
          <w:p w14:paraId="63FD99EB">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20</w:t>
            </w:r>
          </w:p>
        </w:tc>
        <w:tc>
          <w:tcPr>
            <w:tcW w:w="870" w:type="dxa"/>
            <w:vAlign w:val="center"/>
          </w:tcPr>
          <w:p w14:paraId="1306C562">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20</w:t>
            </w:r>
          </w:p>
        </w:tc>
        <w:tc>
          <w:tcPr>
            <w:tcW w:w="885" w:type="dxa"/>
            <w:tcBorders>
              <w:right w:val="single" w:color="auto" w:sz="12" w:space="0"/>
            </w:tcBorders>
            <w:vAlign w:val="center"/>
          </w:tcPr>
          <w:p w14:paraId="05CF017E">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30</w:t>
            </w:r>
          </w:p>
        </w:tc>
        <w:tc>
          <w:tcPr>
            <w:tcW w:w="1006" w:type="dxa"/>
            <w:tcBorders>
              <w:right w:val="single" w:color="auto" w:sz="12" w:space="0"/>
            </w:tcBorders>
            <w:vAlign w:val="center"/>
          </w:tcPr>
          <w:p w14:paraId="7178FDC9">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100</w:t>
            </w:r>
          </w:p>
        </w:tc>
      </w:tr>
      <w:tr w14:paraId="3CA1DCE4">
        <w:tblPrEx>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6" w:type="dxa"/>
            <w:tcBorders>
              <w:left w:val="single" w:color="auto" w:sz="12" w:space="0"/>
            </w:tcBorders>
          </w:tcPr>
          <w:p w14:paraId="0CBFB44A">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X4</w:t>
            </w:r>
          </w:p>
        </w:tc>
        <w:tc>
          <w:tcPr>
            <w:tcW w:w="700" w:type="dxa"/>
          </w:tcPr>
          <w:p w14:paraId="31743614">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10%</w:t>
            </w:r>
          </w:p>
        </w:tc>
        <w:tc>
          <w:tcPr>
            <w:tcW w:w="2177" w:type="dxa"/>
            <w:tcBorders>
              <w:right w:val="double" w:color="auto" w:sz="4" w:space="0"/>
            </w:tcBorders>
          </w:tcPr>
          <w:p w14:paraId="524B63C6">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出勤率+课堂表现</w:t>
            </w:r>
          </w:p>
        </w:tc>
        <w:tc>
          <w:tcPr>
            <w:tcW w:w="1042" w:type="dxa"/>
            <w:tcBorders>
              <w:left w:val="double" w:color="auto" w:sz="4" w:space="0"/>
            </w:tcBorders>
            <w:vAlign w:val="center"/>
          </w:tcPr>
          <w:p w14:paraId="313F79D9">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40</w:t>
            </w:r>
          </w:p>
        </w:tc>
        <w:tc>
          <w:tcPr>
            <w:tcW w:w="812" w:type="dxa"/>
            <w:vAlign w:val="center"/>
          </w:tcPr>
          <w:p w14:paraId="6B324848">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20</w:t>
            </w:r>
          </w:p>
        </w:tc>
        <w:tc>
          <w:tcPr>
            <w:tcW w:w="870" w:type="dxa"/>
            <w:vAlign w:val="center"/>
          </w:tcPr>
          <w:p w14:paraId="030BD2D1">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20</w:t>
            </w:r>
          </w:p>
        </w:tc>
        <w:tc>
          <w:tcPr>
            <w:tcW w:w="885" w:type="dxa"/>
            <w:tcBorders>
              <w:right w:val="single" w:color="auto" w:sz="12" w:space="0"/>
            </w:tcBorders>
            <w:vAlign w:val="center"/>
          </w:tcPr>
          <w:p w14:paraId="77A35BB0">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20</w:t>
            </w:r>
          </w:p>
        </w:tc>
        <w:tc>
          <w:tcPr>
            <w:tcW w:w="1006" w:type="dxa"/>
            <w:tcBorders>
              <w:right w:val="single" w:color="auto" w:sz="12" w:space="0"/>
            </w:tcBorders>
            <w:vAlign w:val="center"/>
          </w:tcPr>
          <w:p w14:paraId="51015EE2">
            <w:pPr>
              <w:widowControl w:val="0"/>
              <w:snapToGrid w:val="0"/>
              <w:spacing w:before="163" w:beforeLines="50" w:after="163" w:afterLines="50"/>
              <w:jc w:val="center"/>
              <w:rPr>
                <w:rFonts w:hint="eastAsia" w:eastAsiaTheme="minorEastAsia"/>
                <w:bCs/>
                <w:color w:val="000000"/>
                <w:szCs w:val="20"/>
              </w:rPr>
            </w:pPr>
            <w:r>
              <w:rPr>
                <w:rFonts w:hint="eastAsia" w:eastAsiaTheme="minorEastAsia"/>
                <w:bCs/>
                <w:color w:val="000000"/>
                <w:szCs w:val="20"/>
              </w:rPr>
              <w:t>100</w:t>
            </w:r>
          </w:p>
        </w:tc>
      </w:tr>
    </w:tbl>
    <w:tbl>
      <w:tblPr>
        <w:tblStyle w:val="10"/>
        <w:tblpPr w:leftFromText="180" w:rightFromText="180" w:vertAnchor="text" w:horzAnchor="margin" w:tblpY="1178"/>
        <w:tblW w:w="827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76"/>
      </w:tblGrid>
      <w:tr w14:paraId="04289E8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7170E5BB">
            <w:pPr>
              <w:pStyle w:val="16"/>
              <w:framePr w:hSpace="0" w:wrap="auto" w:vAnchor="margin" w:hAnchor="text" w:xAlign="left" w:yAlign="inline"/>
              <w:jc w:val="both"/>
            </w:pPr>
          </w:p>
          <w:p w14:paraId="132A39B0">
            <w:pPr>
              <w:pStyle w:val="16"/>
              <w:framePr w:hSpace="0" w:wrap="auto" w:vAnchor="margin" w:hAnchor="text" w:xAlign="left" w:yAlign="inline"/>
              <w:jc w:val="both"/>
            </w:pPr>
            <w:r>
              <w:rPr>
                <w:rFonts w:hint="eastAsia"/>
              </w:rPr>
              <w:t>无</w:t>
            </w:r>
          </w:p>
          <w:p w14:paraId="55F3C710">
            <w:pPr>
              <w:pStyle w:val="16"/>
              <w:framePr w:hSpace="0" w:wrap="auto" w:vAnchor="margin" w:hAnchor="text" w:xAlign="left" w:yAlign="inline"/>
              <w:jc w:val="both"/>
            </w:pPr>
          </w:p>
        </w:tc>
      </w:tr>
    </w:tbl>
    <w:p w14:paraId="0AFD32CD">
      <w:pPr>
        <w:pStyle w:val="18"/>
        <w:spacing w:before="326" w:beforeLines="100" w:line="360" w:lineRule="auto"/>
        <w:rPr>
          <w:rFonts w:hint="eastAsia" w:ascii="黑体" w:hAnsi="宋体"/>
        </w:rPr>
      </w:pPr>
      <w:r>
        <w:rPr>
          <w:rFonts w:hint="eastAsia" w:ascii="黑体" w:hAnsi="宋体"/>
        </w:rPr>
        <w:t xml:space="preserve">六、其他需要说明的问题 </w:t>
      </w:r>
    </w:p>
    <w:bookmarkEnd w:id="0"/>
    <w:bookmarkEnd w:id="1"/>
    <w:p w14:paraId="6B2EC421">
      <w:pPr>
        <w:pStyle w:val="19"/>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D2441">
    <w:pPr>
      <w:jc w:val="right"/>
      <w:rPr>
        <w:rFonts w:hint="eastAsia"/>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51DE5F8">
                          <w:pPr>
                            <w:rPr>
                              <w:rFonts w:ascii="Times New Roman" w:hAnsi="Times New Roman"/>
                            </w:rPr>
                          </w:pPr>
                          <w:r>
                            <w:rPr>
                              <w:rFonts w:ascii="Times New Roman" w:hAnsi="Times New Roman"/>
                            </w:rPr>
                            <w:t>SJQU-QR-JW-05</w:t>
                          </w:r>
                          <w:r>
                            <w:rPr>
                              <w:rFonts w:hint="eastAsia" w:ascii="Times New Roman" w:hAnsi="Times New Roman"/>
                            </w:rPr>
                            <w:t>5</w:t>
                          </w:r>
                          <w:r>
                            <w:rPr>
                              <w:rFonts w:ascii="Times New Roman" w:hAnsi="Times New Roman"/>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51DE5F8">
                    <w:pPr>
                      <w:rPr>
                        <w:rFonts w:ascii="Times New Roman" w:hAnsi="Times New Roman"/>
                      </w:rPr>
                    </w:pPr>
                    <w:r>
                      <w:rPr>
                        <w:rFonts w:ascii="Times New Roman" w:hAnsi="Times New Roman"/>
                      </w:rPr>
                      <w:t>SJQU-QR-JW-05</w:t>
                    </w:r>
                    <w:r>
                      <w:rPr>
                        <w:rFonts w:hint="eastAsia" w:ascii="Times New Roman" w:hAnsi="Times New Roman"/>
                      </w:rPr>
                      <w:t>5</w:t>
                    </w:r>
                    <w:r>
                      <w:rPr>
                        <w:rFonts w:ascii="Times New Roman" w:hAnsi="Times New Roman"/>
                      </w:rPr>
                      <w:t>（A0）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900D5"/>
    <w:multiLevelType w:val="singleLevel"/>
    <w:tmpl w:val="EAF900D5"/>
    <w:lvl w:ilvl="0" w:tentative="0">
      <w:start w:val="5"/>
      <w:numFmt w:val="chineseCounting"/>
      <w:suff w:val="nothing"/>
      <w:lvlText w:val="%1、"/>
      <w:lvlJc w:val="left"/>
      <w:rPr>
        <w:rFonts w:hint="eastAsia"/>
      </w:rPr>
    </w:lvl>
  </w:abstractNum>
  <w:abstractNum w:abstractNumId="1">
    <w:nsid w:val="377EFE4A"/>
    <w:multiLevelType w:val="singleLevel"/>
    <w:tmpl w:val="377EFE4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kNTY0YWI0ODE4OWE5ZGE1NTZkODA3MDk3MzViYzEifQ=="/>
  </w:docVars>
  <w:rsids>
    <w:rsidRoot w:val="00B7651F"/>
    <w:rsid w:val="0000521C"/>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D6F17"/>
    <w:rsid w:val="000E604B"/>
    <w:rsid w:val="00100633"/>
    <w:rsid w:val="001039E9"/>
    <w:rsid w:val="001072BC"/>
    <w:rsid w:val="0011026D"/>
    <w:rsid w:val="00114BD6"/>
    <w:rsid w:val="00130F6D"/>
    <w:rsid w:val="00142C42"/>
    <w:rsid w:val="00144082"/>
    <w:rsid w:val="00152723"/>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146C"/>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95574"/>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2380"/>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45D5"/>
    <w:rsid w:val="00496AC0"/>
    <w:rsid w:val="00497334"/>
    <w:rsid w:val="004A4D68"/>
    <w:rsid w:val="004B408D"/>
    <w:rsid w:val="004B6F68"/>
    <w:rsid w:val="004B73F7"/>
    <w:rsid w:val="004D4FB3"/>
    <w:rsid w:val="004D75A6"/>
    <w:rsid w:val="004E3456"/>
    <w:rsid w:val="004F3DF0"/>
    <w:rsid w:val="0050286E"/>
    <w:rsid w:val="005074E1"/>
    <w:rsid w:val="005126F1"/>
    <w:rsid w:val="0051358A"/>
    <w:rsid w:val="00513F2F"/>
    <w:rsid w:val="0051612A"/>
    <w:rsid w:val="00517176"/>
    <w:rsid w:val="00524300"/>
    <w:rsid w:val="00532348"/>
    <w:rsid w:val="00532E23"/>
    <w:rsid w:val="0054163F"/>
    <w:rsid w:val="00541F72"/>
    <w:rsid w:val="005421BC"/>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5B"/>
    <w:rsid w:val="0062577D"/>
    <w:rsid w:val="006331EE"/>
    <w:rsid w:val="006355E6"/>
    <w:rsid w:val="00635C1E"/>
    <w:rsid w:val="00637E00"/>
    <w:rsid w:val="0065167D"/>
    <w:rsid w:val="00652257"/>
    <w:rsid w:val="00652D13"/>
    <w:rsid w:val="0066595A"/>
    <w:rsid w:val="00666206"/>
    <w:rsid w:val="00671F67"/>
    <w:rsid w:val="00672788"/>
    <w:rsid w:val="006728DA"/>
    <w:rsid w:val="00680DA3"/>
    <w:rsid w:val="0068377F"/>
    <w:rsid w:val="00687A70"/>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61989"/>
    <w:rsid w:val="00774C1F"/>
    <w:rsid w:val="0078248F"/>
    <w:rsid w:val="007934A4"/>
    <w:rsid w:val="007A0AC9"/>
    <w:rsid w:val="007A1B70"/>
    <w:rsid w:val="007A57F6"/>
    <w:rsid w:val="007B4FFB"/>
    <w:rsid w:val="007C0BCE"/>
    <w:rsid w:val="007C3566"/>
    <w:rsid w:val="007C794A"/>
    <w:rsid w:val="007D5A33"/>
    <w:rsid w:val="007E4E10"/>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05BCF"/>
    <w:rsid w:val="009147D6"/>
    <w:rsid w:val="00925F8C"/>
    <w:rsid w:val="00927324"/>
    <w:rsid w:val="00930B32"/>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055E1"/>
    <w:rsid w:val="00A149B6"/>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16BCD"/>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2249"/>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864FC"/>
    <w:rsid w:val="00C9080C"/>
    <w:rsid w:val="00CA18FD"/>
    <w:rsid w:val="00CA4897"/>
    <w:rsid w:val="00CA6928"/>
    <w:rsid w:val="00CB3D3F"/>
    <w:rsid w:val="00CB5A1A"/>
    <w:rsid w:val="00CC53D3"/>
    <w:rsid w:val="00CC59E6"/>
    <w:rsid w:val="00CD5BDD"/>
    <w:rsid w:val="00CE284A"/>
    <w:rsid w:val="00CE560F"/>
    <w:rsid w:val="00CF096B"/>
    <w:rsid w:val="00CF10F7"/>
    <w:rsid w:val="00CF5EE3"/>
    <w:rsid w:val="00CF691F"/>
    <w:rsid w:val="00D026DC"/>
    <w:rsid w:val="00D15595"/>
    <w:rsid w:val="00D25F66"/>
    <w:rsid w:val="00D25FCE"/>
    <w:rsid w:val="00D3328B"/>
    <w:rsid w:val="00D44860"/>
    <w:rsid w:val="00D47689"/>
    <w:rsid w:val="00D50C42"/>
    <w:rsid w:val="00D57CF5"/>
    <w:rsid w:val="00D612BC"/>
    <w:rsid w:val="00D62F98"/>
    <w:rsid w:val="00D66235"/>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A74E9"/>
    <w:rsid w:val="00EB00E4"/>
    <w:rsid w:val="00EB28DA"/>
    <w:rsid w:val="00EB3812"/>
    <w:rsid w:val="00EB44EB"/>
    <w:rsid w:val="00EB66B8"/>
    <w:rsid w:val="00EB791E"/>
    <w:rsid w:val="00EC6F10"/>
    <w:rsid w:val="00EC70A9"/>
    <w:rsid w:val="00ED2474"/>
    <w:rsid w:val="00ED4C3A"/>
    <w:rsid w:val="00ED5492"/>
    <w:rsid w:val="00EE1C85"/>
    <w:rsid w:val="00EF21D9"/>
    <w:rsid w:val="00EF2A94"/>
    <w:rsid w:val="00EF32FB"/>
    <w:rsid w:val="00EF44B1"/>
    <w:rsid w:val="00EF4865"/>
    <w:rsid w:val="00F100D2"/>
    <w:rsid w:val="00F12942"/>
    <w:rsid w:val="00F133DA"/>
    <w:rsid w:val="00F14886"/>
    <w:rsid w:val="00F16421"/>
    <w:rsid w:val="00F201EE"/>
    <w:rsid w:val="00F20B5D"/>
    <w:rsid w:val="00F330DC"/>
    <w:rsid w:val="00F35AA0"/>
    <w:rsid w:val="00F37E0A"/>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2356"/>
    <w:rsid w:val="00FF47F6"/>
    <w:rsid w:val="016E63C2"/>
    <w:rsid w:val="01BF5A4A"/>
    <w:rsid w:val="024B0C39"/>
    <w:rsid w:val="0A8128A6"/>
    <w:rsid w:val="0BAE101A"/>
    <w:rsid w:val="0BF32A1B"/>
    <w:rsid w:val="10BD2C22"/>
    <w:rsid w:val="1381770D"/>
    <w:rsid w:val="1E9FA892"/>
    <w:rsid w:val="22987C80"/>
    <w:rsid w:val="24192CCC"/>
    <w:rsid w:val="27013D2B"/>
    <w:rsid w:val="2AC268B3"/>
    <w:rsid w:val="2CC656C4"/>
    <w:rsid w:val="2DFFD3EF"/>
    <w:rsid w:val="2FD79AB2"/>
    <w:rsid w:val="39A66CD4"/>
    <w:rsid w:val="3C6B1615"/>
    <w:rsid w:val="3CD52CE1"/>
    <w:rsid w:val="3FAFB391"/>
    <w:rsid w:val="410F2E6A"/>
    <w:rsid w:val="4430136C"/>
    <w:rsid w:val="4AB0382B"/>
    <w:rsid w:val="569868B5"/>
    <w:rsid w:val="5B7EC92F"/>
    <w:rsid w:val="5CB78EC5"/>
    <w:rsid w:val="611F6817"/>
    <w:rsid w:val="653410C2"/>
    <w:rsid w:val="66CA1754"/>
    <w:rsid w:val="6A4D3DDC"/>
    <w:rsid w:val="6DFF36D7"/>
    <w:rsid w:val="6F1E65D4"/>
    <w:rsid w:val="6F266C86"/>
    <w:rsid w:val="6F5042C2"/>
    <w:rsid w:val="6FDB4631"/>
    <w:rsid w:val="74316312"/>
    <w:rsid w:val="763D3D5A"/>
    <w:rsid w:val="780F13C8"/>
    <w:rsid w:val="7C385448"/>
    <w:rsid w:val="7CB3663D"/>
    <w:rsid w:val="7D17352E"/>
    <w:rsid w:val="7DFA9A2D"/>
    <w:rsid w:val="7FB79751"/>
    <w:rsid w:val="7FFEBD2F"/>
    <w:rsid w:val="AFC9C020"/>
    <w:rsid w:val="BB4D7E7E"/>
    <w:rsid w:val="EFF90104"/>
    <w:rsid w:val="F0FF0B1A"/>
    <w:rsid w:val="F7877F84"/>
    <w:rsid w:val="F7FF3A69"/>
    <w:rsid w:val="F96FB385"/>
    <w:rsid w:val="FEEF3FFC"/>
    <w:rsid w:val="FEF3BCA9"/>
    <w:rsid w:val="FF77ED3A"/>
    <w:rsid w:val="FF7F2C90"/>
    <w:rsid w:val="FFF98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99"/>
    <w:pPr>
      <w:widowControl w:val="0"/>
    </w:pPr>
    <w:rPr>
      <w:rFonts w:ascii="Times New Roman" w:hAnsi="Times New Roman" w:cs="Times New Roman"/>
      <w:kern w:val="2"/>
      <w:sz w:val="21"/>
    </w:rPr>
  </w:style>
  <w:style w:type="paragraph" w:styleId="5">
    <w:name w:val="Body Text"/>
    <w:basedOn w:val="1"/>
    <w:autoRedefine/>
    <w:qFormat/>
    <w:uiPriority w:val="1"/>
    <w:rPr>
      <w:rFonts w:ascii="黑体" w:hAnsi="黑体" w:eastAsia="黑体" w:cs="黑体"/>
      <w:sz w:val="36"/>
      <w:szCs w:val="36"/>
    </w:rPr>
  </w:style>
  <w:style w:type="paragraph" w:styleId="6">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99"/>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customStyle="1" w:styleId="13">
    <w:name w:val="页眉 字符"/>
    <w:basedOn w:val="11"/>
    <w:link w:val="7"/>
    <w:autoRedefine/>
    <w:semiHidden/>
    <w:qFormat/>
    <w:uiPriority w:val="99"/>
    <w:rPr>
      <w:sz w:val="18"/>
      <w:szCs w:val="18"/>
    </w:rPr>
  </w:style>
  <w:style w:type="character" w:customStyle="1" w:styleId="14">
    <w:name w:val="页脚 字符"/>
    <w:basedOn w:val="11"/>
    <w:link w:val="6"/>
    <w:autoRedefine/>
    <w:semiHidden/>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6">
    <w:name w:val="表格正文DG"/>
    <w:basedOn w:val="1"/>
    <w:autoRedefine/>
    <w:qFormat/>
    <w:uiPriority w:val="0"/>
    <w:pPr>
      <w:framePr w:hSpace="180" w:wrap="around" w:vAnchor="text" w:hAnchor="page" w:xAlign="center" w:y="627"/>
      <w:suppressOverlap/>
      <w:widowControl w:val="0"/>
    </w:pPr>
    <w:rPr>
      <w:rFonts w:ascii="Times New Roman" w:hAnsi="Times New Roman"/>
      <w:color w:val="000000"/>
      <w:sz w:val="21"/>
      <w:szCs w:val="21"/>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autoRedefine/>
    <w:qFormat/>
    <w:uiPriority w:val="0"/>
    <w:pPr>
      <w:spacing w:line="480" w:lineRule="auto"/>
      <w:outlineLvl w:val="0"/>
    </w:pPr>
    <w:rPr>
      <w:rFonts w:ascii="Arial" w:hAnsi="Arial" w:eastAsia="黑体"/>
      <w:sz w:val="28"/>
    </w:rPr>
  </w:style>
  <w:style w:type="paragraph" w:customStyle="1" w:styleId="19">
    <w:name w:val="二级标题DG"/>
    <w:basedOn w:val="8"/>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20">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1"/>
    <w:link w:val="2"/>
    <w:autoRedefine/>
    <w:qFormat/>
    <w:uiPriority w:val="9"/>
    <w:rPr>
      <w:rFonts w:ascii="Calibri" w:hAnsi="Calibri" w:eastAsia="宋体" w:cs="Times New Roman"/>
      <w:b/>
      <w:bCs/>
      <w:kern w:val="44"/>
      <w:sz w:val="44"/>
      <w:szCs w:val="44"/>
    </w:rPr>
  </w:style>
  <w:style w:type="character" w:customStyle="1" w:styleId="22">
    <w:name w:val="批注文字 字符"/>
    <w:basedOn w:val="11"/>
    <w:link w:val="4"/>
    <w:autoRedefine/>
    <w:qFormat/>
    <w:uiPriority w:val="99"/>
    <w:rPr>
      <w:rFonts w:ascii="Times New Roman" w:hAnsi="Times New Roman" w:eastAsia="宋体" w:cs="Times New Roman"/>
      <w:kern w:val="2"/>
      <w:sz w:val="21"/>
      <w:szCs w:val="24"/>
    </w:rPr>
  </w:style>
  <w:style w:type="character" w:customStyle="1" w:styleId="23">
    <w:name w:val="editor-text-node"/>
    <w:basedOn w:val="11"/>
    <w:autoRedefine/>
    <w:qFormat/>
    <w:uiPriority w:val="0"/>
  </w:style>
  <w:style w:type="character" w:customStyle="1" w:styleId="24">
    <w:name w:val="标题 3 字符"/>
    <w:basedOn w:val="11"/>
    <w:link w:val="3"/>
    <w:semiHidden/>
    <w:qFormat/>
    <w:uiPriority w:val="9"/>
    <w:rPr>
      <w:rFonts w:ascii="宋体" w:hAnsi="宋体" w:cs="宋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1768</Words>
  <Characters>1846</Characters>
  <Lines>47</Lines>
  <Paragraphs>13</Paragraphs>
  <TotalTime>0</TotalTime>
  <ScaleCrop>false</ScaleCrop>
  <LinksUpToDate>false</LinksUpToDate>
  <CharactersWithSpaces>1851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2023-10-23T17:09:00Z</dcterms:created>
  <dc:creator>juvg</dc:creator>
  <cp:lastModifiedBy>归晚.</cp:lastModifiedBy>
  <cp:lastPrinted>2024-03-05T09:25:00Z</cp:lastPrinted>
  <dcterms:modified xsi:type="dcterms:W3CDTF">2025-03-19T06:37:07Z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826037EB40374649918728DE81B4459F_13</vt:lpwstr>
  </property>
  <property fmtid="{D5CDD505-2E9C-101B-9397-08002B2CF9AE}" pid="4" name="KSOTemplateDocerSaveRecord">
    <vt:lpwstr>eyJoZGlkIjoiOGYyZTQwNzY0YmUwZjVjNTE5NzMzOGJiOTgwZmM0NTEiLCJ1c2VySWQiOiI1NTQ0NjQ5MzAifQ==</vt:lpwstr>
  </property>
</Properties>
</file>