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《病原生物与免疫学》本科课程教学大纲</w:t>
      </w:r>
    </w:p>
    <w:p w14:paraId="6ECD570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center"/>
              <w:rPr>
                <w:color w:val="000000"/>
                <w:sz w:val="21"/>
                <w:szCs w:val="21"/>
              </w:rPr>
            </w:pPr>
            <w:r>
              <w:rPr>
                <w:rFonts w:hint="eastAsia"/>
                <w:color w:val="000000"/>
                <w:sz w:val="21"/>
                <w:szCs w:val="21"/>
              </w:rPr>
              <w:t>病原生物与免疫学</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center"/>
              <w:rPr>
                <w:color w:val="000000"/>
                <w:sz w:val="20"/>
                <w:szCs w:val="20"/>
              </w:rPr>
            </w:pPr>
            <w:r>
              <w:rPr>
                <w:rFonts w:ascii="Times New Roman" w:hAnsi="Times New Roman" w:cs="Times New Roman"/>
                <w:color w:val="000000"/>
                <w:sz w:val="20"/>
                <w:szCs w:val="20"/>
              </w:rPr>
              <w:t>Pathogenic Organisms and Immunology</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color w:val="000000"/>
                <w:sz w:val="21"/>
                <w:szCs w:val="21"/>
              </w:rPr>
            </w:pPr>
            <w:r>
              <w:rPr>
                <w:rFonts w:hint="eastAsia"/>
                <w:color w:val="000000"/>
                <w:sz w:val="21"/>
                <w:szCs w:val="21"/>
              </w:rPr>
              <w:t>21</w:t>
            </w:r>
            <w:r>
              <w:rPr>
                <w:color w:val="000000"/>
                <w:sz w:val="21"/>
                <w:szCs w:val="21"/>
              </w:rPr>
              <w:t>70088</w:t>
            </w:r>
          </w:p>
        </w:tc>
        <w:tc>
          <w:tcPr>
            <w:tcW w:w="2126" w:type="dxa"/>
            <w:gridSpan w:val="2"/>
            <w:vAlign w:val="center"/>
          </w:tcPr>
          <w:p w14:paraId="066EC977">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.0</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color w:val="000000"/>
                <w:sz w:val="21"/>
                <w:szCs w:val="21"/>
              </w:rPr>
            </w:pPr>
            <w:r>
              <w:rPr>
                <w:rFonts w:hint="eastAsia"/>
                <w:color w:val="000000"/>
                <w:sz w:val="21"/>
                <w:szCs w:val="21"/>
              </w:rPr>
              <w:t>3</w:t>
            </w:r>
            <w:r>
              <w:rPr>
                <w:color w:val="000000"/>
                <w:sz w:val="21"/>
                <w:szCs w:val="21"/>
              </w:rPr>
              <w:t>2</w:t>
            </w:r>
          </w:p>
        </w:tc>
        <w:tc>
          <w:tcPr>
            <w:tcW w:w="1272" w:type="dxa"/>
            <w:vAlign w:val="center"/>
          </w:tcPr>
          <w:p w14:paraId="6C85515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c>
          <w:tcPr>
            <w:tcW w:w="1413" w:type="dxa"/>
            <w:gridSpan w:val="2"/>
            <w:vAlign w:val="center"/>
          </w:tcPr>
          <w:p w14:paraId="4EB60CA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color w:val="000000"/>
                <w:sz w:val="21"/>
                <w:szCs w:val="21"/>
              </w:rPr>
            </w:pPr>
            <w:r>
              <w:rPr>
                <w:rFonts w:hint="eastAsia"/>
                <w:color w:val="000000"/>
                <w:sz w:val="21"/>
                <w:szCs w:val="21"/>
              </w:rPr>
              <w:t>健康管理学院</w:t>
            </w:r>
          </w:p>
        </w:tc>
        <w:tc>
          <w:tcPr>
            <w:tcW w:w="2126" w:type="dxa"/>
            <w:gridSpan w:val="2"/>
            <w:vAlign w:val="center"/>
          </w:tcPr>
          <w:p w14:paraId="74D5506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0CAECED5">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护理学本科二年级</w:t>
            </w:r>
          </w:p>
          <w:p w14:paraId="3679FC0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第一学期</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EDF262B">
            <w:pPr>
              <w:widowControl w:val="0"/>
              <w:jc w:val="center"/>
              <w:rPr>
                <w:color w:val="000000"/>
                <w:sz w:val="21"/>
                <w:szCs w:val="21"/>
              </w:rPr>
            </w:pPr>
            <w:r>
              <w:rPr>
                <w:rFonts w:hint="eastAsia"/>
                <w:color w:val="000000"/>
                <w:sz w:val="21"/>
                <w:szCs w:val="21"/>
              </w:rPr>
              <w:t>学科基础课程/</w:t>
            </w:r>
          </w:p>
          <w:p w14:paraId="2B14C90E">
            <w:pPr>
              <w:widowControl w:val="0"/>
              <w:jc w:val="center"/>
              <w:rPr>
                <w:color w:val="000000"/>
                <w:sz w:val="21"/>
                <w:szCs w:val="21"/>
              </w:rPr>
            </w:pPr>
            <w:r>
              <w:rPr>
                <w:rFonts w:hint="eastAsia"/>
                <w:color w:val="000000"/>
                <w:sz w:val="21"/>
                <w:szCs w:val="21"/>
              </w:rPr>
              <w:t>专业基础必修课</w:t>
            </w:r>
          </w:p>
        </w:tc>
        <w:tc>
          <w:tcPr>
            <w:tcW w:w="2126" w:type="dxa"/>
            <w:gridSpan w:val="2"/>
            <w:vAlign w:val="center"/>
          </w:tcPr>
          <w:p w14:paraId="4AAB6BF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spacing w:line="220" w:lineRule="exact"/>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A11B7F3">
            <w:pPr>
              <w:widowControl w:val="0"/>
              <w:spacing w:line="220" w:lineRule="exact"/>
              <w:jc w:val="both"/>
              <w:rPr>
                <w:color w:val="000000"/>
                <w:sz w:val="21"/>
                <w:szCs w:val="21"/>
              </w:rPr>
            </w:pPr>
            <w:r>
              <w:rPr>
                <w:rFonts w:hint="eastAsia"/>
                <w:color w:val="000000"/>
                <w:sz w:val="21"/>
                <w:szCs w:val="21"/>
              </w:rPr>
              <w:t>《医学微生物学与寄生虫学》吴松泉、廖力主编，I</w:t>
            </w:r>
            <w:r>
              <w:rPr>
                <w:color w:val="000000"/>
                <w:sz w:val="21"/>
                <w:szCs w:val="21"/>
              </w:rPr>
              <w:t>SBN:978</w:t>
            </w:r>
            <w:r>
              <w:rPr>
                <w:rFonts w:hint="eastAsia"/>
                <w:color w:val="000000"/>
                <w:sz w:val="21"/>
                <w:szCs w:val="21"/>
              </w:rPr>
              <w:t>-</w:t>
            </w:r>
            <w:r>
              <w:rPr>
                <w:color w:val="000000"/>
                <w:sz w:val="21"/>
                <w:szCs w:val="21"/>
              </w:rPr>
              <w:t>7</w:t>
            </w:r>
            <w:r>
              <w:rPr>
                <w:rFonts w:hint="eastAsia"/>
                <w:color w:val="000000"/>
                <w:sz w:val="21"/>
                <w:szCs w:val="21"/>
              </w:rPr>
              <w:t>-</w:t>
            </w:r>
            <w:r>
              <w:rPr>
                <w:color w:val="000000"/>
                <w:sz w:val="21"/>
                <w:szCs w:val="21"/>
              </w:rPr>
              <w:t>117</w:t>
            </w:r>
            <w:r>
              <w:rPr>
                <w:rFonts w:hint="eastAsia"/>
                <w:color w:val="000000"/>
                <w:sz w:val="21"/>
                <w:szCs w:val="21"/>
              </w:rPr>
              <w:t>-</w:t>
            </w:r>
            <w:r>
              <w:rPr>
                <w:color w:val="000000"/>
                <w:sz w:val="21"/>
                <w:szCs w:val="21"/>
              </w:rPr>
              <w:t>33254</w:t>
            </w:r>
            <w:r>
              <w:rPr>
                <w:rFonts w:hint="eastAsia"/>
                <w:color w:val="000000"/>
                <w:sz w:val="21"/>
                <w:szCs w:val="21"/>
              </w:rPr>
              <w:t>-</w:t>
            </w:r>
            <w:r>
              <w:rPr>
                <w:color w:val="000000"/>
                <w:sz w:val="21"/>
                <w:szCs w:val="21"/>
              </w:rPr>
              <w:t>5,</w:t>
            </w:r>
            <w:r>
              <w:rPr>
                <w:rFonts w:hint="eastAsia"/>
                <w:color w:val="000000"/>
                <w:sz w:val="21"/>
                <w:szCs w:val="21"/>
              </w:rPr>
              <w:t>人民卫生出版社，20</w:t>
            </w:r>
            <w:r>
              <w:rPr>
                <w:color w:val="000000"/>
                <w:sz w:val="21"/>
                <w:szCs w:val="21"/>
              </w:rPr>
              <w:t>22</w:t>
            </w:r>
            <w:r>
              <w:rPr>
                <w:rFonts w:hint="eastAsia"/>
                <w:color w:val="000000"/>
                <w:sz w:val="21"/>
                <w:szCs w:val="21"/>
              </w:rPr>
              <w:t>年第五版；</w:t>
            </w:r>
          </w:p>
          <w:p w14:paraId="07769783">
            <w:pPr>
              <w:widowControl w:val="0"/>
              <w:spacing w:line="220" w:lineRule="exact"/>
              <w:jc w:val="both"/>
              <w:rPr>
                <w:rFonts w:ascii="Times New Roman" w:hAnsi="Times New Roman"/>
                <w:color w:val="000000" w:themeColor="text1"/>
                <w:sz w:val="21"/>
                <w:szCs w:val="21"/>
                <w14:textFill>
                  <w14:solidFill>
                    <w14:schemeClr w14:val="tx1"/>
                  </w14:solidFill>
                </w14:textFill>
              </w:rPr>
            </w:pPr>
            <w:r>
              <w:rPr>
                <w:rFonts w:hint="eastAsia"/>
                <w:color w:val="000000"/>
                <w:sz w:val="21"/>
                <w:szCs w:val="21"/>
              </w:rPr>
              <w:t>《医学免疫学》司传平转变，I</w:t>
            </w:r>
            <w:r>
              <w:rPr>
                <w:color w:val="000000"/>
                <w:sz w:val="21"/>
                <w:szCs w:val="21"/>
              </w:rPr>
              <w:t>SBN:978-7-117-33142-5,</w:t>
            </w:r>
            <w:r>
              <w:rPr>
                <w:rFonts w:hint="eastAsia"/>
                <w:color w:val="000000"/>
                <w:sz w:val="21"/>
                <w:szCs w:val="21"/>
              </w:rPr>
              <w:t>人民卫生出版社，2</w:t>
            </w:r>
            <w:r>
              <w:rPr>
                <w:color w:val="000000"/>
                <w:sz w:val="21"/>
                <w:szCs w:val="21"/>
              </w:rPr>
              <w:t>022</w:t>
            </w:r>
            <w:r>
              <w:rPr>
                <w:rFonts w:hint="eastAsia"/>
                <w:color w:val="000000"/>
                <w:sz w:val="21"/>
                <w:szCs w:val="21"/>
              </w:rPr>
              <w:t>年第五版。</w:t>
            </w:r>
          </w:p>
        </w:tc>
        <w:tc>
          <w:tcPr>
            <w:tcW w:w="1413" w:type="dxa"/>
            <w:gridSpan w:val="2"/>
            <w:vAlign w:val="center"/>
          </w:tcPr>
          <w:p w14:paraId="25D25D83">
            <w:pPr>
              <w:widowControl w:val="0"/>
              <w:spacing w:line="220" w:lineRule="exac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spacing w:line="220" w:lineRule="exact"/>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spacing w:line="220" w:lineRule="exact"/>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spacing w:line="220" w:lineRule="exact"/>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F229263">
            <w:pPr>
              <w:pStyle w:val="15"/>
              <w:widowControl w:val="0"/>
              <w:spacing w:line="220" w:lineRule="exact"/>
              <w:ind w:firstLine="210" w:firstLineChars="100"/>
              <w:jc w:val="both"/>
            </w:pPr>
            <w:r>
              <w:rPr>
                <w:rFonts w:hint="eastAsia"/>
              </w:rPr>
              <w:t>人体解剖学2</w:t>
            </w:r>
            <w:r>
              <w:t>070001</w:t>
            </w:r>
            <w:r>
              <w:rPr>
                <w:rFonts w:hint="eastAsia"/>
              </w:rPr>
              <w:t>（6）、组织胚胎学2</w:t>
            </w:r>
            <w:r>
              <w:t>070002</w:t>
            </w:r>
            <w:r>
              <w:rPr>
                <w:rFonts w:hint="eastAsia"/>
              </w:rPr>
              <w:t>（2）、生理学2</w:t>
            </w:r>
            <w:r>
              <w:t>070003</w:t>
            </w:r>
            <w:r>
              <w:rPr>
                <w:rFonts w:hint="eastAsia"/>
              </w:rPr>
              <w:t>（4）、生物化学2</w:t>
            </w:r>
            <w:r>
              <w:t>170093</w:t>
            </w:r>
            <w:r>
              <w:rPr>
                <w:rFonts w:hint="eastAsia"/>
              </w:rPr>
              <w:t>（2）</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41" w:hRule="atLeast"/>
        </w:trPr>
        <w:tc>
          <w:tcPr>
            <w:tcW w:w="1691" w:type="dxa"/>
            <w:tcBorders>
              <w:left w:val="single" w:color="auto" w:sz="12" w:space="0"/>
            </w:tcBorders>
            <w:shd w:val="clear" w:color="auto" w:fill="auto"/>
            <w:vAlign w:val="center"/>
          </w:tcPr>
          <w:p w14:paraId="49648014">
            <w:pPr>
              <w:widowControl w:val="0"/>
              <w:spacing w:line="220" w:lineRule="exact"/>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widowControl w:val="0"/>
              <w:snapToGrid/>
              <w:spacing w:line="220" w:lineRule="exact"/>
              <w:ind w:firstLine="420" w:firstLineChars="200"/>
              <w:jc w:val="both"/>
              <w:rPr>
                <w:color w:val="000000"/>
                <w:sz w:val="21"/>
                <w:szCs w:val="21"/>
              </w:rPr>
            </w:pPr>
            <w:r>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r>
              <w:rPr>
                <w:sz w:val="21"/>
                <w:szCs w:val="21"/>
              </w:rPr>
              <w:t>为学习基础医学课程打下必要的基础。</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54" w:hRule="atLeast"/>
        </w:trPr>
        <w:tc>
          <w:tcPr>
            <w:tcW w:w="1691" w:type="dxa"/>
            <w:tcBorders>
              <w:left w:val="single" w:color="auto" w:sz="12" w:space="0"/>
              <w:bottom w:val="double" w:color="auto" w:sz="4" w:space="0"/>
            </w:tcBorders>
            <w:shd w:val="clear" w:color="auto" w:fill="auto"/>
            <w:vAlign w:val="center"/>
          </w:tcPr>
          <w:p w14:paraId="1E242B17">
            <w:pPr>
              <w:widowControl w:val="0"/>
              <w:spacing w:line="220" w:lineRule="exact"/>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spacing w:line="220" w:lineRule="exact"/>
              <w:ind w:firstLine="420" w:firstLineChars="200"/>
              <w:jc w:val="both"/>
              <w:rPr>
                <w:color w:val="000000"/>
                <w:sz w:val="21"/>
                <w:szCs w:val="21"/>
              </w:rPr>
            </w:pPr>
            <w:r>
              <w:rPr>
                <w:rFonts w:hint="eastAsia"/>
                <w:color w:val="000000"/>
                <w:sz w:val="21"/>
                <w:szCs w:val="21"/>
              </w:rPr>
              <w:t>本课程适合护理学本科专业方向的二年级第一学期本科生授课。要求学生具有病原生物与免疫学的基础知识，能运用知识理解分析免疫系统、抗原、抗体、免疫反应，和细菌、病毒、真菌等病原体感染的疾病。</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2"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ind w:right="84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anchor distT="0" distB="0" distL="114300" distR="114300" simplePos="0" relativeHeight="251660288" behindDoc="0" locked="0" layoutInCell="1" allowOverlap="1">
                  <wp:simplePos x="0" y="0"/>
                  <wp:positionH relativeFrom="column">
                    <wp:posOffset>464185</wp:posOffset>
                  </wp:positionH>
                  <wp:positionV relativeFrom="paragraph">
                    <wp:posOffset>5715</wp:posOffset>
                  </wp:positionV>
                  <wp:extent cx="381635" cy="213360"/>
                  <wp:effectExtent l="0" t="0" r="0" b="0"/>
                  <wp:wrapNone/>
                  <wp:docPr id="2785889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88971"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1635" cy="213360"/>
                          </a:xfrm>
                          <a:prstGeom prst="rect">
                            <a:avLst/>
                          </a:prstGeom>
                          <a:noFill/>
                        </pic:spPr>
                      </pic:pic>
                    </a:graphicData>
                  </a:graphic>
                </wp:anchor>
              </w:drawing>
            </w:r>
            <w:r>
              <w:drawing>
                <wp:inline distT="0" distB="0" distL="0" distR="0">
                  <wp:extent cx="142875" cy="258445"/>
                  <wp:effectExtent l="0" t="635" r="8890" b="8890"/>
                  <wp:docPr id="13382726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272625"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l="6902" t="11252" b="11005"/>
                          <a:stretch>
                            <a:fillRect/>
                          </a:stretch>
                        </pic:blipFill>
                        <pic:spPr>
                          <a:xfrm rot="16200000">
                            <a:off x="0" y="0"/>
                            <a:ext cx="143006" cy="259035"/>
                          </a:xfrm>
                          <a:prstGeom prst="rect">
                            <a:avLst/>
                          </a:prstGeom>
                          <a:noFill/>
                          <a:ln>
                            <a:noFill/>
                          </a:ln>
                        </pic:spPr>
                      </pic:pic>
                    </a:graphicData>
                  </a:graphic>
                </wp:inline>
              </w:drawing>
            </w:r>
          </w:p>
        </w:tc>
        <w:tc>
          <w:tcPr>
            <w:tcW w:w="1425" w:type="dxa"/>
            <w:gridSpan w:val="2"/>
            <w:tcBorders>
              <w:top w:val="double" w:color="auto" w:sz="4" w:space="0"/>
            </w:tcBorders>
            <w:vAlign w:val="center"/>
          </w:tcPr>
          <w:p w14:paraId="37592E2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ascii="Times New Roman" w:hAnsi="Times New Roman"/>
                <w:color w:val="000000"/>
                <w:sz w:val="21"/>
                <w:szCs w:val="21"/>
              </w:rPr>
              <w:t>3</w:t>
            </w:r>
            <w:r>
              <w:rPr>
                <w:rFonts w:hint="eastAsia" w:ascii="Times New Roman" w:hAnsi="Times New Roman"/>
                <w:color w:val="000000"/>
                <w:sz w:val="21"/>
                <w:szCs w:val="21"/>
              </w:rPr>
              <w:t>.1</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0" w:hRule="atLeast"/>
        </w:trPr>
        <w:tc>
          <w:tcPr>
            <w:tcW w:w="1691" w:type="dxa"/>
            <w:tcBorders>
              <w:left w:val="single" w:color="auto" w:sz="12" w:space="0"/>
            </w:tcBorders>
            <w:shd w:val="clear" w:color="auto" w:fill="auto"/>
            <w:vAlign w:val="center"/>
          </w:tcPr>
          <w:p w14:paraId="6014990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 w:val="21"/>
                <w:szCs w:val="21"/>
              </w:rPr>
              <w:drawing>
                <wp:anchor distT="0" distB="0" distL="114300" distR="114300" simplePos="0" relativeHeight="251659264" behindDoc="0" locked="0" layoutInCell="1" allowOverlap="1">
                  <wp:simplePos x="0" y="0"/>
                  <wp:positionH relativeFrom="column">
                    <wp:posOffset>-1270</wp:posOffset>
                  </wp:positionH>
                  <wp:positionV relativeFrom="paragraph">
                    <wp:posOffset>2540</wp:posOffset>
                  </wp:positionV>
                  <wp:extent cx="381635" cy="213360"/>
                  <wp:effectExtent l="0" t="0" r="0" b="0"/>
                  <wp:wrapNone/>
                  <wp:docPr id="153875917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59179"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1635" cy="213360"/>
                          </a:xfrm>
                          <a:prstGeom prst="rect">
                            <a:avLst/>
                          </a:prstGeom>
                          <a:noFill/>
                        </pic:spPr>
                      </pic:pic>
                    </a:graphicData>
                  </a:graphic>
                </wp:anchor>
              </w:drawing>
            </w:r>
          </w:p>
        </w:tc>
        <w:tc>
          <w:tcPr>
            <w:tcW w:w="1425" w:type="dxa"/>
            <w:gridSpan w:val="2"/>
            <w:vAlign w:val="center"/>
          </w:tcPr>
          <w:p w14:paraId="418025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ascii="Times New Roman" w:hAnsi="Times New Roman"/>
                <w:color w:val="000000"/>
                <w:sz w:val="21"/>
                <w:szCs w:val="21"/>
              </w:rPr>
              <w:t>3</w:t>
            </w:r>
            <w:r>
              <w:rPr>
                <w:rFonts w:hint="eastAsia" w:ascii="Times New Roman" w:hAnsi="Times New Roman"/>
                <w:color w:val="000000"/>
                <w:sz w:val="21"/>
                <w:szCs w:val="21"/>
              </w:rPr>
              <w:t>.1</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7"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lef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291465" cy="163195"/>
                  <wp:effectExtent l="0" t="0" r="635" b="1905"/>
                  <wp:docPr id="1124857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85783" name="图片 1"/>
                          <pic:cNvPicPr>
                            <a:picLocks noChangeAspect="1"/>
                          </pic:cNvPicPr>
                        </pic:nvPicPr>
                        <pic:blipFill>
                          <a:blip r:embed="rId7"/>
                          <a:srcRect t="17951" b="1"/>
                          <a:stretch>
                            <a:fillRect/>
                          </a:stretch>
                        </pic:blipFill>
                        <pic:spPr>
                          <a:xfrm>
                            <a:off x="0" y="0"/>
                            <a:ext cx="319899" cy="179041"/>
                          </a:xfrm>
                          <a:prstGeom prst="rect">
                            <a:avLst/>
                          </a:prstGeom>
                          <a:ln>
                            <a:noFill/>
                          </a:ln>
                        </pic:spPr>
                      </pic:pic>
                    </a:graphicData>
                  </a:graphic>
                </wp:inline>
              </w:drawing>
            </w:r>
            <w:bookmarkStart w:id="4" w:name="_GoBack"/>
            <w:bookmarkEnd w:id="4"/>
          </w:p>
        </w:tc>
        <w:tc>
          <w:tcPr>
            <w:tcW w:w="1425" w:type="dxa"/>
            <w:gridSpan w:val="2"/>
            <w:tcBorders>
              <w:bottom w:val="single" w:color="auto" w:sz="12" w:space="0"/>
            </w:tcBorders>
            <w:vAlign w:val="center"/>
          </w:tcPr>
          <w:p w14:paraId="6F4A3339">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2024.</w:t>
            </w:r>
            <w:r>
              <w:rPr>
                <w:rFonts w:ascii="Times New Roman" w:hAnsi="Times New Roman"/>
                <w:color w:val="000000"/>
                <w:sz w:val="21"/>
                <w:szCs w:val="21"/>
              </w:rPr>
              <w:t>3</w:t>
            </w:r>
            <w:r>
              <w:rPr>
                <w:rFonts w:hint="eastAsia" w:ascii="Times New Roman" w:hAnsi="Times New Roman"/>
                <w:color w:val="000000"/>
                <w:sz w:val="21"/>
                <w:szCs w:val="21"/>
              </w:rPr>
              <w:t>.1</w:t>
            </w:r>
          </w:p>
        </w:tc>
      </w:tr>
    </w:tbl>
    <w:p w14:paraId="0E671D4E">
      <w:pPr>
        <w:spacing w:line="100" w:lineRule="exact"/>
        <w:rPr>
          <w:rFonts w:ascii="Arial" w:hAnsi="Arial" w:eastAsia="黑体"/>
        </w:rPr>
      </w:pPr>
      <w:r>
        <w:br w:type="page"/>
      </w:r>
    </w:p>
    <w:p w14:paraId="33F2E72F">
      <w:pPr>
        <w:pStyle w:val="17"/>
        <w:spacing w:before="326" w:beforeLines="100" w:line="360" w:lineRule="auto"/>
        <w:rPr>
          <w:rFonts w:ascii="黑体" w:hAnsi="宋体"/>
        </w:rPr>
      </w:pPr>
      <w:r>
        <w:rPr>
          <w:rFonts w:hint="eastAsia" w:ascii="黑体" w:hAnsi="宋体"/>
        </w:rPr>
        <w:t>二、课程目标与毕业要求</w:t>
      </w:r>
    </w:p>
    <w:p w14:paraId="4FA1CB46">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00BD7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3187C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20C5A2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6EEC77D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184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F72240C">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58DDD9E5">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51FCFD08">
            <w:pPr>
              <w:pStyle w:val="15"/>
              <w:spacing w:line="260" w:lineRule="exact"/>
              <w:jc w:val="left"/>
              <w:rPr>
                <w:rFonts w:ascii="宋体" w:hAnsi="宋体"/>
                <w:bCs/>
              </w:rPr>
            </w:pPr>
            <w:r>
              <w:t>掌握基本的</w:t>
            </w:r>
            <w:r>
              <w:rPr>
                <w:rFonts w:hint="eastAsia"/>
              </w:rPr>
              <w:t>病理学与病理生理学知识，</w:t>
            </w:r>
            <w:r>
              <w:rPr>
                <w:rFonts w:hint="eastAsia" w:ascii="宋体" w:hAnsi="宋体"/>
              </w:rPr>
              <w:t>了解与本学科相关的前沿的医疗技术如A</w:t>
            </w:r>
            <w:r>
              <w:rPr>
                <w:rFonts w:ascii="宋体" w:hAnsi="宋体"/>
              </w:rPr>
              <w:t>I</w:t>
            </w:r>
            <w:r>
              <w:rPr>
                <w:rFonts w:hint="eastAsia" w:ascii="宋体" w:hAnsi="宋体"/>
              </w:rPr>
              <w:t>技术等。</w:t>
            </w:r>
          </w:p>
        </w:tc>
      </w:tr>
      <w:tr w14:paraId="30B14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FB4ADEE">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61816AA3">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3CE4CDA0">
            <w:pPr>
              <w:pStyle w:val="15"/>
              <w:spacing w:line="260" w:lineRule="exact"/>
              <w:jc w:val="left"/>
              <w:rPr>
                <w:rFonts w:ascii="宋体" w:hAnsi="宋体"/>
                <w:bCs/>
              </w:rPr>
            </w:pPr>
            <w:r>
              <w:rPr>
                <w:rFonts w:hint="eastAsia"/>
              </w:rPr>
              <w:t>具有自主学习的基本能力</w:t>
            </w:r>
          </w:p>
        </w:tc>
      </w:tr>
      <w:tr w14:paraId="36B2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C1EFA33">
            <w:pPr>
              <w:pStyle w:val="15"/>
              <w:rPr>
                <w:rFonts w:ascii="宋体" w:hAnsi="宋体"/>
              </w:rPr>
            </w:pPr>
          </w:p>
        </w:tc>
        <w:tc>
          <w:tcPr>
            <w:tcW w:w="764" w:type="dxa"/>
            <w:shd w:val="clear" w:color="auto" w:fill="auto"/>
            <w:vAlign w:val="center"/>
          </w:tcPr>
          <w:p w14:paraId="6B71353D">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11466A2">
            <w:pPr>
              <w:pStyle w:val="15"/>
              <w:spacing w:line="260" w:lineRule="exact"/>
              <w:jc w:val="left"/>
              <w:rPr>
                <w:rFonts w:ascii="宋体" w:hAnsi="宋体"/>
                <w:bCs/>
              </w:rPr>
            </w:pPr>
            <w:r>
              <w:rPr>
                <w:rFonts w:hint="eastAsia" w:asciiTheme="minorEastAsia" w:hAnsiTheme="minorEastAsia" w:eastAsiaTheme="minorEastAsia"/>
              </w:rPr>
              <w:t>能搜集、获取达到目标所需要的学习资源，实施学习计划、反思学习计划、持续改进，达到学习目标。</w:t>
            </w:r>
          </w:p>
        </w:tc>
      </w:tr>
      <w:tr w14:paraId="43AA4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0AFC37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17F1853">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43D4EFA2">
            <w:pPr>
              <w:snapToGrid w:val="0"/>
              <w:spacing w:line="260" w:lineRule="exact"/>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5AF9FEA1">
            <w:pPr>
              <w:pStyle w:val="15"/>
              <w:spacing w:line="260" w:lineRule="exact"/>
              <w:jc w:val="left"/>
              <w:rPr>
                <w:rFonts w:ascii="宋体" w:hAnsi="宋体"/>
                <w:bCs/>
              </w:rPr>
            </w:pPr>
            <w:r>
              <w:rPr>
                <w:rFonts w:hint="eastAsia"/>
              </w:rPr>
              <w:t>建立职业使命感和责任感</w:t>
            </w:r>
          </w:p>
        </w:tc>
      </w:tr>
    </w:tbl>
    <w:p w14:paraId="089BD5FC">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37A9614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67608C36">
            <w:pPr>
              <w:widowControl w:val="0"/>
              <w:tabs>
                <w:tab w:val="left" w:pos="4200"/>
              </w:tabs>
              <w:spacing w:line="300" w:lineRule="exact"/>
              <w:ind w:firstLine="422" w:firstLineChars="200"/>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299E4427">
            <w:pPr>
              <w:widowControl w:val="0"/>
              <w:tabs>
                <w:tab w:val="left" w:pos="4200"/>
              </w:tabs>
              <w:spacing w:line="300" w:lineRule="exact"/>
              <w:ind w:firstLine="420" w:firstLineChars="200"/>
              <w:jc w:val="both"/>
              <w:rPr>
                <w:bCs/>
                <w:sz w:val="21"/>
                <w:szCs w:val="21"/>
              </w:rPr>
            </w:pPr>
            <w:r>
              <w:rPr>
                <w:rFonts w:hint="eastAsia"/>
                <w:bCs/>
                <w:sz w:val="21"/>
                <w:szCs w:val="21"/>
              </w:rPr>
              <w:t>⑤</w:t>
            </w:r>
            <w:r>
              <w:rPr>
                <w:bCs/>
                <w:sz w:val="21"/>
                <w:szCs w:val="21"/>
              </w:rPr>
              <w:t>爱岗敬业，热爱所学专业，勤学多练，锤炼技能。熟悉本专业相关的法律法规，在实习实践中自觉遵守职业规范，具备职业道德操守。</w:t>
            </w:r>
          </w:p>
        </w:tc>
      </w:tr>
      <w:tr w14:paraId="18B64A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806148B">
            <w:pPr>
              <w:widowControl w:val="0"/>
              <w:tabs>
                <w:tab w:val="left" w:pos="4200"/>
              </w:tabs>
              <w:spacing w:line="300" w:lineRule="exact"/>
              <w:ind w:firstLine="422" w:firstLineChars="200"/>
              <w:jc w:val="both"/>
              <w:rPr>
                <w:bCs/>
                <w:sz w:val="21"/>
                <w:szCs w:val="21"/>
              </w:rPr>
            </w:pPr>
            <w:r>
              <w:rPr>
                <w:b/>
                <w:sz w:val="21"/>
                <w:szCs w:val="21"/>
              </w:rPr>
              <w:t>LO2专业能力</w:t>
            </w:r>
            <w:r>
              <w:rPr>
                <w:bCs/>
                <w:sz w:val="21"/>
                <w:szCs w:val="21"/>
              </w:rPr>
              <w:t>：</w:t>
            </w:r>
            <w:r>
              <w:rPr>
                <w:rFonts w:hint="eastAsia"/>
                <w:bCs/>
                <w:sz w:val="21"/>
                <w:szCs w:val="21"/>
              </w:rPr>
              <w:t>具有人文科学素养，具备从事护理工作或专业的理论知识、实践能力。</w:t>
            </w:r>
          </w:p>
          <w:p w14:paraId="11C6F51E">
            <w:pPr>
              <w:widowControl w:val="0"/>
              <w:tabs>
                <w:tab w:val="left" w:pos="4200"/>
              </w:tabs>
              <w:spacing w:line="300" w:lineRule="exact"/>
              <w:ind w:firstLine="420" w:firstLineChars="200"/>
              <w:jc w:val="both"/>
              <w:rPr>
                <w:bCs/>
                <w:sz w:val="21"/>
                <w:szCs w:val="21"/>
              </w:rPr>
            </w:pPr>
            <w:r>
              <w:rPr>
                <w:rFonts w:hint="eastAsia"/>
                <w:bCs/>
                <w:sz w:val="21"/>
                <w:szCs w:val="21"/>
              </w:rPr>
              <w:t xml:space="preserve">②专业基础能力：掌握人体正常结构、功能、人的心理状态及其发展变化的知识；掌握基本的药理知识和临床用药及药品管理知识；掌握护理学基础理论和基本知识。 </w:t>
            </w:r>
          </w:p>
        </w:tc>
      </w:tr>
      <w:tr w14:paraId="56C8DB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8E31B71">
            <w:pPr>
              <w:widowControl w:val="0"/>
              <w:tabs>
                <w:tab w:val="left" w:pos="4200"/>
              </w:tabs>
              <w:spacing w:line="300" w:lineRule="exact"/>
              <w:ind w:firstLine="422" w:firstLineChars="200"/>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3BA0C6CC">
            <w:pPr>
              <w:widowControl w:val="0"/>
              <w:tabs>
                <w:tab w:val="left" w:pos="4200"/>
              </w:tabs>
              <w:spacing w:line="300" w:lineRule="exact"/>
              <w:ind w:firstLine="420" w:firstLineChars="200"/>
              <w:jc w:val="both"/>
              <w:rPr>
                <w:bCs/>
                <w:sz w:val="21"/>
                <w:szCs w:val="21"/>
              </w:rPr>
            </w:pPr>
            <w:r>
              <w:rPr>
                <w:rFonts w:hint="eastAsia"/>
                <w:bCs/>
                <w:sz w:val="21"/>
                <w:szCs w:val="21"/>
              </w:rPr>
              <w:t>①</w:t>
            </w:r>
            <w:r>
              <w:rPr>
                <w:bCs/>
                <w:sz w:val="21"/>
                <w:szCs w:val="21"/>
              </w:rPr>
              <w:t>能根据需要确定学习目标，并设计学习计划。</w:t>
            </w:r>
          </w:p>
          <w:p w14:paraId="265CF251">
            <w:pPr>
              <w:widowControl w:val="0"/>
              <w:tabs>
                <w:tab w:val="left" w:pos="4200"/>
              </w:tabs>
              <w:spacing w:line="300" w:lineRule="exact"/>
              <w:ind w:firstLine="420" w:firstLineChars="200"/>
              <w:jc w:val="both"/>
              <w:rPr>
                <w:bCs/>
                <w:sz w:val="21"/>
                <w:szCs w:val="21"/>
              </w:rPr>
            </w:pPr>
            <w:r>
              <w:rPr>
                <w:rFonts w:hint="eastAsia"/>
                <w:bCs/>
                <w:sz w:val="21"/>
                <w:szCs w:val="21"/>
              </w:rPr>
              <w:t>②</w:t>
            </w:r>
            <w:r>
              <w:rPr>
                <w:bCs/>
                <w:sz w:val="21"/>
                <w:szCs w:val="21"/>
              </w:rPr>
              <w:t>能搜集、获取达到目标所需要的学习资源，实施学习计划、反思学习计划、持续改进，达到学习目标。</w:t>
            </w:r>
          </w:p>
        </w:tc>
      </w:tr>
    </w:tbl>
    <w:p w14:paraId="6A27BE0A">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484B0D79">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0250B94C">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DE14005">
            <w:pPr>
              <w:pStyle w:val="14"/>
              <w:rPr>
                <w:szCs w:val="16"/>
              </w:rPr>
            </w:pPr>
            <w:r>
              <w:rPr>
                <w:rFonts w:hint="eastAsia"/>
                <w:szCs w:val="16"/>
              </w:rPr>
              <w:t>支撑度</w:t>
            </w:r>
          </w:p>
        </w:tc>
        <w:tc>
          <w:tcPr>
            <w:tcW w:w="4651" w:type="dxa"/>
            <w:tcBorders>
              <w:top w:val="single" w:color="auto" w:sz="12" w:space="0"/>
            </w:tcBorders>
            <w:vAlign w:val="center"/>
          </w:tcPr>
          <w:p w14:paraId="2D9AEFC2">
            <w:pPr>
              <w:pStyle w:val="14"/>
              <w:rPr>
                <w:szCs w:val="16"/>
              </w:rPr>
            </w:pPr>
            <w:r>
              <w:rPr>
                <w:rFonts w:hint="eastAsia"/>
                <w:szCs w:val="16"/>
              </w:rPr>
              <w:t>课程目标</w:t>
            </w:r>
          </w:p>
        </w:tc>
        <w:tc>
          <w:tcPr>
            <w:tcW w:w="1316" w:type="dxa"/>
            <w:tcBorders>
              <w:top w:val="single" w:color="auto" w:sz="12" w:space="0"/>
              <w:right w:val="single" w:color="auto" w:sz="12" w:space="0"/>
            </w:tcBorders>
            <w:vAlign w:val="center"/>
          </w:tcPr>
          <w:p w14:paraId="2BECB08E">
            <w:pPr>
              <w:pStyle w:val="14"/>
              <w:rPr>
                <w:szCs w:val="16"/>
              </w:rPr>
            </w:pPr>
            <w:r>
              <w:rPr>
                <w:rFonts w:hint="eastAsia"/>
                <w:szCs w:val="16"/>
              </w:rPr>
              <w:t>对指标点的贡献度</w:t>
            </w:r>
          </w:p>
        </w:tc>
      </w:tr>
      <w:tr w14:paraId="586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94D883D">
            <w:pPr>
              <w:pStyle w:val="15"/>
            </w:pPr>
            <w:r>
              <w:rPr>
                <w:rFonts w:hint="eastAsia" w:eastAsia="仿宋"/>
                <w:sz w:val="20"/>
                <w:szCs w:val="20"/>
              </w:rPr>
              <w:t>L</w:t>
            </w:r>
            <w:r>
              <w:rPr>
                <w:rFonts w:eastAsia="仿宋"/>
                <w:sz w:val="20"/>
                <w:szCs w:val="20"/>
              </w:rPr>
              <w:t>01</w:t>
            </w:r>
          </w:p>
        </w:tc>
        <w:tc>
          <w:tcPr>
            <w:tcW w:w="775" w:type="dxa"/>
            <w:tcBorders>
              <w:left w:val="single" w:color="auto" w:sz="4" w:space="0"/>
            </w:tcBorders>
            <w:vAlign w:val="center"/>
          </w:tcPr>
          <w:p w14:paraId="4E705B22">
            <w:pPr>
              <w:pStyle w:val="15"/>
              <w:rPr>
                <w:rFonts w:cs="Times New Roman"/>
                <w:bCs/>
              </w:rPr>
            </w:pPr>
            <w:r>
              <w:rPr>
                <w:rFonts w:hint="eastAsia" w:asciiTheme="minorEastAsia" w:hAnsiTheme="minorEastAsia" w:eastAsiaTheme="minorEastAsia"/>
              </w:rPr>
              <w:t>⑤</w:t>
            </w:r>
          </w:p>
        </w:tc>
        <w:tc>
          <w:tcPr>
            <w:tcW w:w="775" w:type="dxa"/>
            <w:tcBorders>
              <w:right w:val="double" w:color="auto" w:sz="4" w:space="0"/>
            </w:tcBorders>
            <w:shd w:val="clear" w:color="auto" w:fill="auto"/>
            <w:vAlign w:val="center"/>
          </w:tcPr>
          <w:p w14:paraId="4765126D">
            <w:pPr>
              <w:pStyle w:val="15"/>
              <w:rPr>
                <w:rFonts w:ascii="宋体" w:hAnsi="宋体"/>
              </w:rPr>
            </w:pPr>
            <w:r>
              <w:rPr>
                <w:rFonts w:ascii="宋体" w:hAnsi="宋体"/>
              </w:rPr>
              <w:t>M</w:t>
            </w:r>
          </w:p>
        </w:tc>
        <w:tc>
          <w:tcPr>
            <w:tcW w:w="4651" w:type="dxa"/>
            <w:vAlign w:val="center"/>
          </w:tcPr>
          <w:p w14:paraId="61D5CC33">
            <w:pPr>
              <w:pStyle w:val="15"/>
              <w:rPr>
                <w:rFonts w:ascii="宋体" w:hAnsi="宋体"/>
                <w:bCs/>
              </w:rPr>
            </w:pPr>
            <w:r>
              <w:rPr>
                <w:rFonts w:hint="eastAsia"/>
              </w:rPr>
              <w:t>建立职业使命感和责任感</w:t>
            </w:r>
          </w:p>
        </w:tc>
        <w:tc>
          <w:tcPr>
            <w:tcW w:w="1316" w:type="dxa"/>
            <w:tcBorders>
              <w:right w:val="single" w:color="auto" w:sz="12" w:space="0"/>
            </w:tcBorders>
            <w:vAlign w:val="center"/>
          </w:tcPr>
          <w:p w14:paraId="62079831">
            <w:pPr>
              <w:pStyle w:val="15"/>
              <w:rPr>
                <w:rFonts w:ascii="宋体" w:hAnsi="宋体"/>
                <w:bCs/>
              </w:rPr>
            </w:pPr>
            <w:r>
              <w:rPr>
                <w:rFonts w:ascii="宋体" w:hAnsi="宋体"/>
                <w:bCs/>
              </w:rPr>
              <w:t>100</w:t>
            </w:r>
            <w:r>
              <w:rPr>
                <w:rFonts w:hint="eastAsia" w:ascii="宋体" w:hAnsi="宋体"/>
                <w:bCs/>
              </w:rPr>
              <w:t>%</w:t>
            </w:r>
          </w:p>
        </w:tc>
      </w:tr>
      <w:tr w14:paraId="6D99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5C2C345">
            <w:pPr>
              <w:pStyle w:val="15"/>
            </w:pPr>
            <w:r>
              <w:rPr>
                <w:rFonts w:hint="eastAsia"/>
              </w:rPr>
              <w:t>L</w:t>
            </w:r>
            <w:r>
              <w:t>02</w:t>
            </w:r>
          </w:p>
        </w:tc>
        <w:tc>
          <w:tcPr>
            <w:tcW w:w="775" w:type="dxa"/>
            <w:tcBorders>
              <w:left w:val="single" w:color="auto" w:sz="4" w:space="0"/>
            </w:tcBorders>
            <w:vAlign w:val="center"/>
          </w:tcPr>
          <w:p w14:paraId="4BCA33D0">
            <w:pPr>
              <w:pStyle w:val="15"/>
              <w:rPr>
                <w:rFonts w:cs="Times New Roman"/>
                <w:bCs/>
              </w:rPr>
            </w:pPr>
            <w:r>
              <w:rPr>
                <w:rFonts w:hint="eastAsia" w:asciiTheme="minorEastAsia" w:hAnsiTheme="minorEastAsia" w:eastAsiaTheme="minorEastAsia"/>
              </w:rPr>
              <w:t>②</w:t>
            </w:r>
          </w:p>
        </w:tc>
        <w:tc>
          <w:tcPr>
            <w:tcW w:w="775" w:type="dxa"/>
            <w:tcBorders>
              <w:right w:val="double" w:color="auto" w:sz="4" w:space="0"/>
            </w:tcBorders>
            <w:shd w:val="clear" w:color="auto" w:fill="auto"/>
            <w:vAlign w:val="center"/>
          </w:tcPr>
          <w:p w14:paraId="2732953F">
            <w:pPr>
              <w:pStyle w:val="15"/>
              <w:rPr>
                <w:rFonts w:ascii="宋体" w:hAnsi="宋体"/>
              </w:rPr>
            </w:pPr>
            <w:r>
              <w:rPr>
                <w:rFonts w:ascii="宋体" w:hAnsi="宋体"/>
              </w:rPr>
              <w:t>H</w:t>
            </w:r>
          </w:p>
        </w:tc>
        <w:tc>
          <w:tcPr>
            <w:tcW w:w="4651" w:type="dxa"/>
            <w:vAlign w:val="center"/>
          </w:tcPr>
          <w:p w14:paraId="067AA3D9">
            <w:pPr>
              <w:pStyle w:val="15"/>
              <w:rPr>
                <w:rFonts w:ascii="宋体" w:hAnsi="宋体"/>
                <w:bCs/>
              </w:rPr>
            </w:pPr>
            <w:r>
              <w:t>掌握基本的</w:t>
            </w:r>
            <w:r>
              <w:rPr>
                <w:rFonts w:hint="eastAsia"/>
              </w:rPr>
              <w:t>免疫学与病原微生物学知识。</w:t>
            </w:r>
          </w:p>
        </w:tc>
        <w:tc>
          <w:tcPr>
            <w:tcW w:w="1316" w:type="dxa"/>
            <w:tcBorders>
              <w:right w:val="single" w:color="auto" w:sz="12" w:space="0"/>
            </w:tcBorders>
            <w:vAlign w:val="center"/>
          </w:tcPr>
          <w:p w14:paraId="29EC698A">
            <w:pPr>
              <w:pStyle w:val="15"/>
              <w:rPr>
                <w:rFonts w:ascii="宋体" w:hAnsi="宋体"/>
                <w:bCs/>
              </w:rPr>
            </w:pPr>
            <w:r>
              <w:rPr>
                <w:rFonts w:ascii="宋体" w:hAnsi="宋体"/>
                <w:bCs/>
              </w:rPr>
              <w:t>100</w:t>
            </w:r>
            <w:r>
              <w:rPr>
                <w:rFonts w:hint="eastAsia" w:ascii="宋体" w:hAnsi="宋体"/>
                <w:bCs/>
              </w:rPr>
              <w:t>%</w:t>
            </w:r>
          </w:p>
        </w:tc>
      </w:tr>
      <w:tr w14:paraId="51D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220E51A9">
            <w:pPr>
              <w:pStyle w:val="15"/>
            </w:pPr>
          </w:p>
          <w:p w14:paraId="4818F6D6">
            <w:pPr>
              <w:pStyle w:val="15"/>
            </w:pPr>
            <w:r>
              <w:rPr>
                <w:rFonts w:hint="eastAsia"/>
              </w:rPr>
              <w:t>L</w:t>
            </w:r>
            <w:r>
              <w:t>04</w:t>
            </w:r>
          </w:p>
          <w:p w14:paraId="44549119">
            <w:pPr>
              <w:pStyle w:val="15"/>
            </w:pPr>
          </w:p>
        </w:tc>
        <w:tc>
          <w:tcPr>
            <w:tcW w:w="775" w:type="dxa"/>
            <w:tcBorders>
              <w:left w:val="single" w:color="auto" w:sz="4" w:space="0"/>
            </w:tcBorders>
          </w:tcPr>
          <w:p w14:paraId="7B4F4F5C">
            <w:pPr>
              <w:pStyle w:val="15"/>
              <w:rPr>
                <w:rFonts w:cs="Times New Roman"/>
                <w:bCs/>
              </w:rPr>
            </w:pPr>
            <w:r>
              <w:rPr>
                <w:rFonts w:hint="eastAsia" w:asciiTheme="minorEastAsia" w:hAnsiTheme="minorEastAsia" w:eastAsiaTheme="minorEastAsia"/>
              </w:rPr>
              <w:t>①</w:t>
            </w:r>
          </w:p>
        </w:tc>
        <w:tc>
          <w:tcPr>
            <w:tcW w:w="775" w:type="dxa"/>
            <w:tcBorders>
              <w:right w:val="double" w:color="auto" w:sz="4" w:space="0"/>
            </w:tcBorders>
            <w:shd w:val="clear" w:color="auto" w:fill="auto"/>
            <w:vAlign w:val="center"/>
          </w:tcPr>
          <w:p w14:paraId="2CA4701D">
            <w:pPr>
              <w:pStyle w:val="15"/>
              <w:rPr>
                <w:rFonts w:ascii="宋体" w:hAnsi="宋体"/>
              </w:rPr>
            </w:pPr>
            <w:r>
              <w:rPr>
                <w:rFonts w:ascii="宋体" w:hAnsi="宋体"/>
              </w:rPr>
              <w:t>H</w:t>
            </w:r>
          </w:p>
        </w:tc>
        <w:tc>
          <w:tcPr>
            <w:tcW w:w="4651" w:type="dxa"/>
            <w:vAlign w:val="center"/>
          </w:tcPr>
          <w:p w14:paraId="7E6D72C1">
            <w:pPr>
              <w:pStyle w:val="15"/>
              <w:rPr>
                <w:rFonts w:ascii="宋体" w:hAnsi="宋体"/>
                <w:bCs/>
              </w:rPr>
            </w:pPr>
            <w:r>
              <w:rPr>
                <w:rFonts w:hint="eastAsia" w:ascii="宋体" w:hAnsi="宋体"/>
                <w:bCs/>
              </w:rPr>
              <w:t>具有自主学习的能力</w:t>
            </w:r>
          </w:p>
        </w:tc>
        <w:tc>
          <w:tcPr>
            <w:tcW w:w="1316" w:type="dxa"/>
            <w:tcBorders>
              <w:right w:val="single" w:color="auto" w:sz="12" w:space="0"/>
            </w:tcBorders>
            <w:vAlign w:val="center"/>
          </w:tcPr>
          <w:p w14:paraId="47D858DD">
            <w:pPr>
              <w:pStyle w:val="15"/>
              <w:rPr>
                <w:rFonts w:ascii="宋体" w:hAnsi="宋体"/>
                <w:bCs/>
              </w:rPr>
            </w:pPr>
            <w:r>
              <w:rPr>
                <w:rFonts w:ascii="宋体" w:hAnsi="宋体"/>
                <w:bCs/>
              </w:rPr>
              <w:t>75</w:t>
            </w:r>
            <w:r>
              <w:rPr>
                <w:rFonts w:hint="eastAsia" w:ascii="宋体" w:hAnsi="宋体"/>
                <w:bCs/>
              </w:rPr>
              <w:t>%</w:t>
            </w:r>
          </w:p>
        </w:tc>
      </w:tr>
      <w:tr w14:paraId="5999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19"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3A4BF33E">
            <w:pPr>
              <w:pStyle w:val="15"/>
            </w:pPr>
          </w:p>
        </w:tc>
        <w:tc>
          <w:tcPr>
            <w:tcW w:w="775" w:type="dxa"/>
            <w:tcBorders>
              <w:left w:val="single" w:color="auto" w:sz="4" w:space="0"/>
              <w:bottom w:val="single" w:color="auto" w:sz="12" w:space="0"/>
            </w:tcBorders>
          </w:tcPr>
          <w:p w14:paraId="0EBF6F43">
            <w:pPr>
              <w:pStyle w:val="15"/>
              <w:rPr>
                <w:rFonts w:cs="Times New Roman"/>
                <w:bCs/>
              </w:rPr>
            </w:pPr>
            <w:r>
              <w:rPr>
                <w:rFonts w:hint="eastAsia" w:asciiTheme="minorEastAsia" w:hAnsiTheme="minorEastAsia" w:eastAsiaTheme="minorEastAsia"/>
              </w:rPr>
              <w:t>②</w:t>
            </w:r>
          </w:p>
        </w:tc>
        <w:tc>
          <w:tcPr>
            <w:tcW w:w="775" w:type="dxa"/>
            <w:tcBorders>
              <w:bottom w:val="single" w:color="auto" w:sz="12" w:space="0"/>
              <w:right w:val="double" w:color="auto" w:sz="4" w:space="0"/>
            </w:tcBorders>
            <w:shd w:val="clear" w:color="auto" w:fill="auto"/>
            <w:vAlign w:val="center"/>
          </w:tcPr>
          <w:p w14:paraId="611C19BB">
            <w:pPr>
              <w:pStyle w:val="15"/>
              <w:rPr>
                <w:rFonts w:ascii="宋体" w:hAnsi="宋体"/>
              </w:rPr>
            </w:pPr>
            <w:r>
              <w:rPr>
                <w:rFonts w:ascii="宋体" w:hAnsi="宋体"/>
              </w:rPr>
              <w:t>M</w:t>
            </w:r>
          </w:p>
        </w:tc>
        <w:tc>
          <w:tcPr>
            <w:tcW w:w="4651" w:type="dxa"/>
            <w:tcBorders>
              <w:bottom w:val="single" w:color="auto" w:sz="12" w:space="0"/>
            </w:tcBorders>
            <w:vAlign w:val="center"/>
          </w:tcPr>
          <w:p w14:paraId="0E140436">
            <w:pPr>
              <w:pStyle w:val="15"/>
              <w:jc w:val="both"/>
              <w:rPr>
                <w:rFonts w:ascii="宋体" w:hAnsi="宋体"/>
                <w:bCs/>
              </w:rPr>
            </w:pPr>
            <w:r>
              <w:rPr>
                <w:rFonts w:hint="eastAsia" w:ascii="宋体" w:hAnsi="宋体"/>
                <w:bCs/>
              </w:rPr>
              <w:t>能搜集、获取达到目标所需要的学习资源，实施学习计划、反思学习计划、持续改进，达到学习目标</w:t>
            </w:r>
          </w:p>
        </w:tc>
        <w:tc>
          <w:tcPr>
            <w:tcW w:w="1316" w:type="dxa"/>
            <w:tcBorders>
              <w:bottom w:val="single" w:color="auto" w:sz="12" w:space="0"/>
              <w:right w:val="single" w:color="auto" w:sz="12" w:space="0"/>
            </w:tcBorders>
            <w:vAlign w:val="center"/>
          </w:tcPr>
          <w:p w14:paraId="30F246F6">
            <w:pPr>
              <w:pStyle w:val="15"/>
              <w:rPr>
                <w:rFonts w:ascii="宋体" w:hAnsi="宋体"/>
                <w:bCs/>
              </w:rPr>
            </w:pPr>
            <w:r>
              <w:rPr>
                <w:rFonts w:hint="eastAsia" w:ascii="宋体" w:hAnsi="宋体"/>
                <w:bCs/>
              </w:rPr>
              <w:t>2</w:t>
            </w:r>
            <w:r>
              <w:rPr>
                <w:rFonts w:ascii="宋体" w:hAnsi="宋体"/>
                <w:bCs/>
              </w:rPr>
              <w:t>5</w:t>
            </w:r>
            <w:r>
              <w:rPr>
                <w:rFonts w:hint="eastAsia" w:ascii="宋体" w:hAnsi="宋体"/>
                <w:bCs/>
              </w:rPr>
              <w:t>%</w:t>
            </w:r>
          </w:p>
        </w:tc>
      </w:tr>
    </w:tbl>
    <w:p w14:paraId="26C79895">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18"/>
        <w:spacing w:before="81" w:after="163"/>
      </w:pPr>
      <w:r>
        <w:rPr>
          <w:rFonts w:hint="eastAsia"/>
        </w:rPr>
        <w:t>（一）各教学单元预期学习成果与教学内容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3"/>
        <w:gridCol w:w="678"/>
        <w:gridCol w:w="1276"/>
        <w:gridCol w:w="2265"/>
        <w:gridCol w:w="1737"/>
        <w:gridCol w:w="1737"/>
      </w:tblGrid>
      <w:tr w14:paraId="7827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583" w:type="dxa"/>
            <w:tcBorders>
              <w:top w:val="single" w:color="auto" w:sz="12" w:space="0"/>
              <w:left w:val="single" w:color="auto" w:sz="12" w:space="0"/>
              <w:right w:val="single" w:color="auto" w:sz="4" w:space="0"/>
            </w:tcBorders>
          </w:tcPr>
          <w:p w14:paraId="20BE228A">
            <w:pPr>
              <w:pStyle w:val="18"/>
              <w:widowControl w:val="0"/>
              <w:spacing w:before="81" w:after="163"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678" w:type="dxa"/>
            <w:tcBorders>
              <w:top w:val="single" w:color="auto" w:sz="12" w:space="0"/>
              <w:left w:val="single" w:color="auto" w:sz="4" w:space="0"/>
            </w:tcBorders>
          </w:tcPr>
          <w:p w14:paraId="010354A9">
            <w:pPr>
              <w:pStyle w:val="18"/>
              <w:widowControl w:val="0"/>
              <w:spacing w:before="81" w:after="163"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单元名称</w:t>
            </w:r>
          </w:p>
        </w:tc>
        <w:tc>
          <w:tcPr>
            <w:tcW w:w="1276" w:type="dxa"/>
            <w:tcBorders>
              <w:top w:val="single" w:color="auto" w:sz="12" w:space="0"/>
            </w:tcBorders>
          </w:tcPr>
          <w:p w14:paraId="77D38C97">
            <w:pPr>
              <w:pStyle w:val="18"/>
              <w:widowControl w:val="0"/>
              <w:spacing w:before="81" w:after="163"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预期学习成果</w:t>
            </w:r>
          </w:p>
        </w:tc>
        <w:tc>
          <w:tcPr>
            <w:tcW w:w="2265" w:type="dxa"/>
            <w:tcBorders>
              <w:top w:val="single" w:color="auto" w:sz="12" w:space="0"/>
              <w:right w:val="single" w:color="auto" w:sz="4" w:space="0"/>
            </w:tcBorders>
          </w:tcPr>
          <w:p w14:paraId="09C57BB7">
            <w:pPr>
              <w:pStyle w:val="18"/>
              <w:widowControl w:val="0"/>
              <w:spacing w:before="81" w:after="163"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核心知识点</w:t>
            </w:r>
          </w:p>
        </w:tc>
        <w:tc>
          <w:tcPr>
            <w:tcW w:w="1737" w:type="dxa"/>
            <w:tcBorders>
              <w:top w:val="single" w:color="auto" w:sz="12" w:space="0"/>
              <w:left w:val="single" w:color="auto" w:sz="4" w:space="0"/>
              <w:right w:val="single" w:color="auto" w:sz="4" w:space="0"/>
            </w:tcBorders>
          </w:tcPr>
          <w:p w14:paraId="0AEBB91E">
            <w:pPr>
              <w:pStyle w:val="18"/>
              <w:widowControl w:val="0"/>
              <w:spacing w:before="81" w:after="163"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能力目标</w:t>
            </w:r>
          </w:p>
        </w:tc>
        <w:tc>
          <w:tcPr>
            <w:tcW w:w="1737" w:type="dxa"/>
            <w:tcBorders>
              <w:top w:val="single" w:color="auto" w:sz="12" w:space="0"/>
              <w:left w:val="single" w:color="auto" w:sz="4" w:space="0"/>
              <w:right w:val="single" w:color="auto" w:sz="12" w:space="0"/>
            </w:tcBorders>
          </w:tcPr>
          <w:p w14:paraId="6E951186">
            <w:pPr>
              <w:pStyle w:val="18"/>
              <w:widowControl w:val="0"/>
              <w:spacing w:before="81" w:after="163"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教学难点</w:t>
            </w:r>
          </w:p>
        </w:tc>
      </w:tr>
      <w:tr w14:paraId="08F84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5E8B7024">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1</w:t>
            </w:r>
          </w:p>
        </w:tc>
        <w:tc>
          <w:tcPr>
            <w:tcW w:w="678" w:type="dxa"/>
            <w:tcBorders>
              <w:left w:val="single" w:color="auto" w:sz="4" w:space="0"/>
            </w:tcBorders>
          </w:tcPr>
          <w:p w14:paraId="7082476A">
            <w:pPr>
              <w:widowControl w:val="0"/>
              <w:snapToGrid w:val="0"/>
              <w:spacing w:line="300" w:lineRule="exact"/>
              <w:jc w:val="center"/>
              <w:rPr>
                <w:sz w:val="21"/>
                <w:szCs w:val="21"/>
              </w:rPr>
            </w:pPr>
            <w:r>
              <w:rPr>
                <w:rFonts w:hint="eastAsia"/>
                <w:sz w:val="21"/>
                <w:szCs w:val="21"/>
              </w:rPr>
              <w:t>免疫器官与免疫细胞</w:t>
            </w:r>
          </w:p>
          <w:p w14:paraId="2932EA93">
            <w:pPr>
              <w:pStyle w:val="18"/>
              <w:widowControl w:val="0"/>
              <w:spacing w:before="81" w:after="163" w:line="300" w:lineRule="exact"/>
              <w:jc w:val="both"/>
              <w:rPr>
                <w:rFonts w:ascii="宋体" w:hAnsi="宋体"/>
                <w:b w:val="0"/>
                <w:sz w:val="21"/>
                <w:szCs w:val="21"/>
              </w:rPr>
            </w:pPr>
          </w:p>
        </w:tc>
        <w:tc>
          <w:tcPr>
            <w:tcW w:w="1276" w:type="dxa"/>
          </w:tcPr>
          <w:p w14:paraId="74A73036">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4CF18340">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6844FCFF">
            <w:pPr>
              <w:widowControl w:val="0"/>
              <w:snapToGrid w:val="0"/>
              <w:spacing w:line="300" w:lineRule="exact"/>
              <w:jc w:val="both"/>
              <w:rPr>
                <w:sz w:val="21"/>
                <w:szCs w:val="21"/>
              </w:rPr>
            </w:pPr>
            <w:r>
              <w:rPr>
                <w:rFonts w:hint="eastAsia"/>
                <w:sz w:val="21"/>
                <w:szCs w:val="21"/>
              </w:rPr>
              <w:t>L</w:t>
            </w:r>
            <w:r>
              <w:rPr>
                <w:sz w:val="21"/>
                <w:szCs w:val="21"/>
              </w:rPr>
              <w:t>04</w:t>
            </w:r>
            <w:r>
              <w:rPr>
                <w:rFonts w:hint="eastAsia"/>
                <w:sz w:val="21"/>
                <w:szCs w:val="21"/>
              </w:rPr>
              <w:t>①、</w:t>
            </w:r>
          </w:p>
          <w:p w14:paraId="215DDE73">
            <w:pPr>
              <w:widowControl w:val="0"/>
              <w:snapToGrid w:val="0"/>
              <w:spacing w:line="300" w:lineRule="exact"/>
              <w:jc w:val="both"/>
              <w:rPr>
                <w:b/>
                <w:bCs/>
                <w:sz w:val="21"/>
                <w:szCs w:val="21"/>
              </w:rPr>
            </w:pPr>
            <w:r>
              <w:rPr>
                <w:rFonts w:hint="eastAsia"/>
                <w:sz w:val="21"/>
                <w:szCs w:val="21"/>
              </w:rPr>
              <w:t>L</w:t>
            </w:r>
            <w:r>
              <w:rPr>
                <w:sz w:val="21"/>
                <w:szCs w:val="21"/>
              </w:rPr>
              <w:t>04</w:t>
            </w:r>
            <w:r>
              <w:rPr>
                <w:rFonts w:hint="eastAsia"/>
                <w:sz w:val="21"/>
                <w:szCs w:val="21"/>
              </w:rPr>
              <w:t>②</w:t>
            </w:r>
          </w:p>
        </w:tc>
        <w:tc>
          <w:tcPr>
            <w:tcW w:w="2265" w:type="dxa"/>
            <w:tcBorders>
              <w:right w:val="single" w:color="auto" w:sz="4" w:space="0"/>
            </w:tcBorders>
          </w:tcPr>
          <w:p w14:paraId="7AB2C2D4">
            <w:pPr>
              <w:widowControl w:val="0"/>
              <w:snapToGrid w:val="0"/>
              <w:spacing w:line="300" w:lineRule="exact"/>
              <w:jc w:val="both"/>
              <w:rPr>
                <w:sz w:val="21"/>
                <w:szCs w:val="21"/>
              </w:rPr>
            </w:pPr>
            <w:r>
              <w:rPr>
                <w:rFonts w:hint="eastAsia"/>
                <w:sz w:val="21"/>
                <w:szCs w:val="21"/>
              </w:rPr>
              <w:t>1.知道免疫的概念及免疫的主要功能。</w:t>
            </w:r>
          </w:p>
          <w:p w14:paraId="36E92764">
            <w:pPr>
              <w:widowControl w:val="0"/>
              <w:snapToGrid w:val="0"/>
              <w:spacing w:line="300" w:lineRule="exact"/>
              <w:jc w:val="both"/>
              <w:rPr>
                <w:sz w:val="21"/>
                <w:szCs w:val="21"/>
              </w:rPr>
            </w:pPr>
            <w:r>
              <w:rPr>
                <w:rFonts w:hint="eastAsia"/>
                <w:sz w:val="21"/>
                <w:szCs w:val="21"/>
              </w:rPr>
              <w:t>2.理解免疫系统的基本组成与主要功能。</w:t>
            </w:r>
          </w:p>
          <w:p w14:paraId="292B9B79">
            <w:pPr>
              <w:widowControl w:val="0"/>
              <w:snapToGrid w:val="0"/>
              <w:spacing w:line="300" w:lineRule="exact"/>
              <w:jc w:val="left"/>
              <w:rPr>
                <w:sz w:val="21"/>
                <w:szCs w:val="21"/>
              </w:rPr>
            </w:pPr>
            <w:r>
              <w:rPr>
                <w:rFonts w:hint="eastAsia"/>
                <w:sz w:val="21"/>
                <w:szCs w:val="21"/>
              </w:rPr>
              <w:t>3.理解免疫学的形成与发展。</w:t>
            </w:r>
          </w:p>
        </w:tc>
        <w:tc>
          <w:tcPr>
            <w:tcW w:w="1737" w:type="dxa"/>
            <w:tcBorders>
              <w:left w:val="single" w:color="auto" w:sz="4" w:space="0"/>
              <w:right w:val="single" w:color="auto" w:sz="4" w:space="0"/>
            </w:tcBorders>
          </w:tcPr>
          <w:p w14:paraId="6C275BC5">
            <w:pPr>
              <w:widowControl w:val="0"/>
              <w:snapToGrid w:val="0"/>
              <w:spacing w:line="300" w:lineRule="exact"/>
              <w:jc w:val="both"/>
              <w:rPr>
                <w:sz w:val="21"/>
                <w:szCs w:val="21"/>
              </w:rPr>
            </w:pPr>
            <w:r>
              <w:rPr>
                <w:rFonts w:hint="eastAsia"/>
                <w:sz w:val="21"/>
                <w:szCs w:val="21"/>
              </w:rPr>
              <w:t>1.能说出免疫的概念及免疫的主要功能。</w:t>
            </w:r>
          </w:p>
          <w:p w14:paraId="3CF88004">
            <w:pPr>
              <w:widowControl w:val="0"/>
              <w:snapToGrid w:val="0"/>
              <w:spacing w:line="300" w:lineRule="exact"/>
              <w:jc w:val="both"/>
              <w:rPr>
                <w:sz w:val="21"/>
                <w:szCs w:val="21"/>
              </w:rPr>
            </w:pPr>
            <w:r>
              <w:rPr>
                <w:rFonts w:hint="eastAsia"/>
                <w:sz w:val="21"/>
                <w:szCs w:val="21"/>
              </w:rPr>
              <w:t>2.能阐述免疫系统的基本组成与主要功能。</w:t>
            </w:r>
          </w:p>
          <w:p w14:paraId="1FFF5915">
            <w:pPr>
              <w:widowControl w:val="0"/>
              <w:snapToGrid w:val="0"/>
              <w:spacing w:line="300" w:lineRule="exact"/>
              <w:jc w:val="left"/>
              <w:rPr>
                <w:sz w:val="21"/>
                <w:szCs w:val="21"/>
              </w:rPr>
            </w:pPr>
            <w:r>
              <w:rPr>
                <w:rFonts w:hint="eastAsia"/>
                <w:sz w:val="21"/>
                <w:szCs w:val="21"/>
              </w:rPr>
              <w:t>3.能阐述免疫学的形成与发展。</w:t>
            </w:r>
          </w:p>
        </w:tc>
        <w:tc>
          <w:tcPr>
            <w:tcW w:w="1737" w:type="dxa"/>
            <w:tcBorders>
              <w:left w:val="single" w:color="auto" w:sz="4" w:space="0"/>
              <w:right w:val="single" w:color="auto" w:sz="12" w:space="0"/>
            </w:tcBorders>
          </w:tcPr>
          <w:p w14:paraId="6B94D15F">
            <w:pPr>
              <w:widowControl w:val="0"/>
              <w:snapToGrid w:val="0"/>
              <w:spacing w:line="300" w:lineRule="exact"/>
              <w:jc w:val="both"/>
              <w:rPr>
                <w:sz w:val="21"/>
                <w:szCs w:val="21"/>
              </w:rPr>
            </w:pPr>
            <w:r>
              <w:rPr>
                <w:rFonts w:hint="eastAsia"/>
                <w:sz w:val="21"/>
                <w:szCs w:val="21"/>
              </w:rPr>
              <w:t>免疫系统的基本组成与主要功能。</w:t>
            </w:r>
          </w:p>
        </w:tc>
      </w:tr>
      <w:tr w14:paraId="68A6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6737709D">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2</w:t>
            </w:r>
          </w:p>
        </w:tc>
        <w:tc>
          <w:tcPr>
            <w:tcW w:w="678" w:type="dxa"/>
            <w:tcBorders>
              <w:left w:val="single" w:color="auto" w:sz="4" w:space="0"/>
            </w:tcBorders>
          </w:tcPr>
          <w:p w14:paraId="7A097FE7">
            <w:pPr>
              <w:widowControl w:val="0"/>
              <w:snapToGrid w:val="0"/>
              <w:spacing w:line="300" w:lineRule="exact"/>
              <w:jc w:val="center"/>
              <w:rPr>
                <w:sz w:val="21"/>
                <w:szCs w:val="21"/>
              </w:rPr>
            </w:pPr>
            <w:r>
              <w:rPr>
                <w:rFonts w:hint="eastAsia"/>
                <w:sz w:val="21"/>
                <w:szCs w:val="21"/>
              </w:rPr>
              <w:t>抗原与免疫分子</w:t>
            </w:r>
          </w:p>
          <w:p w14:paraId="37910ED6">
            <w:pPr>
              <w:pStyle w:val="18"/>
              <w:widowControl w:val="0"/>
              <w:spacing w:before="81" w:after="163" w:line="300" w:lineRule="exact"/>
              <w:jc w:val="both"/>
              <w:rPr>
                <w:rFonts w:ascii="宋体" w:hAnsi="宋体"/>
                <w:b w:val="0"/>
                <w:sz w:val="21"/>
                <w:szCs w:val="21"/>
              </w:rPr>
            </w:pPr>
          </w:p>
        </w:tc>
        <w:tc>
          <w:tcPr>
            <w:tcW w:w="1276" w:type="dxa"/>
          </w:tcPr>
          <w:p w14:paraId="52F4D035">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14E45FD1">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52F2EEB3">
            <w:pPr>
              <w:widowControl w:val="0"/>
              <w:snapToGrid w:val="0"/>
              <w:spacing w:line="300" w:lineRule="exact"/>
              <w:jc w:val="both"/>
              <w:rPr>
                <w:b/>
                <w:sz w:val="21"/>
                <w:szCs w:val="21"/>
              </w:rPr>
            </w:pPr>
            <w:r>
              <w:rPr>
                <w:rFonts w:hint="eastAsia"/>
                <w:sz w:val="21"/>
                <w:szCs w:val="21"/>
              </w:rPr>
              <w:t>L</w:t>
            </w:r>
            <w:r>
              <w:rPr>
                <w:sz w:val="21"/>
                <w:szCs w:val="21"/>
              </w:rPr>
              <w:t>04</w:t>
            </w:r>
            <w:r>
              <w:rPr>
                <w:rFonts w:hint="eastAsia"/>
                <w:sz w:val="21"/>
                <w:szCs w:val="21"/>
              </w:rPr>
              <w:t>①、L</w:t>
            </w:r>
            <w:r>
              <w:rPr>
                <w:sz w:val="21"/>
                <w:szCs w:val="21"/>
              </w:rPr>
              <w:t>04</w:t>
            </w:r>
            <w:r>
              <w:rPr>
                <w:rFonts w:hint="eastAsia"/>
                <w:sz w:val="21"/>
                <w:szCs w:val="21"/>
              </w:rPr>
              <w:t>②</w:t>
            </w:r>
          </w:p>
        </w:tc>
        <w:tc>
          <w:tcPr>
            <w:tcW w:w="2265" w:type="dxa"/>
            <w:tcBorders>
              <w:right w:val="single" w:color="auto" w:sz="4" w:space="0"/>
            </w:tcBorders>
          </w:tcPr>
          <w:p w14:paraId="4E350CE8">
            <w:pPr>
              <w:widowControl w:val="0"/>
              <w:snapToGrid w:val="0"/>
              <w:spacing w:line="300" w:lineRule="exact"/>
              <w:jc w:val="both"/>
              <w:rPr>
                <w:sz w:val="21"/>
                <w:szCs w:val="21"/>
              </w:rPr>
            </w:pPr>
            <w:r>
              <w:rPr>
                <w:rFonts w:hint="eastAsia"/>
                <w:sz w:val="21"/>
                <w:szCs w:val="21"/>
              </w:rPr>
              <w:t>1.理解抗原的概念、基本性能。</w:t>
            </w:r>
          </w:p>
          <w:p w14:paraId="643CEDD5">
            <w:pPr>
              <w:widowControl w:val="0"/>
              <w:snapToGrid w:val="0"/>
              <w:spacing w:line="300" w:lineRule="exact"/>
              <w:jc w:val="both"/>
              <w:rPr>
                <w:sz w:val="21"/>
                <w:szCs w:val="21"/>
              </w:rPr>
            </w:pPr>
            <w:r>
              <w:rPr>
                <w:rFonts w:hint="eastAsia"/>
                <w:sz w:val="21"/>
                <w:szCs w:val="21"/>
              </w:rPr>
              <w:t>2.分析抗原的免疫原性的形成基础。</w:t>
            </w:r>
          </w:p>
          <w:p w14:paraId="107CE99C">
            <w:pPr>
              <w:widowControl w:val="0"/>
              <w:snapToGrid w:val="0"/>
              <w:spacing w:line="300" w:lineRule="exact"/>
              <w:jc w:val="both"/>
              <w:rPr>
                <w:sz w:val="21"/>
                <w:szCs w:val="21"/>
              </w:rPr>
            </w:pPr>
            <w:r>
              <w:rPr>
                <w:rFonts w:hint="eastAsia"/>
                <w:sz w:val="21"/>
                <w:szCs w:val="21"/>
              </w:rPr>
              <w:t>3.知道抗原的主要分类方法及医学上的重要抗原物质。</w:t>
            </w:r>
          </w:p>
          <w:p w14:paraId="231AC85C">
            <w:pPr>
              <w:widowControl w:val="0"/>
              <w:snapToGrid w:val="0"/>
              <w:spacing w:line="300" w:lineRule="exact"/>
              <w:jc w:val="both"/>
              <w:rPr>
                <w:sz w:val="21"/>
                <w:szCs w:val="21"/>
              </w:rPr>
            </w:pPr>
            <w:r>
              <w:rPr>
                <w:rFonts w:hint="eastAsia"/>
                <w:sz w:val="21"/>
                <w:szCs w:val="21"/>
              </w:rPr>
              <w:t>4.知道免疫球蛋白、补体系统、MHC及MHC分子的的基本概念。</w:t>
            </w:r>
          </w:p>
          <w:p w14:paraId="55853E39">
            <w:pPr>
              <w:widowControl w:val="0"/>
              <w:snapToGrid w:val="0"/>
              <w:spacing w:line="300" w:lineRule="exact"/>
              <w:jc w:val="both"/>
              <w:rPr>
                <w:sz w:val="21"/>
                <w:szCs w:val="21"/>
              </w:rPr>
            </w:pPr>
            <w:r>
              <w:rPr>
                <w:rFonts w:hint="eastAsia"/>
                <w:sz w:val="21"/>
                <w:szCs w:val="21"/>
              </w:rPr>
              <w:t>5.知道免疫球蛋白的基本结构。</w:t>
            </w:r>
          </w:p>
          <w:p w14:paraId="73B0F183">
            <w:pPr>
              <w:widowControl w:val="0"/>
              <w:snapToGrid w:val="0"/>
              <w:spacing w:line="300" w:lineRule="exact"/>
              <w:jc w:val="both"/>
              <w:rPr>
                <w:sz w:val="21"/>
                <w:szCs w:val="21"/>
              </w:rPr>
            </w:pPr>
            <w:r>
              <w:rPr>
                <w:rFonts w:hint="eastAsia"/>
                <w:sz w:val="21"/>
                <w:szCs w:val="21"/>
              </w:rPr>
              <w:t>6.理解免疫球蛋白的生物学活性及主要生物学功能。</w:t>
            </w:r>
          </w:p>
          <w:p w14:paraId="662E2280">
            <w:pPr>
              <w:widowControl w:val="0"/>
              <w:snapToGrid w:val="0"/>
              <w:spacing w:line="300" w:lineRule="exact"/>
              <w:jc w:val="both"/>
              <w:rPr>
                <w:sz w:val="21"/>
                <w:szCs w:val="21"/>
              </w:rPr>
            </w:pPr>
            <w:r>
              <w:rPr>
                <w:rFonts w:hint="eastAsia"/>
                <w:sz w:val="21"/>
                <w:szCs w:val="21"/>
              </w:rPr>
              <w:t>7.知道各类免疫球蛋白的生物学活性与特点。</w:t>
            </w:r>
          </w:p>
          <w:p w14:paraId="4CBC2364">
            <w:pPr>
              <w:widowControl w:val="0"/>
              <w:snapToGrid w:val="0"/>
              <w:spacing w:line="300" w:lineRule="exact"/>
              <w:jc w:val="left"/>
              <w:rPr>
                <w:sz w:val="21"/>
                <w:szCs w:val="21"/>
              </w:rPr>
            </w:pPr>
          </w:p>
        </w:tc>
        <w:tc>
          <w:tcPr>
            <w:tcW w:w="1737" w:type="dxa"/>
            <w:tcBorders>
              <w:left w:val="single" w:color="auto" w:sz="4" w:space="0"/>
              <w:right w:val="single" w:color="auto" w:sz="4" w:space="0"/>
            </w:tcBorders>
          </w:tcPr>
          <w:p w14:paraId="4BFDEBEE">
            <w:pPr>
              <w:widowControl w:val="0"/>
              <w:snapToGrid w:val="0"/>
              <w:spacing w:line="300" w:lineRule="exact"/>
              <w:jc w:val="both"/>
              <w:rPr>
                <w:sz w:val="21"/>
                <w:szCs w:val="21"/>
              </w:rPr>
            </w:pPr>
            <w:r>
              <w:rPr>
                <w:rFonts w:hint="eastAsia"/>
                <w:sz w:val="21"/>
                <w:szCs w:val="21"/>
              </w:rPr>
              <w:t>1.能阐述抗原的概念、基本性能。</w:t>
            </w:r>
          </w:p>
          <w:p w14:paraId="6750F235">
            <w:pPr>
              <w:widowControl w:val="0"/>
              <w:snapToGrid w:val="0"/>
              <w:spacing w:line="300" w:lineRule="exact"/>
              <w:jc w:val="both"/>
              <w:rPr>
                <w:sz w:val="21"/>
                <w:szCs w:val="21"/>
              </w:rPr>
            </w:pPr>
            <w:r>
              <w:rPr>
                <w:rFonts w:hint="eastAsia"/>
                <w:sz w:val="21"/>
                <w:szCs w:val="21"/>
              </w:rPr>
              <w:t>2.能分析抗原的免疫原性的形成基础。</w:t>
            </w:r>
          </w:p>
          <w:p w14:paraId="2768D8E9">
            <w:pPr>
              <w:widowControl w:val="0"/>
              <w:snapToGrid w:val="0"/>
              <w:spacing w:line="300" w:lineRule="exact"/>
              <w:jc w:val="both"/>
              <w:rPr>
                <w:sz w:val="21"/>
                <w:szCs w:val="21"/>
              </w:rPr>
            </w:pPr>
            <w:r>
              <w:rPr>
                <w:rFonts w:hint="eastAsia"/>
                <w:sz w:val="21"/>
                <w:szCs w:val="21"/>
              </w:rPr>
              <w:t>3.能说出抗原的主要分类方法及医学上的重要抗原物质。</w:t>
            </w:r>
          </w:p>
          <w:p w14:paraId="7C562D92">
            <w:pPr>
              <w:widowControl w:val="0"/>
              <w:snapToGrid w:val="0"/>
              <w:spacing w:line="300" w:lineRule="exact"/>
              <w:jc w:val="both"/>
              <w:rPr>
                <w:sz w:val="21"/>
                <w:szCs w:val="21"/>
              </w:rPr>
            </w:pPr>
            <w:r>
              <w:rPr>
                <w:rFonts w:hint="eastAsia"/>
                <w:sz w:val="21"/>
                <w:szCs w:val="21"/>
              </w:rPr>
              <w:t>4.能说出免疫球蛋白、补体系统、MHC及MHC分子的的基本概念。</w:t>
            </w:r>
          </w:p>
          <w:p w14:paraId="111F2C75">
            <w:pPr>
              <w:widowControl w:val="0"/>
              <w:snapToGrid w:val="0"/>
              <w:spacing w:line="300" w:lineRule="exact"/>
              <w:jc w:val="both"/>
              <w:rPr>
                <w:sz w:val="21"/>
                <w:szCs w:val="21"/>
              </w:rPr>
            </w:pPr>
            <w:r>
              <w:rPr>
                <w:rFonts w:hint="eastAsia"/>
                <w:sz w:val="21"/>
                <w:szCs w:val="21"/>
              </w:rPr>
              <w:t>5.能说出免疫球蛋白的基本结构。</w:t>
            </w:r>
          </w:p>
          <w:p w14:paraId="73F94610">
            <w:pPr>
              <w:widowControl w:val="0"/>
              <w:snapToGrid w:val="0"/>
              <w:spacing w:line="300" w:lineRule="exact"/>
              <w:jc w:val="both"/>
              <w:rPr>
                <w:sz w:val="21"/>
                <w:szCs w:val="21"/>
              </w:rPr>
            </w:pPr>
            <w:r>
              <w:rPr>
                <w:rFonts w:hint="eastAsia"/>
                <w:sz w:val="21"/>
                <w:szCs w:val="21"/>
              </w:rPr>
              <w:t>6.能阐述免疫球蛋白的生物学活性及主要生物学功能。</w:t>
            </w:r>
          </w:p>
          <w:p w14:paraId="3D01D18B">
            <w:pPr>
              <w:widowControl w:val="0"/>
              <w:snapToGrid w:val="0"/>
              <w:spacing w:line="300" w:lineRule="exact"/>
              <w:jc w:val="both"/>
              <w:rPr>
                <w:sz w:val="21"/>
                <w:szCs w:val="21"/>
              </w:rPr>
            </w:pPr>
            <w:r>
              <w:rPr>
                <w:rFonts w:hint="eastAsia"/>
                <w:sz w:val="21"/>
                <w:szCs w:val="21"/>
              </w:rPr>
              <w:t>7.能说出各类免疫球蛋白的生物学活性与特点。</w:t>
            </w:r>
          </w:p>
          <w:p w14:paraId="58C6EA9D">
            <w:pPr>
              <w:widowControl w:val="0"/>
              <w:spacing w:line="300" w:lineRule="exact"/>
              <w:jc w:val="both"/>
              <w:rPr>
                <w:sz w:val="21"/>
                <w:szCs w:val="21"/>
              </w:rPr>
            </w:pPr>
          </w:p>
        </w:tc>
        <w:tc>
          <w:tcPr>
            <w:tcW w:w="1737" w:type="dxa"/>
            <w:tcBorders>
              <w:left w:val="single" w:color="auto" w:sz="4" w:space="0"/>
              <w:right w:val="single" w:color="auto" w:sz="12" w:space="0"/>
            </w:tcBorders>
          </w:tcPr>
          <w:p w14:paraId="17F90866">
            <w:pPr>
              <w:widowControl w:val="0"/>
              <w:snapToGrid w:val="0"/>
              <w:spacing w:line="300" w:lineRule="exact"/>
              <w:jc w:val="both"/>
              <w:rPr>
                <w:sz w:val="21"/>
                <w:szCs w:val="21"/>
              </w:rPr>
            </w:pPr>
            <w:r>
              <w:rPr>
                <w:rFonts w:hint="eastAsia"/>
                <w:sz w:val="21"/>
                <w:szCs w:val="21"/>
              </w:rPr>
              <w:t>1.抗原的免疫原性的形成基础。</w:t>
            </w:r>
          </w:p>
          <w:p w14:paraId="47C3F311">
            <w:pPr>
              <w:widowControl w:val="0"/>
              <w:snapToGrid w:val="0"/>
              <w:spacing w:line="300" w:lineRule="exact"/>
              <w:jc w:val="both"/>
              <w:rPr>
                <w:sz w:val="21"/>
                <w:szCs w:val="21"/>
              </w:rPr>
            </w:pPr>
            <w:r>
              <w:rPr>
                <w:rFonts w:hint="eastAsia"/>
                <w:sz w:val="21"/>
                <w:szCs w:val="21"/>
              </w:rPr>
              <w:t>2.抗原的主要分类方法及医学上的重要抗原物质。</w:t>
            </w:r>
          </w:p>
          <w:p w14:paraId="4350ADFD">
            <w:pPr>
              <w:widowControl w:val="0"/>
              <w:snapToGrid w:val="0"/>
              <w:spacing w:line="300" w:lineRule="exact"/>
              <w:jc w:val="both"/>
              <w:rPr>
                <w:sz w:val="21"/>
                <w:szCs w:val="21"/>
              </w:rPr>
            </w:pPr>
            <w:r>
              <w:rPr>
                <w:rFonts w:hint="eastAsia"/>
                <w:sz w:val="21"/>
                <w:szCs w:val="21"/>
              </w:rPr>
              <w:t>3.免疫球蛋白的生物学活性及主要生物学功能。</w:t>
            </w:r>
          </w:p>
          <w:p w14:paraId="40966BC8">
            <w:pPr>
              <w:widowControl w:val="0"/>
              <w:spacing w:line="300" w:lineRule="exact"/>
              <w:jc w:val="both"/>
              <w:rPr>
                <w:sz w:val="21"/>
                <w:szCs w:val="21"/>
              </w:rPr>
            </w:pPr>
            <w:r>
              <w:rPr>
                <w:rFonts w:hint="eastAsia"/>
                <w:sz w:val="21"/>
                <w:szCs w:val="21"/>
              </w:rPr>
              <w:t>4.补体系统的替代激活途径及MBL激活途径。</w:t>
            </w:r>
          </w:p>
        </w:tc>
      </w:tr>
      <w:tr w14:paraId="1CD31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684BF6FB">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3</w:t>
            </w:r>
          </w:p>
        </w:tc>
        <w:tc>
          <w:tcPr>
            <w:tcW w:w="678" w:type="dxa"/>
            <w:tcBorders>
              <w:left w:val="single" w:color="auto" w:sz="4" w:space="0"/>
            </w:tcBorders>
          </w:tcPr>
          <w:p w14:paraId="58D8B869">
            <w:pPr>
              <w:widowControl w:val="0"/>
              <w:spacing w:line="300" w:lineRule="exact"/>
              <w:jc w:val="both"/>
              <w:rPr>
                <w:b/>
                <w:sz w:val="21"/>
                <w:szCs w:val="21"/>
              </w:rPr>
            </w:pPr>
            <w:r>
              <w:rPr>
                <w:rFonts w:hint="eastAsia"/>
                <w:sz w:val="21"/>
                <w:szCs w:val="21"/>
              </w:rPr>
              <w:t>补体、M</w:t>
            </w:r>
            <w:r>
              <w:rPr>
                <w:sz w:val="21"/>
                <w:szCs w:val="21"/>
              </w:rPr>
              <w:t>HC</w:t>
            </w:r>
          </w:p>
        </w:tc>
        <w:tc>
          <w:tcPr>
            <w:tcW w:w="1276" w:type="dxa"/>
          </w:tcPr>
          <w:p w14:paraId="652C0B42">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65B8D098">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0D278B5C">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L</w:t>
            </w:r>
            <w:r>
              <w:rPr>
                <w:rFonts w:ascii="宋体" w:hAnsi="宋体"/>
                <w:b w:val="0"/>
                <w:sz w:val="21"/>
                <w:szCs w:val="21"/>
              </w:rPr>
              <w:t>04</w:t>
            </w:r>
            <w:r>
              <w:rPr>
                <w:rFonts w:hint="eastAsia" w:ascii="宋体" w:hAnsi="宋体"/>
                <w:b w:val="0"/>
                <w:sz w:val="21"/>
                <w:szCs w:val="21"/>
              </w:rPr>
              <w:t>①、</w:t>
            </w:r>
            <w:r>
              <w:rPr>
                <w:rFonts w:hint="eastAsia" w:ascii="宋体" w:hAnsi="宋体"/>
                <w:b w:val="0"/>
                <w:bCs/>
                <w:sz w:val="21"/>
                <w:szCs w:val="21"/>
              </w:rPr>
              <w:t>L</w:t>
            </w:r>
            <w:r>
              <w:rPr>
                <w:rFonts w:ascii="宋体" w:hAnsi="宋体"/>
                <w:b w:val="0"/>
                <w:bCs/>
                <w:sz w:val="21"/>
                <w:szCs w:val="21"/>
              </w:rPr>
              <w:t>04</w:t>
            </w:r>
            <w:r>
              <w:rPr>
                <w:rFonts w:hint="eastAsia" w:ascii="宋体" w:hAnsi="宋体"/>
                <w:b w:val="0"/>
                <w:bCs/>
                <w:sz w:val="21"/>
                <w:szCs w:val="21"/>
              </w:rPr>
              <w:t>②</w:t>
            </w:r>
          </w:p>
        </w:tc>
        <w:tc>
          <w:tcPr>
            <w:tcW w:w="2265" w:type="dxa"/>
            <w:tcBorders>
              <w:right w:val="single" w:color="auto" w:sz="4" w:space="0"/>
            </w:tcBorders>
          </w:tcPr>
          <w:p w14:paraId="156DC9B3">
            <w:pPr>
              <w:widowControl w:val="0"/>
              <w:snapToGrid w:val="0"/>
              <w:spacing w:line="300" w:lineRule="exact"/>
              <w:jc w:val="both"/>
              <w:rPr>
                <w:sz w:val="21"/>
                <w:szCs w:val="21"/>
              </w:rPr>
            </w:pPr>
            <w:r>
              <w:rPr>
                <w:sz w:val="21"/>
                <w:szCs w:val="21"/>
              </w:rPr>
              <w:t>1</w:t>
            </w:r>
            <w:r>
              <w:rPr>
                <w:rFonts w:hint="eastAsia"/>
                <w:sz w:val="21"/>
                <w:szCs w:val="21"/>
              </w:rPr>
              <w:t>.理解补体系统的经典激活途径。</w:t>
            </w:r>
          </w:p>
          <w:p w14:paraId="2FDFA641">
            <w:pPr>
              <w:widowControl w:val="0"/>
              <w:snapToGrid w:val="0"/>
              <w:spacing w:line="300" w:lineRule="exact"/>
              <w:jc w:val="both"/>
              <w:rPr>
                <w:sz w:val="21"/>
                <w:szCs w:val="21"/>
              </w:rPr>
            </w:pPr>
            <w:r>
              <w:rPr>
                <w:sz w:val="21"/>
                <w:szCs w:val="21"/>
              </w:rPr>
              <w:t>2</w:t>
            </w:r>
            <w:r>
              <w:rPr>
                <w:rFonts w:hint="eastAsia"/>
                <w:sz w:val="21"/>
                <w:szCs w:val="21"/>
              </w:rPr>
              <w:t>.知道补体系统各成分的主要生物学作用。</w:t>
            </w:r>
          </w:p>
          <w:p w14:paraId="31F9D75E">
            <w:pPr>
              <w:widowControl w:val="0"/>
              <w:snapToGrid w:val="0"/>
              <w:spacing w:line="300" w:lineRule="exact"/>
              <w:jc w:val="both"/>
              <w:rPr>
                <w:sz w:val="21"/>
                <w:szCs w:val="21"/>
              </w:rPr>
            </w:pPr>
            <w:r>
              <w:rPr>
                <w:sz w:val="21"/>
                <w:szCs w:val="21"/>
              </w:rPr>
              <w:t>3</w:t>
            </w:r>
            <w:r>
              <w:rPr>
                <w:rFonts w:hint="eastAsia"/>
                <w:sz w:val="21"/>
                <w:szCs w:val="21"/>
              </w:rPr>
              <w:t>.综合补体系统的替代激活途径及MBL激活途径。</w:t>
            </w:r>
          </w:p>
          <w:p w14:paraId="58C7FD20">
            <w:pPr>
              <w:widowControl w:val="0"/>
              <w:snapToGrid w:val="0"/>
              <w:spacing w:line="300" w:lineRule="exact"/>
              <w:jc w:val="both"/>
              <w:rPr>
                <w:sz w:val="21"/>
                <w:szCs w:val="21"/>
              </w:rPr>
            </w:pPr>
            <w:r>
              <w:rPr>
                <w:sz w:val="21"/>
                <w:szCs w:val="21"/>
              </w:rPr>
              <w:t>4</w:t>
            </w:r>
            <w:r>
              <w:rPr>
                <w:rFonts w:hint="eastAsia"/>
                <w:sz w:val="21"/>
                <w:szCs w:val="21"/>
              </w:rPr>
              <w:t>.理解HLA复合体基因组成。</w:t>
            </w:r>
          </w:p>
          <w:p w14:paraId="0B469583">
            <w:pPr>
              <w:widowControl w:val="0"/>
              <w:snapToGrid w:val="0"/>
              <w:spacing w:line="300" w:lineRule="exact"/>
              <w:jc w:val="both"/>
              <w:rPr>
                <w:sz w:val="21"/>
                <w:szCs w:val="21"/>
              </w:rPr>
            </w:pPr>
            <w:r>
              <w:rPr>
                <w:sz w:val="21"/>
                <w:szCs w:val="21"/>
              </w:rPr>
              <w:t>5</w:t>
            </w:r>
            <w:r>
              <w:rPr>
                <w:rFonts w:hint="eastAsia"/>
                <w:sz w:val="21"/>
                <w:szCs w:val="21"/>
              </w:rPr>
              <w:t>.知道HLA的分子结构与分布。</w:t>
            </w:r>
          </w:p>
          <w:p w14:paraId="2DE270BF">
            <w:pPr>
              <w:widowControl w:val="0"/>
              <w:snapToGrid w:val="0"/>
              <w:spacing w:line="300" w:lineRule="exact"/>
              <w:jc w:val="both"/>
              <w:rPr>
                <w:sz w:val="21"/>
                <w:szCs w:val="21"/>
              </w:rPr>
            </w:pPr>
            <w:r>
              <w:rPr>
                <w:sz w:val="21"/>
                <w:szCs w:val="21"/>
              </w:rPr>
              <w:t>6</w:t>
            </w:r>
            <w:r>
              <w:rPr>
                <w:rFonts w:hint="eastAsia"/>
                <w:sz w:val="21"/>
                <w:szCs w:val="21"/>
              </w:rPr>
              <w:t>.理解MHC分子的生物学意义。</w:t>
            </w:r>
          </w:p>
          <w:p w14:paraId="4119FB86">
            <w:pPr>
              <w:widowControl w:val="0"/>
              <w:spacing w:line="300" w:lineRule="exact"/>
              <w:jc w:val="both"/>
              <w:rPr>
                <w:sz w:val="21"/>
                <w:szCs w:val="21"/>
              </w:rPr>
            </w:pPr>
            <w:r>
              <w:rPr>
                <w:sz w:val="21"/>
                <w:szCs w:val="21"/>
              </w:rPr>
              <w:t>7</w:t>
            </w:r>
            <w:r>
              <w:rPr>
                <w:rFonts w:hint="eastAsia"/>
                <w:sz w:val="21"/>
                <w:szCs w:val="21"/>
              </w:rPr>
              <w:t>.综合CD分子、黏附分子、细胞因子的基本概念。</w:t>
            </w:r>
          </w:p>
        </w:tc>
        <w:tc>
          <w:tcPr>
            <w:tcW w:w="1737" w:type="dxa"/>
            <w:tcBorders>
              <w:left w:val="single" w:color="auto" w:sz="4" w:space="0"/>
              <w:right w:val="single" w:color="auto" w:sz="4" w:space="0"/>
            </w:tcBorders>
          </w:tcPr>
          <w:p w14:paraId="2E20C784">
            <w:pPr>
              <w:widowControl w:val="0"/>
              <w:snapToGrid w:val="0"/>
              <w:spacing w:line="300" w:lineRule="exact"/>
              <w:jc w:val="both"/>
              <w:rPr>
                <w:sz w:val="21"/>
                <w:szCs w:val="21"/>
              </w:rPr>
            </w:pPr>
            <w:r>
              <w:rPr>
                <w:sz w:val="21"/>
                <w:szCs w:val="21"/>
              </w:rPr>
              <w:t>1</w:t>
            </w:r>
            <w:r>
              <w:rPr>
                <w:rFonts w:hint="eastAsia"/>
                <w:sz w:val="21"/>
                <w:szCs w:val="21"/>
              </w:rPr>
              <w:t>.能阐述补体系统的经典激活途径。</w:t>
            </w:r>
          </w:p>
          <w:p w14:paraId="3A92CBC0">
            <w:pPr>
              <w:widowControl w:val="0"/>
              <w:snapToGrid w:val="0"/>
              <w:spacing w:line="300" w:lineRule="exact"/>
              <w:jc w:val="both"/>
              <w:rPr>
                <w:sz w:val="21"/>
                <w:szCs w:val="21"/>
              </w:rPr>
            </w:pPr>
            <w:r>
              <w:rPr>
                <w:sz w:val="21"/>
                <w:szCs w:val="21"/>
              </w:rPr>
              <w:t>2</w:t>
            </w:r>
            <w:r>
              <w:rPr>
                <w:rFonts w:hint="eastAsia"/>
                <w:sz w:val="21"/>
                <w:szCs w:val="21"/>
              </w:rPr>
              <w:t>.能说出补体系统各成分的主要生物学作用。</w:t>
            </w:r>
          </w:p>
          <w:p w14:paraId="2C9F5274">
            <w:pPr>
              <w:widowControl w:val="0"/>
              <w:snapToGrid w:val="0"/>
              <w:spacing w:line="300" w:lineRule="exact"/>
              <w:jc w:val="both"/>
              <w:rPr>
                <w:sz w:val="21"/>
                <w:szCs w:val="21"/>
              </w:rPr>
            </w:pPr>
            <w:r>
              <w:rPr>
                <w:sz w:val="21"/>
                <w:szCs w:val="21"/>
              </w:rPr>
              <w:t>3</w:t>
            </w:r>
            <w:r>
              <w:rPr>
                <w:rFonts w:hint="eastAsia"/>
                <w:sz w:val="21"/>
                <w:szCs w:val="21"/>
              </w:rPr>
              <w:t>.能综合补体系统的替代激活途径及MBL激活途径。</w:t>
            </w:r>
          </w:p>
          <w:p w14:paraId="772AED7A">
            <w:pPr>
              <w:widowControl w:val="0"/>
              <w:snapToGrid w:val="0"/>
              <w:spacing w:line="300" w:lineRule="exact"/>
              <w:jc w:val="both"/>
              <w:rPr>
                <w:sz w:val="21"/>
                <w:szCs w:val="21"/>
              </w:rPr>
            </w:pPr>
            <w:r>
              <w:rPr>
                <w:sz w:val="21"/>
                <w:szCs w:val="21"/>
              </w:rPr>
              <w:t>4</w:t>
            </w:r>
            <w:r>
              <w:rPr>
                <w:rFonts w:hint="eastAsia"/>
                <w:sz w:val="21"/>
                <w:szCs w:val="21"/>
              </w:rPr>
              <w:t>.能阐述HLA复合体基因组成。</w:t>
            </w:r>
          </w:p>
          <w:p w14:paraId="44E54A25">
            <w:pPr>
              <w:widowControl w:val="0"/>
              <w:snapToGrid w:val="0"/>
              <w:spacing w:line="300" w:lineRule="exact"/>
              <w:jc w:val="both"/>
              <w:rPr>
                <w:sz w:val="21"/>
                <w:szCs w:val="21"/>
              </w:rPr>
            </w:pPr>
            <w:r>
              <w:rPr>
                <w:sz w:val="21"/>
                <w:szCs w:val="21"/>
              </w:rPr>
              <w:t>5</w:t>
            </w:r>
            <w:r>
              <w:rPr>
                <w:rFonts w:hint="eastAsia"/>
                <w:sz w:val="21"/>
                <w:szCs w:val="21"/>
              </w:rPr>
              <w:t>.能说出HLA的分子结构与分布。</w:t>
            </w:r>
          </w:p>
          <w:p w14:paraId="2B5A4BC7">
            <w:pPr>
              <w:widowControl w:val="0"/>
              <w:snapToGrid w:val="0"/>
              <w:spacing w:line="300" w:lineRule="exact"/>
              <w:jc w:val="both"/>
              <w:rPr>
                <w:sz w:val="21"/>
                <w:szCs w:val="21"/>
              </w:rPr>
            </w:pPr>
            <w:r>
              <w:rPr>
                <w:sz w:val="21"/>
                <w:szCs w:val="21"/>
              </w:rPr>
              <w:t>6</w:t>
            </w:r>
            <w:r>
              <w:rPr>
                <w:rFonts w:hint="eastAsia"/>
                <w:sz w:val="21"/>
                <w:szCs w:val="21"/>
              </w:rPr>
              <w:t>.能阐述MHC分子的生物学意义。</w:t>
            </w:r>
          </w:p>
          <w:p w14:paraId="02D43A35">
            <w:pPr>
              <w:widowControl w:val="0"/>
              <w:spacing w:line="300" w:lineRule="exact"/>
              <w:jc w:val="both"/>
              <w:rPr>
                <w:sz w:val="21"/>
                <w:szCs w:val="21"/>
              </w:rPr>
            </w:pPr>
            <w:r>
              <w:rPr>
                <w:sz w:val="21"/>
                <w:szCs w:val="21"/>
              </w:rPr>
              <w:t>7</w:t>
            </w:r>
            <w:r>
              <w:rPr>
                <w:rFonts w:hint="eastAsia"/>
                <w:sz w:val="21"/>
                <w:szCs w:val="21"/>
              </w:rPr>
              <w:t>.能综合CD分子、黏附分子、细胞因子的基本概念。</w:t>
            </w:r>
          </w:p>
        </w:tc>
        <w:tc>
          <w:tcPr>
            <w:tcW w:w="1737" w:type="dxa"/>
            <w:tcBorders>
              <w:left w:val="single" w:color="auto" w:sz="4" w:space="0"/>
              <w:right w:val="single" w:color="auto" w:sz="12" w:space="0"/>
            </w:tcBorders>
          </w:tcPr>
          <w:p w14:paraId="6CCDC87D">
            <w:pPr>
              <w:widowControl w:val="0"/>
              <w:spacing w:line="300" w:lineRule="exact"/>
              <w:jc w:val="both"/>
              <w:rPr>
                <w:sz w:val="21"/>
                <w:szCs w:val="21"/>
              </w:rPr>
            </w:pPr>
            <w:r>
              <w:rPr>
                <w:rFonts w:hint="eastAsia"/>
                <w:sz w:val="21"/>
                <w:szCs w:val="21"/>
              </w:rPr>
              <w:t>补体系统的替代激活途径及MBL激活途径。</w:t>
            </w:r>
          </w:p>
        </w:tc>
      </w:tr>
      <w:tr w14:paraId="7DDE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38E8D625">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4</w:t>
            </w:r>
          </w:p>
        </w:tc>
        <w:tc>
          <w:tcPr>
            <w:tcW w:w="678" w:type="dxa"/>
            <w:tcBorders>
              <w:left w:val="single" w:color="auto" w:sz="4" w:space="0"/>
            </w:tcBorders>
          </w:tcPr>
          <w:p w14:paraId="576C206F">
            <w:pPr>
              <w:widowControl w:val="0"/>
              <w:spacing w:line="300" w:lineRule="exact"/>
              <w:jc w:val="both"/>
              <w:rPr>
                <w:sz w:val="21"/>
                <w:szCs w:val="21"/>
              </w:rPr>
            </w:pPr>
            <w:r>
              <w:rPr>
                <w:rFonts w:hint="eastAsia"/>
                <w:sz w:val="21"/>
                <w:szCs w:val="21"/>
              </w:rPr>
              <w:t>临床免疫</w:t>
            </w:r>
          </w:p>
        </w:tc>
        <w:tc>
          <w:tcPr>
            <w:tcW w:w="1276" w:type="dxa"/>
          </w:tcPr>
          <w:p w14:paraId="3DCC14FB">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594DA91D">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6A2517BD">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L</w:t>
            </w:r>
            <w:r>
              <w:rPr>
                <w:rFonts w:ascii="宋体" w:hAnsi="宋体"/>
                <w:b w:val="0"/>
                <w:sz w:val="21"/>
                <w:szCs w:val="21"/>
              </w:rPr>
              <w:t>04</w:t>
            </w:r>
            <w:r>
              <w:rPr>
                <w:rFonts w:hint="eastAsia" w:ascii="宋体" w:hAnsi="宋体"/>
                <w:b w:val="0"/>
                <w:sz w:val="21"/>
                <w:szCs w:val="21"/>
              </w:rPr>
              <w:t>①、</w:t>
            </w:r>
            <w:r>
              <w:rPr>
                <w:rFonts w:hint="eastAsia" w:ascii="宋体" w:hAnsi="宋体"/>
                <w:b w:val="0"/>
                <w:bCs/>
                <w:sz w:val="21"/>
                <w:szCs w:val="21"/>
              </w:rPr>
              <w:t>L</w:t>
            </w:r>
            <w:r>
              <w:rPr>
                <w:rFonts w:ascii="宋体" w:hAnsi="宋体"/>
                <w:b w:val="0"/>
                <w:bCs/>
                <w:sz w:val="21"/>
                <w:szCs w:val="21"/>
              </w:rPr>
              <w:t>04</w:t>
            </w:r>
            <w:r>
              <w:rPr>
                <w:rFonts w:hint="eastAsia" w:ascii="宋体" w:hAnsi="宋体"/>
                <w:b w:val="0"/>
                <w:bCs/>
                <w:sz w:val="21"/>
                <w:szCs w:val="21"/>
              </w:rPr>
              <w:t>②</w:t>
            </w:r>
          </w:p>
        </w:tc>
        <w:tc>
          <w:tcPr>
            <w:tcW w:w="2265" w:type="dxa"/>
            <w:tcBorders>
              <w:right w:val="single" w:color="auto" w:sz="4" w:space="0"/>
            </w:tcBorders>
          </w:tcPr>
          <w:p w14:paraId="62A083DF">
            <w:pPr>
              <w:widowControl w:val="0"/>
              <w:snapToGrid w:val="0"/>
              <w:spacing w:line="300" w:lineRule="exact"/>
              <w:jc w:val="both"/>
              <w:rPr>
                <w:sz w:val="21"/>
                <w:szCs w:val="21"/>
              </w:rPr>
            </w:pPr>
            <w:r>
              <w:rPr>
                <w:rFonts w:hint="eastAsia"/>
                <w:sz w:val="21"/>
                <w:szCs w:val="21"/>
              </w:rPr>
              <w:t>1.知道超敏反应的概念、分型、各型变态反应的发生机制。免疫缺陷病的概念、一般特征。自身免疫病的概念、自身免疫病的基本特征。</w:t>
            </w:r>
          </w:p>
          <w:p w14:paraId="42EFE777">
            <w:pPr>
              <w:widowControl w:val="0"/>
              <w:snapToGrid w:val="0"/>
              <w:spacing w:line="300" w:lineRule="exact"/>
              <w:jc w:val="both"/>
              <w:rPr>
                <w:sz w:val="21"/>
                <w:szCs w:val="21"/>
              </w:rPr>
            </w:pPr>
            <w:r>
              <w:rPr>
                <w:rFonts w:hint="eastAsia"/>
                <w:sz w:val="21"/>
                <w:szCs w:val="21"/>
              </w:rPr>
              <w:t>2.理解各型超敏反应的常见临床表现与防治原则。免疫缺陷病的临床常见病症。</w:t>
            </w:r>
          </w:p>
          <w:p w14:paraId="2C0CB090">
            <w:pPr>
              <w:widowControl w:val="0"/>
              <w:spacing w:line="300" w:lineRule="exact"/>
              <w:jc w:val="left"/>
              <w:rPr>
                <w:sz w:val="21"/>
                <w:szCs w:val="21"/>
              </w:rPr>
            </w:pPr>
            <w:r>
              <w:rPr>
                <w:rFonts w:hint="eastAsia"/>
                <w:sz w:val="21"/>
                <w:szCs w:val="21"/>
              </w:rPr>
              <w:t>3.综合各型超敏反应的比较。自身免疫病的发病机制及治疗原则。</w:t>
            </w:r>
          </w:p>
        </w:tc>
        <w:tc>
          <w:tcPr>
            <w:tcW w:w="1737" w:type="dxa"/>
            <w:tcBorders>
              <w:left w:val="single" w:color="auto" w:sz="4" w:space="0"/>
              <w:right w:val="single" w:color="auto" w:sz="4" w:space="0"/>
            </w:tcBorders>
          </w:tcPr>
          <w:p w14:paraId="11141A74">
            <w:pPr>
              <w:widowControl w:val="0"/>
              <w:snapToGrid w:val="0"/>
              <w:spacing w:line="300" w:lineRule="exact"/>
              <w:jc w:val="both"/>
              <w:rPr>
                <w:sz w:val="21"/>
                <w:szCs w:val="21"/>
              </w:rPr>
            </w:pPr>
            <w:r>
              <w:rPr>
                <w:rFonts w:hint="eastAsia"/>
                <w:sz w:val="21"/>
                <w:szCs w:val="21"/>
              </w:rPr>
              <w:t>1.能说出超敏反应的概念、分型、各型变态反应的发生机制。免疫缺陷病的概念、一般特征。自身免疫病的概念、自身免疫病的基本特征。</w:t>
            </w:r>
          </w:p>
          <w:p w14:paraId="4B477D93">
            <w:pPr>
              <w:widowControl w:val="0"/>
              <w:snapToGrid w:val="0"/>
              <w:spacing w:line="300" w:lineRule="exact"/>
              <w:jc w:val="both"/>
              <w:rPr>
                <w:sz w:val="21"/>
                <w:szCs w:val="21"/>
              </w:rPr>
            </w:pPr>
            <w:r>
              <w:rPr>
                <w:rFonts w:hint="eastAsia"/>
                <w:sz w:val="21"/>
                <w:szCs w:val="21"/>
              </w:rPr>
              <w:t>2.能阐述各型超敏反应的常见临床表现与防治原则。免疫缺陷病的临床常见病症。</w:t>
            </w:r>
          </w:p>
          <w:p w14:paraId="2D4C0E71">
            <w:pPr>
              <w:widowControl w:val="0"/>
              <w:spacing w:line="300" w:lineRule="exact"/>
              <w:jc w:val="both"/>
              <w:rPr>
                <w:sz w:val="21"/>
                <w:szCs w:val="21"/>
              </w:rPr>
            </w:pPr>
            <w:r>
              <w:rPr>
                <w:rFonts w:hint="eastAsia"/>
                <w:sz w:val="21"/>
                <w:szCs w:val="21"/>
              </w:rPr>
              <w:t>3.能综合各型超敏反应的比较。自身免疫病的发病机制及治疗原则。</w:t>
            </w:r>
          </w:p>
        </w:tc>
        <w:tc>
          <w:tcPr>
            <w:tcW w:w="1737" w:type="dxa"/>
            <w:tcBorders>
              <w:left w:val="single" w:color="auto" w:sz="4" w:space="0"/>
              <w:right w:val="single" w:color="auto" w:sz="12" w:space="0"/>
            </w:tcBorders>
          </w:tcPr>
          <w:p w14:paraId="1922C306">
            <w:pPr>
              <w:widowControl w:val="0"/>
              <w:snapToGrid w:val="0"/>
              <w:spacing w:line="300" w:lineRule="exact"/>
              <w:jc w:val="both"/>
              <w:rPr>
                <w:sz w:val="21"/>
                <w:szCs w:val="21"/>
              </w:rPr>
            </w:pPr>
            <w:r>
              <w:rPr>
                <w:rFonts w:hint="eastAsia"/>
                <w:sz w:val="21"/>
                <w:szCs w:val="21"/>
              </w:rPr>
              <w:t>1.各型超敏反应的常见临床表现与防治原则。</w:t>
            </w:r>
          </w:p>
          <w:p w14:paraId="3A1DD872">
            <w:pPr>
              <w:widowControl w:val="0"/>
              <w:spacing w:line="300" w:lineRule="exact"/>
              <w:jc w:val="both"/>
              <w:rPr>
                <w:sz w:val="21"/>
                <w:szCs w:val="21"/>
              </w:rPr>
            </w:pPr>
            <w:r>
              <w:rPr>
                <w:rFonts w:hint="eastAsia"/>
                <w:sz w:val="21"/>
                <w:szCs w:val="21"/>
              </w:rPr>
              <w:t>2.各型超敏反应的比较。</w:t>
            </w:r>
          </w:p>
        </w:tc>
      </w:tr>
      <w:tr w14:paraId="69BB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00348BFB">
            <w:pPr>
              <w:pStyle w:val="18"/>
              <w:widowControl w:val="0"/>
              <w:spacing w:before="81" w:after="163" w:line="300" w:lineRule="exact"/>
              <w:jc w:val="both"/>
              <w:rPr>
                <w:rFonts w:ascii="宋体" w:hAnsi="宋体"/>
                <w:b w:val="0"/>
                <w:sz w:val="21"/>
                <w:szCs w:val="21"/>
              </w:rPr>
            </w:pPr>
            <w:r>
              <w:rPr>
                <w:rFonts w:ascii="宋体" w:hAnsi="宋体"/>
                <w:b w:val="0"/>
                <w:sz w:val="21"/>
                <w:szCs w:val="21"/>
              </w:rPr>
              <w:t>5</w:t>
            </w:r>
          </w:p>
        </w:tc>
        <w:tc>
          <w:tcPr>
            <w:tcW w:w="678" w:type="dxa"/>
            <w:tcBorders>
              <w:left w:val="single" w:color="auto" w:sz="4" w:space="0"/>
            </w:tcBorders>
          </w:tcPr>
          <w:p w14:paraId="38A3E74D">
            <w:pPr>
              <w:widowControl w:val="0"/>
              <w:snapToGrid w:val="0"/>
              <w:spacing w:line="300" w:lineRule="exact"/>
              <w:jc w:val="center"/>
              <w:rPr>
                <w:sz w:val="21"/>
                <w:szCs w:val="21"/>
              </w:rPr>
            </w:pPr>
            <w:r>
              <w:rPr>
                <w:rFonts w:hint="eastAsia"/>
                <w:sz w:val="21"/>
                <w:szCs w:val="21"/>
              </w:rPr>
              <w:t>微生物概述</w:t>
            </w:r>
          </w:p>
          <w:p w14:paraId="696E1101">
            <w:pPr>
              <w:pStyle w:val="18"/>
              <w:widowControl w:val="0"/>
              <w:spacing w:before="81" w:after="163" w:line="300" w:lineRule="exact"/>
              <w:jc w:val="both"/>
              <w:rPr>
                <w:rFonts w:ascii="宋体" w:hAnsi="宋体"/>
                <w:b w:val="0"/>
                <w:bCs/>
                <w:sz w:val="21"/>
                <w:szCs w:val="21"/>
              </w:rPr>
            </w:pPr>
          </w:p>
        </w:tc>
        <w:tc>
          <w:tcPr>
            <w:tcW w:w="1276" w:type="dxa"/>
          </w:tcPr>
          <w:p w14:paraId="2881B242">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12A05769">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3E8F4614">
            <w:pPr>
              <w:pStyle w:val="18"/>
              <w:widowControl w:val="0"/>
              <w:spacing w:before="81" w:after="163" w:line="300" w:lineRule="exact"/>
              <w:jc w:val="both"/>
              <w:rPr>
                <w:rFonts w:ascii="宋体" w:hAnsi="宋体"/>
                <w:sz w:val="21"/>
                <w:szCs w:val="21"/>
              </w:rPr>
            </w:pPr>
            <w:r>
              <w:rPr>
                <w:rFonts w:hint="eastAsia" w:ascii="宋体" w:hAnsi="宋体"/>
                <w:b w:val="0"/>
                <w:sz w:val="21"/>
                <w:szCs w:val="21"/>
              </w:rPr>
              <w:t>L</w:t>
            </w:r>
            <w:r>
              <w:rPr>
                <w:rFonts w:ascii="宋体" w:hAnsi="宋体"/>
                <w:b w:val="0"/>
                <w:sz w:val="21"/>
                <w:szCs w:val="21"/>
              </w:rPr>
              <w:t>04</w:t>
            </w:r>
            <w:r>
              <w:rPr>
                <w:rFonts w:hint="eastAsia" w:ascii="宋体" w:hAnsi="宋体"/>
                <w:b w:val="0"/>
                <w:sz w:val="21"/>
                <w:szCs w:val="21"/>
              </w:rPr>
              <w:t>①、</w:t>
            </w:r>
            <w:r>
              <w:rPr>
                <w:rFonts w:hint="eastAsia" w:ascii="宋体" w:hAnsi="宋体"/>
                <w:b w:val="0"/>
                <w:bCs/>
                <w:sz w:val="21"/>
                <w:szCs w:val="21"/>
              </w:rPr>
              <w:t>L</w:t>
            </w:r>
            <w:r>
              <w:rPr>
                <w:rFonts w:ascii="宋体" w:hAnsi="宋体"/>
                <w:b w:val="0"/>
                <w:bCs/>
                <w:sz w:val="21"/>
                <w:szCs w:val="21"/>
              </w:rPr>
              <w:t>04</w:t>
            </w:r>
            <w:r>
              <w:rPr>
                <w:rFonts w:hint="eastAsia" w:ascii="宋体" w:hAnsi="宋体"/>
                <w:b w:val="0"/>
                <w:bCs/>
                <w:sz w:val="21"/>
                <w:szCs w:val="21"/>
              </w:rPr>
              <w:t>②</w:t>
            </w:r>
          </w:p>
        </w:tc>
        <w:tc>
          <w:tcPr>
            <w:tcW w:w="2265" w:type="dxa"/>
            <w:tcBorders>
              <w:right w:val="single" w:color="auto" w:sz="4" w:space="0"/>
            </w:tcBorders>
          </w:tcPr>
          <w:p w14:paraId="04E4AAE3">
            <w:pPr>
              <w:widowControl w:val="0"/>
              <w:snapToGrid w:val="0"/>
              <w:spacing w:line="300" w:lineRule="exact"/>
              <w:jc w:val="both"/>
              <w:rPr>
                <w:sz w:val="21"/>
                <w:szCs w:val="21"/>
              </w:rPr>
            </w:pPr>
            <w:r>
              <w:rPr>
                <w:rFonts w:hint="eastAsia"/>
                <w:sz w:val="21"/>
                <w:szCs w:val="21"/>
              </w:rPr>
              <w:t>1.运用细菌的形态、结构、形态学检查方法。</w:t>
            </w:r>
          </w:p>
          <w:p w14:paraId="537C804F">
            <w:pPr>
              <w:widowControl w:val="0"/>
              <w:snapToGrid w:val="0"/>
              <w:spacing w:line="300" w:lineRule="exact"/>
              <w:jc w:val="both"/>
              <w:rPr>
                <w:sz w:val="21"/>
                <w:szCs w:val="21"/>
              </w:rPr>
            </w:pPr>
            <w:r>
              <w:rPr>
                <w:rFonts w:hint="eastAsia"/>
                <w:sz w:val="21"/>
                <w:szCs w:val="21"/>
              </w:rPr>
              <w:t>2.理解细菌的代谢产物及意义。</w:t>
            </w:r>
          </w:p>
          <w:p w14:paraId="6A53393A">
            <w:pPr>
              <w:widowControl w:val="0"/>
              <w:snapToGrid w:val="0"/>
              <w:spacing w:line="300" w:lineRule="exact"/>
              <w:jc w:val="both"/>
              <w:rPr>
                <w:sz w:val="21"/>
                <w:szCs w:val="21"/>
              </w:rPr>
            </w:pPr>
            <w:r>
              <w:rPr>
                <w:rFonts w:hint="eastAsia"/>
                <w:sz w:val="21"/>
                <w:szCs w:val="21"/>
              </w:rPr>
              <w:t>3.知道细菌的培养要求、生长方式与生长规律。</w:t>
            </w:r>
          </w:p>
          <w:p w14:paraId="15C760CE">
            <w:pPr>
              <w:widowControl w:val="0"/>
              <w:snapToGrid w:val="0"/>
              <w:spacing w:line="300" w:lineRule="exact"/>
              <w:jc w:val="both"/>
              <w:rPr>
                <w:sz w:val="21"/>
                <w:szCs w:val="21"/>
              </w:rPr>
            </w:pPr>
            <w:r>
              <w:rPr>
                <w:rFonts w:hint="eastAsia"/>
                <w:sz w:val="21"/>
                <w:szCs w:val="21"/>
              </w:rPr>
              <w:t>4.掌握分析细菌的遗传物质基础、变异方式、变异发生机制及医学意义。</w:t>
            </w:r>
          </w:p>
          <w:p w14:paraId="1CD9868B">
            <w:pPr>
              <w:widowControl w:val="0"/>
              <w:snapToGrid w:val="0"/>
              <w:spacing w:line="300" w:lineRule="exact"/>
              <w:jc w:val="both"/>
              <w:rPr>
                <w:sz w:val="21"/>
                <w:szCs w:val="21"/>
              </w:rPr>
            </w:pPr>
            <w:r>
              <w:rPr>
                <w:rFonts w:hint="eastAsia"/>
                <w:sz w:val="21"/>
                <w:szCs w:val="21"/>
              </w:rPr>
              <w:t>5.知道正常菌群、条件致病菌、感染及消毒灭菌的概念。</w:t>
            </w:r>
          </w:p>
          <w:p w14:paraId="19804AA1">
            <w:pPr>
              <w:widowControl w:val="0"/>
              <w:spacing w:line="300" w:lineRule="exact"/>
              <w:jc w:val="left"/>
              <w:rPr>
                <w:sz w:val="21"/>
                <w:szCs w:val="21"/>
              </w:rPr>
            </w:pPr>
          </w:p>
        </w:tc>
        <w:tc>
          <w:tcPr>
            <w:tcW w:w="1737" w:type="dxa"/>
            <w:tcBorders>
              <w:left w:val="single" w:color="auto" w:sz="4" w:space="0"/>
              <w:right w:val="single" w:color="auto" w:sz="4" w:space="0"/>
            </w:tcBorders>
          </w:tcPr>
          <w:p w14:paraId="68FBEBFE">
            <w:pPr>
              <w:widowControl w:val="0"/>
              <w:snapToGrid w:val="0"/>
              <w:spacing w:line="300" w:lineRule="exact"/>
              <w:jc w:val="both"/>
              <w:rPr>
                <w:sz w:val="21"/>
                <w:szCs w:val="21"/>
              </w:rPr>
            </w:pPr>
            <w:r>
              <w:rPr>
                <w:rFonts w:hint="eastAsia"/>
                <w:sz w:val="21"/>
                <w:szCs w:val="21"/>
              </w:rPr>
              <w:t>1.能运用细菌的形态、结构、形态学检查方法。</w:t>
            </w:r>
          </w:p>
          <w:p w14:paraId="23996AFB">
            <w:pPr>
              <w:widowControl w:val="0"/>
              <w:snapToGrid w:val="0"/>
              <w:spacing w:line="300" w:lineRule="exact"/>
              <w:jc w:val="both"/>
              <w:rPr>
                <w:sz w:val="21"/>
                <w:szCs w:val="21"/>
              </w:rPr>
            </w:pPr>
            <w:r>
              <w:rPr>
                <w:rFonts w:hint="eastAsia"/>
                <w:sz w:val="21"/>
                <w:szCs w:val="21"/>
              </w:rPr>
              <w:t>2.能阐述细菌的代谢产物及意义。</w:t>
            </w:r>
          </w:p>
          <w:p w14:paraId="4FA9F4C0">
            <w:pPr>
              <w:widowControl w:val="0"/>
              <w:snapToGrid w:val="0"/>
              <w:spacing w:line="300" w:lineRule="exact"/>
              <w:jc w:val="both"/>
              <w:rPr>
                <w:sz w:val="21"/>
                <w:szCs w:val="21"/>
              </w:rPr>
            </w:pPr>
            <w:r>
              <w:rPr>
                <w:rFonts w:hint="eastAsia"/>
                <w:sz w:val="21"/>
                <w:szCs w:val="21"/>
              </w:rPr>
              <w:t>3.能说出细菌的培养条件、生长方式与生长规律。</w:t>
            </w:r>
          </w:p>
          <w:p w14:paraId="461F5439">
            <w:pPr>
              <w:widowControl w:val="0"/>
              <w:snapToGrid w:val="0"/>
              <w:spacing w:line="300" w:lineRule="exact"/>
              <w:jc w:val="both"/>
              <w:rPr>
                <w:sz w:val="21"/>
                <w:szCs w:val="21"/>
              </w:rPr>
            </w:pPr>
            <w:r>
              <w:rPr>
                <w:rFonts w:hint="eastAsia"/>
                <w:sz w:val="21"/>
                <w:szCs w:val="21"/>
              </w:rPr>
              <w:t>4.能分析细菌的遗传物质基础、变异方式、变异发生机制及医学意义。</w:t>
            </w:r>
          </w:p>
          <w:p w14:paraId="3AEEECD1">
            <w:pPr>
              <w:widowControl w:val="0"/>
              <w:snapToGrid w:val="0"/>
              <w:spacing w:line="300" w:lineRule="exact"/>
              <w:jc w:val="both"/>
              <w:rPr>
                <w:sz w:val="21"/>
                <w:szCs w:val="21"/>
              </w:rPr>
            </w:pPr>
            <w:r>
              <w:rPr>
                <w:rFonts w:hint="eastAsia"/>
                <w:sz w:val="21"/>
                <w:szCs w:val="21"/>
              </w:rPr>
              <w:t>5.能说出正常菌群、条件致病菌、感染及消毒灭菌的概念。</w:t>
            </w:r>
          </w:p>
          <w:p w14:paraId="0537369F">
            <w:pPr>
              <w:widowControl w:val="0"/>
              <w:spacing w:line="300" w:lineRule="exact"/>
              <w:jc w:val="both"/>
              <w:rPr>
                <w:sz w:val="21"/>
                <w:szCs w:val="21"/>
              </w:rPr>
            </w:pPr>
          </w:p>
        </w:tc>
        <w:tc>
          <w:tcPr>
            <w:tcW w:w="1737" w:type="dxa"/>
            <w:tcBorders>
              <w:left w:val="single" w:color="auto" w:sz="4" w:space="0"/>
              <w:right w:val="single" w:color="auto" w:sz="12" w:space="0"/>
            </w:tcBorders>
          </w:tcPr>
          <w:p w14:paraId="074C991D">
            <w:pPr>
              <w:widowControl w:val="0"/>
              <w:snapToGrid w:val="0"/>
              <w:spacing w:line="300" w:lineRule="exact"/>
              <w:jc w:val="both"/>
              <w:rPr>
                <w:sz w:val="21"/>
                <w:szCs w:val="21"/>
              </w:rPr>
            </w:pPr>
            <w:r>
              <w:rPr>
                <w:rFonts w:hint="eastAsia"/>
                <w:sz w:val="21"/>
                <w:szCs w:val="21"/>
              </w:rPr>
              <w:t>细菌的遗传物质基础、变异方式、变异发生机制及医学意义。</w:t>
            </w:r>
          </w:p>
          <w:p w14:paraId="375725CC">
            <w:pPr>
              <w:widowControl w:val="0"/>
              <w:spacing w:line="300" w:lineRule="exact"/>
              <w:jc w:val="both"/>
              <w:rPr>
                <w:sz w:val="21"/>
                <w:szCs w:val="21"/>
              </w:rPr>
            </w:pPr>
          </w:p>
        </w:tc>
      </w:tr>
      <w:tr w14:paraId="7844D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74180D0F">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6</w:t>
            </w:r>
          </w:p>
        </w:tc>
        <w:tc>
          <w:tcPr>
            <w:tcW w:w="678" w:type="dxa"/>
            <w:tcBorders>
              <w:left w:val="single" w:color="auto" w:sz="4" w:space="0"/>
            </w:tcBorders>
          </w:tcPr>
          <w:p w14:paraId="2D8DAB73">
            <w:pPr>
              <w:widowControl w:val="0"/>
              <w:snapToGrid w:val="0"/>
              <w:spacing w:line="300" w:lineRule="exact"/>
              <w:jc w:val="center"/>
              <w:rPr>
                <w:sz w:val="21"/>
                <w:szCs w:val="21"/>
              </w:rPr>
            </w:pPr>
            <w:r>
              <w:rPr>
                <w:rFonts w:hint="eastAsia"/>
                <w:sz w:val="21"/>
                <w:szCs w:val="21"/>
              </w:rPr>
              <w:t>病原微生物</w:t>
            </w:r>
          </w:p>
          <w:p w14:paraId="59B9DDD3">
            <w:pPr>
              <w:pStyle w:val="18"/>
              <w:widowControl w:val="0"/>
              <w:spacing w:before="81" w:after="163" w:line="300" w:lineRule="exact"/>
              <w:jc w:val="both"/>
              <w:rPr>
                <w:rFonts w:ascii="宋体" w:hAnsi="宋体"/>
                <w:b w:val="0"/>
                <w:bCs/>
                <w:sz w:val="21"/>
                <w:szCs w:val="21"/>
              </w:rPr>
            </w:pPr>
          </w:p>
        </w:tc>
        <w:tc>
          <w:tcPr>
            <w:tcW w:w="1276" w:type="dxa"/>
          </w:tcPr>
          <w:p w14:paraId="0F64EE48">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2E15E985">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4A7FDEB7">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L</w:t>
            </w:r>
            <w:r>
              <w:rPr>
                <w:rFonts w:ascii="宋体" w:hAnsi="宋体"/>
                <w:b w:val="0"/>
                <w:sz w:val="21"/>
                <w:szCs w:val="21"/>
              </w:rPr>
              <w:t>04</w:t>
            </w:r>
            <w:r>
              <w:rPr>
                <w:rFonts w:hint="eastAsia" w:ascii="宋体" w:hAnsi="宋体"/>
                <w:b w:val="0"/>
                <w:sz w:val="21"/>
                <w:szCs w:val="21"/>
              </w:rPr>
              <w:t>①、</w:t>
            </w:r>
            <w:r>
              <w:rPr>
                <w:rFonts w:hint="eastAsia" w:ascii="宋体" w:hAnsi="宋体"/>
                <w:b w:val="0"/>
                <w:bCs/>
                <w:sz w:val="21"/>
                <w:szCs w:val="21"/>
              </w:rPr>
              <w:t>L</w:t>
            </w:r>
            <w:r>
              <w:rPr>
                <w:rFonts w:ascii="宋体" w:hAnsi="宋体"/>
                <w:b w:val="0"/>
                <w:bCs/>
                <w:sz w:val="21"/>
                <w:szCs w:val="21"/>
              </w:rPr>
              <w:t>04</w:t>
            </w:r>
            <w:r>
              <w:rPr>
                <w:rFonts w:hint="eastAsia" w:ascii="宋体" w:hAnsi="宋体"/>
                <w:b w:val="0"/>
                <w:bCs/>
                <w:sz w:val="21"/>
                <w:szCs w:val="21"/>
              </w:rPr>
              <w:t>②</w:t>
            </w:r>
          </w:p>
        </w:tc>
        <w:tc>
          <w:tcPr>
            <w:tcW w:w="2265" w:type="dxa"/>
            <w:tcBorders>
              <w:right w:val="single" w:color="auto" w:sz="4" w:space="0"/>
            </w:tcBorders>
          </w:tcPr>
          <w:p w14:paraId="77368286">
            <w:pPr>
              <w:widowControl w:val="0"/>
              <w:snapToGrid w:val="0"/>
              <w:spacing w:line="300" w:lineRule="exact"/>
              <w:jc w:val="both"/>
              <w:rPr>
                <w:sz w:val="21"/>
                <w:szCs w:val="21"/>
              </w:rPr>
            </w:pPr>
            <w:r>
              <w:rPr>
                <w:rFonts w:hint="eastAsia"/>
                <w:sz w:val="21"/>
                <w:szCs w:val="21"/>
              </w:rPr>
              <w:t>1.综合细菌致病性的物质基础。</w:t>
            </w:r>
          </w:p>
          <w:p w14:paraId="013A539B">
            <w:pPr>
              <w:widowControl w:val="0"/>
              <w:snapToGrid w:val="0"/>
              <w:spacing w:line="300" w:lineRule="exact"/>
              <w:jc w:val="both"/>
              <w:rPr>
                <w:sz w:val="21"/>
                <w:szCs w:val="21"/>
              </w:rPr>
            </w:pPr>
            <w:r>
              <w:rPr>
                <w:rFonts w:hint="eastAsia"/>
                <w:sz w:val="21"/>
                <w:szCs w:val="21"/>
              </w:rPr>
              <w:t>2.理解抗细菌免疫的组成与机制。</w:t>
            </w:r>
          </w:p>
          <w:p w14:paraId="35A61DC7">
            <w:pPr>
              <w:widowControl w:val="0"/>
              <w:snapToGrid w:val="0"/>
              <w:spacing w:line="300" w:lineRule="exact"/>
              <w:jc w:val="both"/>
              <w:rPr>
                <w:sz w:val="21"/>
                <w:szCs w:val="21"/>
              </w:rPr>
            </w:pPr>
            <w:r>
              <w:rPr>
                <w:rFonts w:hint="eastAsia"/>
                <w:sz w:val="21"/>
                <w:szCs w:val="21"/>
              </w:rPr>
              <w:t>3.知道常用的消毒灭菌方法。</w:t>
            </w:r>
          </w:p>
          <w:p w14:paraId="40D1252C">
            <w:pPr>
              <w:widowControl w:val="0"/>
              <w:snapToGrid w:val="0"/>
              <w:spacing w:line="300" w:lineRule="exact"/>
              <w:jc w:val="both"/>
              <w:rPr>
                <w:sz w:val="21"/>
                <w:szCs w:val="21"/>
              </w:rPr>
            </w:pPr>
            <w:r>
              <w:rPr>
                <w:rFonts w:hint="eastAsia"/>
                <w:sz w:val="21"/>
                <w:szCs w:val="21"/>
              </w:rPr>
              <w:t>4.运用细菌性疾病的诊治原则。</w:t>
            </w:r>
          </w:p>
          <w:p w14:paraId="328BF209">
            <w:pPr>
              <w:widowControl w:val="0"/>
              <w:snapToGrid w:val="0"/>
              <w:spacing w:line="300" w:lineRule="exact"/>
              <w:jc w:val="both"/>
              <w:rPr>
                <w:sz w:val="21"/>
                <w:szCs w:val="21"/>
              </w:rPr>
            </w:pPr>
            <w:r>
              <w:rPr>
                <w:rFonts w:hint="eastAsia"/>
                <w:sz w:val="21"/>
                <w:szCs w:val="21"/>
              </w:rPr>
              <w:t>5.知道病毒感染的途径与临床感染类型。</w:t>
            </w:r>
          </w:p>
          <w:p w14:paraId="3DD11012">
            <w:pPr>
              <w:widowControl w:val="0"/>
              <w:snapToGrid w:val="0"/>
              <w:spacing w:line="300" w:lineRule="exact"/>
              <w:jc w:val="both"/>
              <w:rPr>
                <w:sz w:val="21"/>
                <w:szCs w:val="21"/>
              </w:rPr>
            </w:pPr>
            <w:r>
              <w:rPr>
                <w:rFonts w:hint="eastAsia"/>
                <w:sz w:val="21"/>
                <w:szCs w:val="21"/>
              </w:rPr>
              <w:t>6.理解抗病毒免疫的组成与特点。</w:t>
            </w:r>
          </w:p>
          <w:p w14:paraId="18626359">
            <w:pPr>
              <w:widowControl w:val="0"/>
              <w:snapToGrid w:val="0"/>
              <w:spacing w:line="300" w:lineRule="exact"/>
              <w:jc w:val="both"/>
              <w:rPr>
                <w:sz w:val="21"/>
                <w:szCs w:val="21"/>
              </w:rPr>
            </w:pPr>
            <w:r>
              <w:rPr>
                <w:rFonts w:hint="eastAsia"/>
                <w:sz w:val="21"/>
                <w:szCs w:val="21"/>
              </w:rPr>
              <w:t>7.知道干扰素的定义、种类、抗病毒作用机理、生物学活性。</w:t>
            </w:r>
          </w:p>
          <w:p w14:paraId="268FDE03">
            <w:pPr>
              <w:widowControl w:val="0"/>
              <w:spacing w:line="300" w:lineRule="exact"/>
              <w:jc w:val="both"/>
              <w:rPr>
                <w:color w:val="000000"/>
                <w:sz w:val="21"/>
                <w:szCs w:val="21"/>
              </w:rPr>
            </w:pPr>
            <w:r>
              <w:rPr>
                <w:rFonts w:hint="eastAsia"/>
                <w:sz w:val="21"/>
                <w:szCs w:val="21"/>
              </w:rPr>
              <w:t>8.运用病毒性疾病的诊治原则</w:t>
            </w:r>
          </w:p>
        </w:tc>
        <w:tc>
          <w:tcPr>
            <w:tcW w:w="1737" w:type="dxa"/>
            <w:tcBorders>
              <w:left w:val="single" w:color="auto" w:sz="4" w:space="0"/>
              <w:right w:val="single" w:color="auto" w:sz="4" w:space="0"/>
            </w:tcBorders>
          </w:tcPr>
          <w:p w14:paraId="57E99B54">
            <w:pPr>
              <w:widowControl w:val="0"/>
              <w:snapToGrid w:val="0"/>
              <w:spacing w:line="300" w:lineRule="exact"/>
              <w:jc w:val="both"/>
              <w:rPr>
                <w:sz w:val="21"/>
                <w:szCs w:val="21"/>
              </w:rPr>
            </w:pPr>
            <w:r>
              <w:rPr>
                <w:rFonts w:hint="eastAsia"/>
                <w:sz w:val="21"/>
                <w:szCs w:val="21"/>
              </w:rPr>
              <w:t>1.能综合细菌致病性的物质基础。</w:t>
            </w:r>
          </w:p>
          <w:p w14:paraId="37F8C4D3">
            <w:pPr>
              <w:widowControl w:val="0"/>
              <w:snapToGrid w:val="0"/>
              <w:spacing w:line="300" w:lineRule="exact"/>
              <w:jc w:val="both"/>
              <w:rPr>
                <w:sz w:val="21"/>
                <w:szCs w:val="21"/>
              </w:rPr>
            </w:pPr>
            <w:r>
              <w:rPr>
                <w:rFonts w:hint="eastAsia"/>
                <w:sz w:val="21"/>
                <w:szCs w:val="21"/>
              </w:rPr>
              <w:t>2.能阐述抗细菌免疫的组成与机制。</w:t>
            </w:r>
          </w:p>
          <w:p w14:paraId="5DA3AE4A">
            <w:pPr>
              <w:widowControl w:val="0"/>
              <w:snapToGrid w:val="0"/>
              <w:spacing w:line="300" w:lineRule="exact"/>
              <w:jc w:val="both"/>
              <w:rPr>
                <w:sz w:val="21"/>
                <w:szCs w:val="21"/>
              </w:rPr>
            </w:pPr>
            <w:r>
              <w:rPr>
                <w:rFonts w:hint="eastAsia"/>
                <w:sz w:val="21"/>
                <w:szCs w:val="21"/>
              </w:rPr>
              <w:t>3.能说出常用的消毒灭菌方法。</w:t>
            </w:r>
          </w:p>
          <w:p w14:paraId="6B622C57">
            <w:pPr>
              <w:widowControl w:val="0"/>
              <w:snapToGrid w:val="0"/>
              <w:spacing w:line="300" w:lineRule="exact"/>
              <w:jc w:val="both"/>
              <w:rPr>
                <w:sz w:val="21"/>
                <w:szCs w:val="21"/>
              </w:rPr>
            </w:pPr>
            <w:r>
              <w:rPr>
                <w:rFonts w:hint="eastAsia"/>
                <w:sz w:val="21"/>
                <w:szCs w:val="21"/>
              </w:rPr>
              <w:t>4.能运用细菌性疾病的诊治原则。</w:t>
            </w:r>
          </w:p>
          <w:p w14:paraId="304BEF2E">
            <w:pPr>
              <w:widowControl w:val="0"/>
              <w:snapToGrid w:val="0"/>
              <w:spacing w:line="300" w:lineRule="exact"/>
              <w:jc w:val="both"/>
              <w:rPr>
                <w:sz w:val="21"/>
                <w:szCs w:val="21"/>
              </w:rPr>
            </w:pPr>
            <w:r>
              <w:rPr>
                <w:rFonts w:hint="eastAsia"/>
                <w:sz w:val="21"/>
                <w:szCs w:val="21"/>
              </w:rPr>
              <w:t>5.能说出病毒感染的途径与临床感染类型。</w:t>
            </w:r>
          </w:p>
          <w:p w14:paraId="6C238F00">
            <w:pPr>
              <w:widowControl w:val="0"/>
              <w:snapToGrid w:val="0"/>
              <w:spacing w:line="300" w:lineRule="exact"/>
              <w:jc w:val="both"/>
              <w:rPr>
                <w:sz w:val="21"/>
                <w:szCs w:val="21"/>
              </w:rPr>
            </w:pPr>
            <w:r>
              <w:rPr>
                <w:rFonts w:hint="eastAsia"/>
                <w:sz w:val="21"/>
                <w:szCs w:val="21"/>
              </w:rPr>
              <w:t>6.能阐述抗病毒免疫的组成与特点。</w:t>
            </w:r>
          </w:p>
          <w:p w14:paraId="2B31E44B">
            <w:pPr>
              <w:widowControl w:val="0"/>
              <w:snapToGrid w:val="0"/>
              <w:spacing w:line="300" w:lineRule="exact"/>
              <w:jc w:val="both"/>
              <w:rPr>
                <w:sz w:val="21"/>
                <w:szCs w:val="21"/>
              </w:rPr>
            </w:pPr>
            <w:r>
              <w:rPr>
                <w:rFonts w:hint="eastAsia"/>
                <w:sz w:val="21"/>
                <w:szCs w:val="21"/>
              </w:rPr>
              <w:t>7.能说出干扰素的定义、种类、抗病毒作用机理、生物学活性。</w:t>
            </w:r>
          </w:p>
          <w:p w14:paraId="0A377458">
            <w:pPr>
              <w:widowControl w:val="0"/>
              <w:spacing w:line="300" w:lineRule="exact"/>
              <w:jc w:val="both"/>
              <w:rPr>
                <w:color w:val="000000"/>
                <w:sz w:val="21"/>
                <w:szCs w:val="21"/>
              </w:rPr>
            </w:pPr>
            <w:r>
              <w:rPr>
                <w:rFonts w:hint="eastAsia"/>
                <w:sz w:val="21"/>
                <w:szCs w:val="21"/>
              </w:rPr>
              <w:t>8.能运用病毒性疾病的诊治原则。</w:t>
            </w:r>
          </w:p>
        </w:tc>
        <w:tc>
          <w:tcPr>
            <w:tcW w:w="1737" w:type="dxa"/>
            <w:tcBorders>
              <w:left w:val="single" w:color="auto" w:sz="4" w:space="0"/>
              <w:right w:val="single" w:color="auto" w:sz="12" w:space="0"/>
            </w:tcBorders>
          </w:tcPr>
          <w:p w14:paraId="44397193">
            <w:pPr>
              <w:widowControl w:val="0"/>
              <w:snapToGrid w:val="0"/>
              <w:spacing w:line="300" w:lineRule="exact"/>
              <w:jc w:val="both"/>
              <w:rPr>
                <w:sz w:val="21"/>
                <w:szCs w:val="21"/>
              </w:rPr>
            </w:pPr>
            <w:r>
              <w:rPr>
                <w:rFonts w:hint="eastAsia"/>
                <w:sz w:val="21"/>
                <w:szCs w:val="21"/>
              </w:rPr>
              <w:t>1.抗细菌免疫的组成与机制。</w:t>
            </w:r>
          </w:p>
          <w:p w14:paraId="4DFE25D3">
            <w:pPr>
              <w:widowControl w:val="0"/>
              <w:spacing w:line="300" w:lineRule="exact"/>
              <w:jc w:val="both"/>
              <w:rPr>
                <w:color w:val="000000"/>
                <w:sz w:val="21"/>
                <w:szCs w:val="21"/>
              </w:rPr>
            </w:pPr>
            <w:r>
              <w:rPr>
                <w:rFonts w:hint="eastAsia"/>
                <w:sz w:val="21"/>
                <w:szCs w:val="21"/>
              </w:rPr>
              <w:t>2.抗病毒免疫的组成与特点</w:t>
            </w:r>
          </w:p>
        </w:tc>
      </w:tr>
      <w:tr w14:paraId="4CE3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right w:val="single" w:color="auto" w:sz="4" w:space="0"/>
            </w:tcBorders>
          </w:tcPr>
          <w:p w14:paraId="5387C998">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7</w:t>
            </w:r>
          </w:p>
        </w:tc>
        <w:tc>
          <w:tcPr>
            <w:tcW w:w="678" w:type="dxa"/>
            <w:tcBorders>
              <w:left w:val="single" w:color="auto" w:sz="4" w:space="0"/>
            </w:tcBorders>
          </w:tcPr>
          <w:p w14:paraId="66314E43">
            <w:pPr>
              <w:widowControl w:val="0"/>
              <w:snapToGrid w:val="0"/>
              <w:spacing w:line="300" w:lineRule="exact"/>
              <w:jc w:val="center"/>
              <w:rPr>
                <w:sz w:val="21"/>
                <w:szCs w:val="21"/>
              </w:rPr>
            </w:pPr>
            <w:r>
              <w:rPr>
                <w:rFonts w:hint="eastAsia"/>
                <w:sz w:val="21"/>
                <w:szCs w:val="21"/>
              </w:rPr>
              <w:t>常见病原菌</w:t>
            </w:r>
          </w:p>
          <w:p w14:paraId="1B4DAA1B">
            <w:pPr>
              <w:pStyle w:val="18"/>
              <w:widowControl w:val="0"/>
              <w:spacing w:before="81" w:after="163" w:line="300" w:lineRule="exact"/>
              <w:jc w:val="both"/>
              <w:rPr>
                <w:rFonts w:ascii="宋体" w:hAnsi="宋体"/>
                <w:b w:val="0"/>
                <w:bCs/>
                <w:sz w:val="21"/>
                <w:szCs w:val="21"/>
              </w:rPr>
            </w:pPr>
          </w:p>
        </w:tc>
        <w:tc>
          <w:tcPr>
            <w:tcW w:w="1276" w:type="dxa"/>
          </w:tcPr>
          <w:p w14:paraId="0C394265">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0BB4D126">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0D839824">
            <w:pPr>
              <w:pStyle w:val="18"/>
              <w:widowControl w:val="0"/>
              <w:spacing w:before="81" w:after="163" w:line="300" w:lineRule="exact"/>
              <w:jc w:val="both"/>
              <w:rPr>
                <w:rFonts w:ascii="宋体" w:hAnsi="宋体"/>
                <w:b w:val="0"/>
                <w:sz w:val="21"/>
                <w:szCs w:val="21"/>
              </w:rPr>
            </w:pPr>
            <w:r>
              <w:rPr>
                <w:rFonts w:hint="eastAsia" w:ascii="宋体" w:hAnsi="宋体"/>
                <w:b w:val="0"/>
                <w:sz w:val="21"/>
                <w:szCs w:val="21"/>
              </w:rPr>
              <w:t>L</w:t>
            </w:r>
            <w:r>
              <w:rPr>
                <w:rFonts w:ascii="宋体" w:hAnsi="宋体"/>
                <w:b w:val="0"/>
                <w:sz w:val="21"/>
                <w:szCs w:val="21"/>
              </w:rPr>
              <w:t>04</w:t>
            </w:r>
            <w:r>
              <w:rPr>
                <w:rFonts w:hint="eastAsia" w:ascii="宋体" w:hAnsi="宋体"/>
                <w:b w:val="0"/>
                <w:sz w:val="21"/>
                <w:szCs w:val="21"/>
              </w:rPr>
              <w:t>①、</w:t>
            </w:r>
            <w:r>
              <w:rPr>
                <w:rFonts w:hint="eastAsia" w:ascii="宋体" w:hAnsi="宋体"/>
                <w:b w:val="0"/>
                <w:bCs/>
                <w:sz w:val="21"/>
                <w:szCs w:val="21"/>
              </w:rPr>
              <w:t>L</w:t>
            </w:r>
            <w:r>
              <w:rPr>
                <w:rFonts w:ascii="宋体" w:hAnsi="宋体"/>
                <w:b w:val="0"/>
                <w:bCs/>
                <w:sz w:val="21"/>
                <w:szCs w:val="21"/>
              </w:rPr>
              <w:t>04</w:t>
            </w:r>
            <w:r>
              <w:rPr>
                <w:rFonts w:hint="eastAsia" w:ascii="宋体" w:hAnsi="宋体"/>
                <w:b w:val="0"/>
                <w:bCs/>
                <w:sz w:val="21"/>
                <w:szCs w:val="21"/>
              </w:rPr>
              <w:t>②</w:t>
            </w:r>
          </w:p>
        </w:tc>
        <w:tc>
          <w:tcPr>
            <w:tcW w:w="2265" w:type="dxa"/>
            <w:tcBorders>
              <w:right w:val="single" w:color="auto" w:sz="4" w:space="0"/>
            </w:tcBorders>
          </w:tcPr>
          <w:p w14:paraId="7F50447E">
            <w:pPr>
              <w:widowControl w:val="0"/>
              <w:snapToGrid w:val="0"/>
              <w:spacing w:line="300" w:lineRule="exact"/>
              <w:jc w:val="both"/>
              <w:rPr>
                <w:sz w:val="21"/>
                <w:szCs w:val="21"/>
              </w:rPr>
            </w:pPr>
            <w:r>
              <w:rPr>
                <w:rFonts w:hint="eastAsia"/>
                <w:sz w:val="21"/>
                <w:szCs w:val="21"/>
              </w:rPr>
              <w:t>1.知道主要致病球菌（葡萄球菌属、链球菌属）的生物学性状与致病性。</w:t>
            </w:r>
          </w:p>
          <w:p w14:paraId="45608498">
            <w:pPr>
              <w:widowControl w:val="0"/>
              <w:snapToGrid w:val="0"/>
              <w:spacing w:line="300" w:lineRule="exact"/>
              <w:jc w:val="both"/>
              <w:rPr>
                <w:sz w:val="21"/>
                <w:szCs w:val="21"/>
              </w:rPr>
            </w:pPr>
            <w:r>
              <w:rPr>
                <w:rFonts w:hint="eastAsia"/>
                <w:sz w:val="21"/>
                <w:szCs w:val="21"/>
              </w:rPr>
              <w:t>2.运用主要致病球菌的防治原则。</w:t>
            </w:r>
          </w:p>
          <w:p w14:paraId="22CB8793">
            <w:pPr>
              <w:widowControl w:val="0"/>
              <w:snapToGrid w:val="0"/>
              <w:spacing w:line="300" w:lineRule="exact"/>
              <w:jc w:val="both"/>
              <w:rPr>
                <w:sz w:val="21"/>
                <w:szCs w:val="21"/>
              </w:rPr>
            </w:pPr>
            <w:r>
              <w:rPr>
                <w:rFonts w:hint="eastAsia"/>
                <w:sz w:val="21"/>
                <w:szCs w:val="21"/>
              </w:rPr>
              <w:t>3.知道主要肠道致病菌（埃希菌属、沙门菌属、志贺菌属）的生物学性状与致病性。</w:t>
            </w:r>
          </w:p>
          <w:p w14:paraId="751CC966">
            <w:pPr>
              <w:widowControl w:val="0"/>
              <w:snapToGrid w:val="0"/>
              <w:spacing w:line="300" w:lineRule="exact"/>
              <w:jc w:val="both"/>
              <w:rPr>
                <w:sz w:val="21"/>
                <w:szCs w:val="21"/>
              </w:rPr>
            </w:pPr>
            <w:r>
              <w:rPr>
                <w:rFonts w:hint="eastAsia"/>
                <w:sz w:val="21"/>
                <w:szCs w:val="21"/>
              </w:rPr>
              <w:t>4.运用主要肠道致病菌的防治原则。</w:t>
            </w:r>
          </w:p>
          <w:p w14:paraId="6C673454">
            <w:pPr>
              <w:widowControl w:val="0"/>
              <w:snapToGrid w:val="0"/>
              <w:spacing w:line="300" w:lineRule="exact"/>
              <w:jc w:val="both"/>
              <w:rPr>
                <w:sz w:val="21"/>
                <w:szCs w:val="21"/>
              </w:rPr>
            </w:pPr>
            <w:r>
              <w:rPr>
                <w:rFonts w:hint="eastAsia"/>
                <w:sz w:val="21"/>
                <w:szCs w:val="21"/>
              </w:rPr>
              <w:t>5.理解厌氧菌（破伤风梭菌、产气荚膜梭菌、肉毒梭菌）的主要生物学性状与致病性和防治原则。</w:t>
            </w:r>
          </w:p>
          <w:p w14:paraId="4E4F7878">
            <w:pPr>
              <w:widowControl w:val="0"/>
              <w:snapToGrid w:val="0"/>
              <w:spacing w:line="300" w:lineRule="exact"/>
              <w:jc w:val="both"/>
              <w:rPr>
                <w:sz w:val="21"/>
                <w:szCs w:val="21"/>
              </w:rPr>
            </w:pPr>
            <w:r>
              <w:rPr>
                <w:rFonts w:hint="eastAsia"/>
                <w:sz w:val="21"/>
                <w:szCs w:val="21"/>
              </w:rPr>
              <w:t>7.理解分支杆菌属（结核杆菌）的主要生物学性状与致病性和防治原则。</w:t>
            </w:r>
          </w:p>
          <w:p w14:paraId="0C7057C0">
            <w:pPr>
              <w:widowControl w:val="0"/>
              <w:spacing w:line="300" w:lineRule="exact"/>
              <w:jc w:val="both"/>
              <w:rPr>
                <w:sz w:val="21"/>
                <w:szCs w:val="21"/>
              </w:rPr>
            </w:pPr>
            <w:r>
              <w:rPr>
                <w:rFonts w:hint="eastAsia"/>
                <w:sz w:val="21"/>
                <w:szCs w:val="21"/>
              </w:rPr>
              <w:t>8.综合其他致病菌生物学性状与致病性和防治原则。</w:t>
            </w:r>
          </w:p>
        </w:tc>
        <w:tc>
          <w:tcPr>
            <w:tcW w:w="1737" w:type="dxa"/>
            <w:tcBorders>
              <w:left w:val="single" w:color="auto" w:sz="4" w:space="0"/>
              <w:right w:val="single" w:color="auto" w:sz="4" w:space="0"/>
            </w:tcBorders>
          </w:tcPr>
          <w:p w14:paraId="31651561">
            <w:pPr>
              <w:widowControl w:val="0"/>
              <w:snapToGrid w:val="0"/>
              <w:spacing w:line="300" w:lineRule="exact"/>
              <w:jc w:val="both"/>
              <w:rPr>
                <w:sz w:val="21"/>
                <w:szCs w:val="21"/>
              </w:rPr>
            </w:pPr>
            <w:r>
              <w:rPr>
                <w:rFonts w:hint="eastAsia"/>
                <w:sz w:val="21"/>
                <w:szCs w:val="21"/>
              </w:rPr>
              <w:t>1.能说出主要致病球菌（葡萄球菌属、链球菌属）的生物学性状与致病性。</w:t>
            </w:r>
          </w:p>
          <w:p w14:paraId="0DF1F10D">
            <w:pPr>
              <w:widowControl w:val="0"/>
              <w:snapToGrid w:val="0"/>
              <w:spacing w:line="300" w:lineRule="exact"/>
              <w:jc w:val="both"/>
              <w:rPr>
                <w:sz w:val="21"/>
                <w:szCs w:val="21"/>
              </w:rPr>
            </w:pPr>
            <w:r>
              <w:rPr>
                <w:rFonts w:hint="eastAsia"/>
                <w:sz w:val="21"/>
                <w:szCs w:val="21"/>
              </w:rPr>
              <w:t>2.能运用主要致病球菌的防治原则。</w:t>
            </w:r>
          </w:p>
          <w:p w14:paraId="15B925CA">
            <w:pPr>
              <w:widowControl w:val="0"/>
              <w:snapToGrid w:val="0"/>
              <w:spacing w:line="300" w:lineRule="exact"/>
              <w:jc w:val="both"/>
              <w:rPr>
                <w:sz w:val="21"/>
                <w:szCs w:val="21"/>
              </w:rPr>
            </w:pPr>
            <w:r>
              <w:rPr>
                <w:rFonts w:hint="eastAsia"/>
                <w:sz w:val="21"/>
                <w:szCs w:val="21"/>
              </w:rPr>
              <w:t>3.能说出主要肠道致病菌（埃希菌属、沙门菌属、志贺菌属）的生物学性状与致病性。</w:t>
            </w:r>
          </w:p>
          <w:p w14:paraId="7AEB7458">
            <w:pPr>
              <w:widowControl w:val="0"/>
              <w:snapToGrid w:val="0"/>
              <w:spacing w:line="300" w:lineRule="exact"/>
              <w:jc w:val="both"/>
              <w:rPr>
                <w:sz w:val="21"/>
                <w:szCs w:val="21"/>
              </w:rPr>
            </w:pPr>
            <w:r>
              <w:rPr>
                <w:rFonts w:hint="eastAsia"/>
                <w:sz w:val="21"/>
                <w:szCs w:val="21"/>
              </w:rPr>
              <w:t>4.能运用主要肠道致病菌的防治原则。</w:t>
            </w:r>
          </w:p>
          <w:p w14:paraId="35DB5C7D">
            <w:pPr>
              <w:widowControl w:val="0"/>
              <w:snapToGrid w:val="0"/>
              <w:spacing w:line="300" w:lineRule="exact"/>
              <w:jc w:val="both"/>
              <w:rPr>
                <w:sz w:val="21"/>
                <w:szCs w:val="21"/>
              </w:rPr>
            </w:pPr>
            <w:r>
              <w:rPr>
                <w:rFonts w:hint="eastAsia"/>
                <w:sz w:val="21"/>
                <w:szCs w:val="21"/>
              </w:rPr>
              <w:t>5.能阐述厌氧菌（破伤风梭菌、产气荚膜梭菌、肉毒梭菌）的主要生物学性状与致病性和防治原则。</w:t>
            </w:r>
          </w:p>
          <w:p w14:paraId="3B77FF74">
            <w:pPr>
              <w:widowControl w:val="0"/>
              <w:snapToGrid w:val="0"/>
              <w:spacing w:line="300" w:lineRule="exact"/>
              <w:jc w:val="both"/>
              <w:rPr>
                <w:sz w:val="21"/>
                <w:szCs w:val="21"/>
              </w:rPr>
            </w:pPr>
            <w:r>
              <w:rPr>
                <w:rFonts w:hint="eastAsia"/>
                <w:sz w:val="21"/>
                <w:szCs w:val="21"/>
              </w:rPr>
              <w:t>7.能阐述分支杆菌属（结核杆菌）的主要生物学性状与致病性和防治原则。</w:t>
            </w:r>
          </w:p>
          <w:p w14:paraId="4B406AC9">
            <w:pPr>
              <w:widowControl w:val="0"/>
              <w:spacing w:line="300" w:lineRule="exact"/>
              <w:jc w:val="left"/>
              <w:rPr>
                <w:sz w:val="21"/>
                <w:szCs w:val="21"/>
              </w:rPr>
            </w:pPr>
            <w:r>
              <w:rPr>
                <w:rFonts w:hint="eastAsia"/>
                <w:sz w:val="21"/>
                <w:szCs w:val="21"/>
              </w:rPr>
              <w:t>8.能综合其他致病菌生物学性状与致病性和防治原则。</w:t>
            </w:r>
          </w:p>
        </w:tc>
        <w:tc>
          <w:tcPr>
            <w:tcW w:w="1737" w:type="dxa"/>
            <w:tcBorders>
              <w:left w:val="single" w:color="auto" w:sz="4" w:space="0"/>
              <w:right w:val="single" w:color="auto" w:sz="12" w:space="0"/>
            </w:tcBorders>
          </w:tcPr>
          <w:p w14:paraId="72E6A8FA">
            <w:pPr>
              <w:widowControl w:val="0"/>
              <w:snapToGrid w:val="0"/>
              <w:spacing w:line="300" w:lineRule="exact"/>
              <w:jc w:val="both"/>
              <w:rPr>
                <w:sz w:val="21"/>
                <w:szCs w:val="21"/>
              </w:rPr>
            </w:pPr>
            <w:r>
              <w:rPr>
                <w:rFonts w:hint="eastAsia"/>
                <w:sz w:val="21"/>
                <w:szCs w:val="21"/>
              </w:rPr>
              <w:t>1.主要致病球菌（葡萄球菌属、链球菌属）的生物学性状与致病性。</w:t>
            </w:r>
          </w:p>
          <w:p w14:paraId="0BD10583">
            <w:pPr>
              <w:widowControl w:val="0"/>
              <w:spacing w:line="300" w:lineRule="exact"/>
              <w:jc w:val="both"/>
              <w:rPr>
                <w:sz w:val="21"/>
                <w:szCs w:val="21"/>
              </w:rPr>
            </w:pPr>
            <w:r>
              <w:rPr>
                <w:rFonts w:hint="eastAsia"/>
                <w:sz w:val="21"/>
                <w:szCs w:val="21"/>
              </w:rPr>
              <w:t>2.主要肠道致病菌（埃希菌属、沙门菌属、志贺菌属）的生物学性状与致病性。</w:t>
            </w:r>
          </w:p>
        </w:tc>
      </w:tr>
      <w:tr w14:paraId="2775E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 w:type="dxa"/>
            <w:tcBorders>
              <w:left w:val="single" w:color="auto" w:sz="12" w:space="0"/>
              <w:bottom w:val="single" w:color="auto" w:sz="12" w:space="0"/>
              <w:right w:val="single" w:color="auto" w:sz="4" w:space="0"/>
            </w:tcBorders>
          </w:tcPr>
          <w:p w14:paraId="1B86CB15">
            <w:pPr>
              <w:widowControl w:val="0"/>
              <w:snapToGrid w:val="0"/>
              <w:spacing w:line="300" w:lineRule="exact"/>
              <w:jc w:val="both"/>
              <w:rPr>
                <w:sz w:val="21"/>
                <w:szCs w:val="21"/>
              </w:rPr>
            </w:pPr>
            <w:r>
              <w:rPr>
                <w:sz w:val="21"/>
                <w:szCs w:val="21"/>
              </w:rPr>
              <w:t>8</w:t>
            </w:r>
          </w:p>
        </w:tc>
        <w:tc>
          <w:tcPr>
            <w:tcW w:w="678" w:type="dxa"/>
            <w:tcBorders>
              <w:left w:val="single" w:color="auto" w:sz="4" w:space="0"/>
              <w:bottom w:val="single" w:color="auto" w:sz="12" w:space="0"/>
            </w:tcBorders>
          </w:tcPr>
          <w:p w14:paraId="6DF209E8">
            <w:pPr>
              <w:widowControl w:val="0"/>
              <w:snapToGrid w:val="0"/>
              <w:spacing w:line="300" w:lineRule="exact"/>
              <w:jc w:val="center"/>
              <w:rPr>
                <w:sz w:val="21"/>
                <w:szCs w:val="21"/>
              </w:rPr>
            </w:pPr>
            <w:r>
              <w:rPr>
                <w:rFonts w:hint="eastAsia"/>
                <w:sz w:val="21"/>
                <w:szCs w:val="21"/>
              </w:rPr>
              <w:t>常见病毒</w:t>
            </w:r>
          </w:p>
          <w:p w14:paraId="631DC0EF">
            <w:pPr>
              <w:widowControl w:val="0"/>
              <w:snapToGrid w:val="0"/>
              <w:spacing w:line="300" w:lineRule="exact"/>
              <w:jc w:val="both"/>
              <w:rPr>
                <w:sz w:val="21"/>
                <w:szCs w:val="21"/>
              </w:rPr>
            </w:pPr>
          </w:p>
        </w:tc>
        <w:tc>
          <w:tcPr>
            <w:tcW w:w="1276" w:type="dxa"/>
            <w:tcBorders>
              <w:bottom w:val="single" w:color="auto" w:sz="12" w:space="0"/>
            </w:tcBorders>
          </w:tcPr>
          <w:p w14:paraId="46502648">
            <w:pPr>
              <w:widowControl w:val="0"/>
              <w:snapToGrid w:val="0"/>
              <w:spacing w:line="300" w:lineRule="exact"/>
              <w:jc w:val="both"/>
              <w:rPr>
                <w:sz w:val="21"/>
                <w:szCs w:val="21"/>
              </w:rPr>
            </w:pPr>
            <w:r>
              <w:rPr>
                <w:rFonts w:hint="eastAsia"/>
                <w:sz w:val="21"/>
                <w:szCs w:val="21"/>
              </w:rPr>
              <w:t>L</w:t>
            </w:r>
            <w:r>
              <w:rPr>
                <w:sz w:val="21"/>
                <w:szCs w:val="21"/>
              </w:rPr>
              <w:t>01</w:t>
            </w:r>
            <w:r>
              <w:rPr>
                <w:rFonts w:hint="eastAsia"/>
                <w:sz w:val="21"/>
                <w:szCs w:val="21"/>
              </w:rPr>
              <w:t>⑤、</w:t>
            </w:r>
          </w:p>
          <w:p w14:paraId="0BD97ED0">
            <w:pPr>
              <w:widowControl w:val="0"/>
              <w:snapToGrid w:val="0"/>
              <w:spacing w:line="300" w:lineRule="exact"/>
              <w:jc w:val="both"/>
              <w:rPr>
                <w:sz w:val="21"/>
                <w:szCs w:val="21"/>
              </w:rPr>
            </w:pPr>
            <w:r>
              <w:rPr>
                <w:rFonts w:hint="eastAsia"/>
                <w:sz w:val="21"/>
                <w:szCs w:val="21"/>
              </w:rPr>
              <w:t>L</w:t>
            </w:r>
            <w:r>
              <w:rPr>
                <w:sz w:val="21"/>
                <w:szCs w:val="21"/>
              </w:rPr>
              <w:t>02</w:t>
            </w:r>
            <w:r>
              <w:rPr>
                <w:rFonts w:hint="eastAsia"/>
                <w:sz w:val="21"/>
                <w:szCs w:val="21"/>
              </w:rPr>
              <w:t>②、</w:t>
            </w:r>
          </w:p>
          <w:p w14:paraId="077F70A9">
            <w:pPr>
              <w:pStyle w:val="18"/>
              <w:widowControl w:val="0"/>
              <w:spacing w:before="81" w:after="163" w:line="300" w:lineRule="exact"/>
              <w:jc w:val="both"/>
              <w:rPr>
                <w:rFonts w:ascii="宋体" w:hAnsi="宋体"/>
                <w:sz w:val="21"/>
                <w:szCs w:val="21"/>
              </w:rPr>
            </w:pPr>
            <w:r>
              <w:rPr>
                <w:rFonts w:hint="eastAsia" w:ascii="宋体" w:hAnsi="宋体"/>
                <w:b w:val="0"/>
                <w:sz w:val="21"/>
                <w:szCs w:val="21"/>
              </w:rPr>
              <w:t>L</w:t>
            </w:r>
            <w:r>
              <w:rPr>
                <w:rFonts w:ascii="宋体" w:hAnsi="宋体"/>
                <w:b w:val="0"/>
                <w:sz w:val="21"/>
                <w:szCs w:val="21"/>
              </w:rPr>
              <w:t>04</w:t>
            </w:r>
            <w:r>
              <w:rPr>
                <w:rFonts w:hint="eastAsia" w:ascii="宋体" w:hAnsi="宋体"/>
                <w:b w:val="0"/>
                <w:sz w:val="21"/>
                <w:szCs w:val="21"/>
              </w:rPr>
              <w:t>①、</w:t>
            </w:r>
            <w:r>
              <w:rPr>
                <w:rFonts w:hint="eastAsia" w:ascii="宋体" w:hAnsi="宋体"/>
                <w:b w:val="0"/>
                <w:bCs/>
                <w:sz w:val="21"/>
                <w:szCs w:val="21"/>
              </w:rPr>
              <w:t>L</w:t>
            </w:r>
            <w:r>
              <w:rPr>
                <w:rFonts w:ascii="宋体" w:hAnsi="宋体"/>
                <w:b w:val="0"/>
                <w:bCs/>
                <w:sz w:val="21"/>
                <w:szCs w:val="21"/>
              </w:rPr>
              <w:t>04</w:t>
            </w:r>
            <w:r>
              <w:rPr>
                <w:rFonts w:hint="eastAsia" w:ascii="宋体" w:hAnsi="宋体"/>
                <w:b w:val="0"/>
                <w:bCs/>
                <w:sz w:val="21"/>
                <w:szCs w:val="21"/>
              </w:rPr>
              <w:t>②</w:t>
            </w:r>
          </w:p>
        </w:tc>
        <w:tc>
          <w:tcPr>
            <w:tcW w:w="2265" w:type="dxa"/>
            <w:tcBorders>
              <w:bottom w:val="single" w:color="auto" w:sz="12" w:space="0"/>
              <w:right w:val="single" w:color="auto" w:sz="4" w:space="0"/>
            </w:tcBorders>
          </w:tcPr>
          <w:p w14:paraId="76D5520F">
            <w:pPr>
              <w:widowControl w:val="0"/>
              <w:snapToGrid w:val="0"/>
              <w:spacing w:line="300" w:lineRule="exact"/>
              <w:jc w:val="both"/>
              <w:rPr>
                <w:sz w:val="21"/>
                <w:szCs w:val="21"/>
              </w:rPr>
            </w:pPr>
            <w:r>
              <w:rPr>
                <w:rFonts w:hint="eastAsia"/>
                <w:sz w:val="21"/>
                <w:szCs w:val="21"/>
              </w:rPr>
              <w:t>1.知道呼吸道病毒、肠道病毒、肝炎病毒、疱疹病毒、逆转录病毒的概念与种类。</w:t>
            </w:r>
          </w:p>
          <w:p w14:paraId="70B9F69E">
            <w:pPr>
              <w:widowControl w:val="0"/>
              <w:snapToGrid w:val="0"/>
              <w:spacing w:line="300" w:lineRule="exact"/>
              <w:jc w:val="both"/>
              <w:rPr>
                <w:sz w:val="21"/>
                <w:szCs w:val="21"/>
              </w:rPr>
            </w:pPr>
            <w:r>
              <w:rPr>
                <w:rFonts w:hint="eastAsia"/>
                <w:sz w:val="21"/>
                <w:szCs w:val="21"/>
              </w:rPr>
              <w:t>2.知道流感病毒的生物学性状（形态结构、分型、抗原变异）与致病性。</w:t>
            </w:r>
          </w:p>
          <w:p w14:paraId="2936FE44">
            <w:pPr>
              <w:widowControl w:val="0"/>
              <w:snapToGrid w:val="0"/>
              <w:spacing w:line="300" w:lineRule="exact"/>
              <w:jc w:val="both"/>
              <w:rPr>
                <w:sz w:val="21"/>
                <w:szCs w:val="21"/>
              </w:rPr>
            </w:pPr>
            <w:r>
              <w:rPr>
                <w:rFonts w:hint="eastAsia"/>
                <w:sz w:val="21"/>
                <w:szCs w:val="21"/>
              </w:rPr>
              <w:t>3.知道乙型肝炎病毒的生物学性状（形态结构、抗原类型）、致病性（传播方式及致病特点）与微生物学检测。</w:t>
            </w:r>
          </w:p>
          <w:p w14:paraId="3DC53BB6">
            <w:pPr>
              <w:widowControl w:val="0"/>
              <w:snapToGrid w:val="0"/>
              <w:spacing w:line="300" w:lineRule="exact"/>
              <w:jc w:val="both"/>
              <w:rPr>
                <w:sz w:val="21"/>
                <w:szCs w:val="21"/>
              </w:rPr>
            </w:pPr>
            <w:r>
              <w:rPr>
                <w:rFonts w:hint="eastAsia"/>
                <w:sz w:val="21"/>
                <w:szCs w:val="21"/>
              </w:rPr>
              <w:t>4.理解单纯疱疹病毒的生物学性状、致病性。</w:t>
            </w:r>
          </w:p>
          <w:p w14:paraId="52909A1F">
            <w:pPr>
              <w:widowControl w:val="0"/>
              <w:snapToGrid w:val="0"/>
              <w:spacing w:line="300" w:lineRule="exact"/>
              <w:jc w:val="both"/>
              <w:rPr>
                <w:sz w:val="21"/>
                <w:szCs w:val="21"/>
              </w:rPr>
            </w:pPr>
            <w:r>
              <w:rPr>
                <w:rFonts w:hint="eastAsia"/>
                <w:sz w:val="21"/>
                <w:szCs w:val="21"/>
              </w:rPr>
              <w:t>5.理解水痘—带状疱疹病毒的生物学性状、致病性。</w:t>
            </w:r>
          </w:p>
          <w:p w14:paraId="10756B69">
            <w:pPr>
              <w:widowControl w:val="0"/>
              <w:snapToGrid w:val="0"/>
              <w:spacing w:line="300" w:lineRule="exact"/>
              <w:jc w:val="both"/>
              <w:rPr>
                <w:sz w:val="21"/>
                <w:szCs w:val="21"/>
              </w:rPr>
            </w:pPr>
            <w:r>
              <w:rPr>
                <w:rFonts w:hint="eastAsia"/>
                <w:sz w:val="21"/>
                <w:szCs w:val="21"/>
              </w:rPr>
              <w:t>6.知道人类免疫缺陷病毒的生物学性状、致病性与微生物学检测。</w:t>
            </w:r>
          </w:p>
          <w:p w14:paraId="3F11C315">
            <w:pPr>
              <w:widowControl w:val="0"/>
              <w:spacing w:line="300" w:lineRule="exact"/>
              <w:jc w:val="left"/>
              <w:rPr>
                <w:sz w:val="21"/>
                <w:szCs w:val="21"/>
              </w:rPr>
            </w:pPr>
            <w:r>
              <w:rPr>
                <w:rFonts w:hint="eastAsia"/>
                <w:sz w:val="21"/>
                <w:szCs w:val="21"/>
              </w:rPr>
              <w:t>7.综合呼吸道病毒、肠道病毒、肝炎病毒、疱疹病毒、逆转录病毒的诊治原则。</w:t>
            </w:r>
          </w:p>
        </w:tc>
        <w:tc>
          <w:tcPr>
            <w:tcW w:w="1737" w:type="dxa"/>
            <w:tcBorders>
              <w:left w:val="single" w:color="auto" w:sz="4" w:space="0"/>
              <w:bottom w:val="single" w:color="auto" w:sz="12" w:space="0"/>
              <w:right w:val="single" w:color="auto" w:sz="4" w:space="0"/>
            </w:tcBorders>
          </w:tcPr>
          <w:p w14:paraId="7A7DF398">
            <w:pPr>
              <w:widowControl w:val="0"/>
              <w:snapToGrid w:val="0"/>
              <w:spacing w:line="300" w:lineRule="exact"/>
              <w:jc w:val="both"/>
              <w:rPr>
                <w:sz w:val="21"/>
                <w:szCs w:val="21"/>
              </w:rPr>
            </w:pPr>
            <w:r>
              <w:rPr>
                <w:rFonts w:hint="eastAsia"/>
                <w:sz w:val="21"/>
                <w:szCs w:val="21"/>
              </w:rPr>
              <w:t>1.能说出呼吸道病毒、肠道病毒、肝炎病毒、疱疹病毒、逆转录病毒的概念与种类。</w:t>
            </w:r>
          </w:p>
          <w:p w14:paraId="4CF7002F">
            <w:pPr>
              <w:widowControl w:val="0"/>
              <w:snapToGrid w:val="0"/>
              <w:spacing w:line="300" w:lineRule="exact"/>
              <w:jc w:val="both"/>
              <w:rPr>
                <w:sz w:val="21"/>
                <w:szCs w:val="21"/>
              </w:rPr>
            </w:pPr>
            <w:r>
              <w:rPr>
                <w:rFonts w:hint="eastAsia"/>
                <w:sz w:val="21"/>
                <w:szCs w:val="21"/>
              </w:rPr>
              <w:t>2.能说出流感病毒的生物学性状（形态结构、分型、抗原变异）与致病性。</w:t>
            </w:r>
          </w:p>
          <w:p w14:paraId="3ACEEF8E">
            <w:pPr>
              <w:widowControl w:val="0"/>
              <w:snapToGrid w:val="0"/>
              <w:spacing w:line="300" w:lineRule="exact"/>
              <w:jc w:val="both"/>
              <w:rPr>
                <w:sz w:val="21"/>
                <w:szCs w:val="21"/>
              </w:rPr>
            </w:pPr>
            <w:r>
              <w:rPr>
                <w:rFonts w:hint="eastAsia"/>
                <w:sz w:val="21"/>
                <w:szCs w:val="21"/>
              </w:rPr>
              <w:t>3.能说出乙型肝炎病毒的生物学性状（形态结构、抗原类型）、致病性（传播方式及致病特点）与微生物学检测。</w:t>
            </w:r>
          </w:p>
          <w:p w14:paraId="2FC8E451">
            <w:pPr>
              <w:widowControl w:val="0"/>
              <w:snapToGrid w:val="0"/>
              <w:spacing w:line="300" w:lineRule="exact"/>
              <w:jc w:val="both"/>
              <w:rPr>
                <w:sz w:val="21"/>
                <w:szCs w:val="21"/>
              </w:rPr>
            </w:pPr>
            <w:r>
              <w:rPr>
                <w:rFonts w:hint="eastAsia"/>
                <w:sz w:val="21"/>
                <w:szCs w:val="21"/>
              </w:rPr>
              <w:t>4.能阐述单纯疱疹病毒的生物学性状、致病性。</w:t>
            </w:r>
          </w:p>
          <w:p w14:paraId="48EBC713">
            <w:pPr>
              <w:widowControl w:val="0"/>
              <w:snapToGrid w:val="0"/>
              <w:spacing w:line="300" w:lineRule="exact"/>
              <w:jc w:val="both"/>
              <w:rPr>
                <w:sz w:val="21"/>
                <w:szCs w:val="21"/>
              </w:rPr>
            </w:pPr>
            <w:r>
              <w:rPr>
                <w:rFonts w:hint="eastAsia"/>
                <w:sz w:val="21"/>
                <w:szCs w:val="21"/>
              </w:rPr>
              <w:t xml:space="preserve">5.能阐述水痘—带状疱疹病毒的生物学性状、致病性。 </w:t>
            </w:r>
          </w:p>
          <w:p w14:paraId="184100F7">
            <w:pPr>
              <w:widowControl w:val="0"/>
              <w:snapToGrid w:val="0"/>
              <w:spacing w:line="300" w:lineRule="exact"/>
              <w:jc w:val="both"/>
              <w:rPr>
                <w:sz w:val="21"/>
                <w:szCs w:val="21"/>
              </w:rPr>
            </w:pPr>
            <w:r>
              <w:rPr>
                <w:rFonts w:hint="eastAsia"/>
                <w:sz w:val="21"/>
                <w:szCs w:val="21"/>
              </w:rPr>
              <w:t>6.能说出人类免疫缺陷病毒的生物学性状、致病性与微生物学检测。</w:t>
            </w:r>
          </w:p>
          <w:p w14:paraId="17579A1A">
            <w:pPr>
              <w:widowControl w:val="0"/>
              <w:spacing w:line="300" w:lineRule="exact"/>
              <w:jc w:val="both"/>
              <w:rPr>
                <w:sz w:val="21"/>
                <w:szCs w:val="21"/>
              </w:rPr>
            </w:pPr>
            <w:r>
              <w:rPr>
                <w:rFonts w:hint="eastAsia"/>
                <w:sz w:val="21"/>
                <w:szCs w:val="21"/>
              </w:rPr>
              <w:t>7.能综合呼吸道病毒、肠道病毒、肝炎病毒、疱疹病毒、逆转录病毒的诊治原则。</w:t>
            </w:r>
          </w:p>
        </w:tc>
        <w:tc>
          <w:tcPr>
            <w:tcW w:w="1737" w:type="dxa"/>
            <w:tcBorders>
              <w:left w:val="single" w:color="auto" w:sz="4" w:space="0"/>
              <w:bottom w:val="single" w:color="auto" w:sz="12" w:space="0"/>
              <w:right w:val="single" w:color="auto" w:sz="12" w:space="0"/>
            </w:tcBorders>
          </w:tcPr>
          <w:p w14:paraId="42CCD9DD">
            <w:pPr>
              <w:widowControl w:val="0"/>
              <w:snapToGrid w:val="0"/>
              <w:spacing w:line="300" w:lineRule="exact"/>
              <w:jc w:val="both"/>
              <w:rPr>
                <w:sz w:val="21"/>
                <w:szCs w:val="21"/>
              </w:rPr>
            </w:pPr>
            <w:r>
              <w:rPr>
                <w:rFonts w:hint="eastAsia"/>
                <w:sz w:val="21"/>
                <w:szCs w:val="21"/>
              </w:rPr>
              <w:t>1.呼吸道病毒、肠道病毒、肝炎病毒、疱疹病毒、逆转录病毒的概念与种类。</w:t>
            </w:r>
          </w:p>
          <w:p w14:paraId="144B9696">
            <w:pPr>
              <w:widowControl w:val="0"/>
              <w:spacing w:line="300" w:lineRule="exact"/>
              <w:jc w:val="both"/>
              <w:rPr>
                <w:sz w:val="21"/>
                <w:szCs w:val="21"/>
              </w:rPr>
            </w:pPr>
            <w:r>
              <w:rPr>
                <w:rFonts w:hint="eastAsia"/>
                <w:sz w:val="21"/>
                <w:szCs w:val="21"/>
              </w:rPr>
              <w:t>2.综合呼吸道病毒、肠道病毒、肝炎病毒、疱疹病毒、逆转录病毒的诊治原则。</w:t>
            </w:r>
          </w:p>
        </w:tc>
      </w:tr>
    </w:tbl>
    <w:p w14:paraId="5AA46CFC">
      <w:pPr>
        <w:pStyle w:val="18"/>
        <w:spacing w:before="81" w:after="163" w:line="300" w:lineRule="exact"/>
        <w:rPr>
          <w:rFonts w:ascii="宋体" w:hAnsi="宋体"/>
          <w:sz w:val="21"/>
          <w:szCs w:val="21"/>
        </w:rPr>
      </w:pPr>
    </w:p>
    <w:p w14:paraId="52354DC4">
      <w:pPr>
        <w:pStyle w:val="18"/>
        <w:spacing w:before="81" w:after="163"/>
      </w:pPr>
      <w:r>
        <w:rPr>
          <w:rFonts w:hint="eastAsia"/>
        </w:rPr>
        <w:t>（二）教学单元对课程目标的支撑关系</w:t>
      </w:r>
    </w:p>
    <w:tbl>
      <w:tblPr>
        <w:tblStyle w:val="8"/>
        <w:tblW w:w="49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44"/>
        <w:gridCol w:w="1597"/>
        <w:gridCol w:w="1451"/>
        <w:gridCol w:w="1307"/>
        <w:gridCol w:w="1306"/>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679" w:type="dxa"/>
            <w:tcBorders>
              <w:top w:val="single" w:color="auto" w:sz="12" w:space="0"/>
              <w:left w:val="single" w:color="auto" w:sz="12" w:space="0"/>
              <w:tl2br w:val="single" w:color="auto" w:sz="4" w:space="0"/>
            </w:tcBorders>
          </w:tcPr>
          <w:p w14:paraId="29966259">
            <w:pPr>
              <w:pStyle w:val="14"/>
              <w:ind w:firstLine="489"/>
              <w:jc w:val="right"/>
              <w:rPr>
                <w:szCs w:val="16"/>
              </w:rPr>
            </w:pPr>
            <w:r>
              <w:rPr>
                <w:rFonts w:hint="eastAsia"/>
                <w:szCs w:val="16"/>
              </w:rPr>
              <w:t>课程目标</w:t>
            </w:r>
          </w:p>
          <w:p w14:paraId="0AE0367F">
            <w:pPr>
              <w:pStyle w:val="14"/>
              <w:ind w:right="210"/>
              <w:jc w:val="left"/>
              <w:rPr>
                <w:szCs w:val="16"/>
              </w:rPr>
            </w:pPr>
          </w:p>
          <w:p w14:paraId="7E85CCEC">
            <w:pPr>
              <w:pStyle w:val="14"/>
              <w:ind w:right="210"/>
              <w:jc w:val="left"/>
              <w:rPr>
                <w:szCs w:val="16"/>
              </w:rPr>
            </w:pPr>
            <w:r>
              <w:rPr>
                <w:rFonts w:hint="eastAsia"/>
                <w:szCs w:val="16"/>
              </w:rPr>
              <w:t>教学单元</w:t>
            </w:r>
          </w:p>
        </w:tc>
        <w:tc>
          <w:tcPr>
            <w:tcW w:w="1559" w:type="dxa"/>
            <w:tcBorders>
              <w:top w:val="single" w:color="auto" w:sz="12" w:space="0"/>
            </w:tcBorders>
            <w:vAlign w:val="center"/>
          </w:tcPr>
          <w:p w14:paraId="6598841B">
            <w:pPr>
              <w:pStyle w:val="14"/>
              <w:rPr>
                <w:szCs w:val="16"/>
              </w:rPr>
            </w:pPr>
            <w:r>
              <w:rPr>
                <w:szCs w:val="16"/>
              </w:rPr>
              <w:t>L015</w:t>
            </w:r>
          </w:p>
        </w:tc>
        <w:tc>
          <w:tcPr>
            <w:tcW w:w="1417" w:type="dxa"/>
            <w:tcBorders>
              <w:top w:val="single" w:color="auto" w:sz="12" w:space="0"/>
            </w:tcBorders>
            <w:vAlign w:val="center"/>
          </w:tcPr>
          <w:p w14:paraId="5609833D">
            <w:pPr>
              <w:pStyle w:val="14"/>
              <w:rPr>
                <w:szCs w:val="16"/>
              </w:rPr>
            </w:pPr>
            <w:r>
              <w:rPr>
                <w:szCs w:val="16"/>
              </w:rPr>
              <w:t>L022</w:t>
            </w:r>
          </w:p>
        </w:tc>
        <w:tc>
          <w:tcPr>
            <w:tcW w:w="1276" w:type="dxa"/>
            <w:tcBorders>
              <w:top w:val="single" w:color="auto" w:sz="12" w:space="0"/>
            </w:tcBorders>
            <w:vAlign w:val="center"/>
          </w:tcPr>
          <w:p w14:paraId="23C6C844">
            <w:pPr>
              <w:pStyle w:val="14"/>
              <w:rPr>
                <w:szCs w:val="16"/>
              </w:rPr>
            </w:pPr>
            <w:r>
              <w:rPr>
                <w:rFonts w:hint="eastAsia"/>
                <w:szCs w:val="16"/>
              </w:rPr>
              <w:t>L</w:t>
            </w:r>
            <w:r>
              <w:rPr>
                <w:szCs w:val="16"/>
              </w:rPr>
              <w:t>041</w:t>
            </w:r>
          </w:p>
        </w:tc>
        <w:tc>
          <w:tcPr>
            <w:tcW w:w="1275" w:type="dxa"/>
            <w:tcBorders>
              <w:top w:val="single" w:color="auto" w:sz="12" w:space="0"/>
              <w:right w:val="single" w:color="auto" w:sz="12" w:space="0"/>
            </w:tcBorders>
            <w:vAlign w:val="center"/>
          </w:tcPr>
          <w:p w14:paraId="33156666">
            <w:pPr>
              <w:pStyle w:val="14"/>
              <w:rPr>
                <w:szCs w:val="16"/>
              </w:rPr>
            </w:pPr>
            <w:r>
              <w:rPr>
                <w:rFonts w:hint="eastAsia"/>
                <w:szCs w:val="16"/>
              </w:rPr>
              <w:t>L</w:t>
            </w:r>
            <w:r>
              <w:rPr>
                <w:szCs w:val="16"/>
              </w:rPr>
              <w:t>042</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2FBDDB88">
            <w:pPr>
              <w:pStyle w:val="15"/>
              <w:jc w:val="both"/>
              <w:rPr>
                <w:rFonts w:asciiTheme="minorEastAsia" w:hAnsiTheme="minorEastAsia" w:eastAsiaTheme="minorEastAsia"/>
              </w:rPr>
            </w:pPr>
            <w:r>
              <w:rPr>
                <w:rFonts w:hint="eastAsia" w:asciiTheme="minorEastAsia" w:hAnsiTheme="minorEastAsia" w:eastAsiaTheme="minorEastAsia"/>
              </w:rPr>
              <w:t>第一单元 免疫器官和免疫细胞</w:t>
            </w:r>
          </w:p>
        </w:tc>
        <w:tc>
          <w:tcPr>
            <w:tcW w:w="1559" w:type="dxa"/>
            <w:vAlign w:val="center"/>
          </w:tcPr>
          <w:p w14:paraId="786ED503">
            <w:pPr>
              <w:pStyle w:val="15"/>
              <w:rPr>
                <w:rFonts w:asciiTheme="minorEastAsia" w:hAnsiTheme="minorEastAsia" w:eastAsiaTheme="minorEastAsia"/>
              </w:rPr>
            </w:pPr>
            <w:r>
              <w:rPr>
                <w:rFonts w:asciiTheme="minorEastAsia" w:hAnsiTheme="minorEastAsia" w:eastAsiaTheme="minorEastAsia"/>
              </w:rPr>
              <w:t>√</w:t>
            </w:r>
          </w:p>
        </w:tc>
        <w:tc>
          <w:tcPr>
            <w:tcW w:w="1417" w:type="dxa"/>
            <w:vAlign w:val="center"/>
          </w:tcPr>
          <w:p w14:paraId="37943175">
            <w:pPr>
              <w:pStyle w:val="15"/>
              <w:rPr>
                <w:rFonts w:asciiTheme="minorEastAsia" w:hAnsiTheme="minorEastAsia" w:eastAsiaTheme="minorEastAsia"/>
              </w:rPr>
            </w:pPr>
            <w:r>
              <w:rPr>
                <w:rFonts w:asciiTheme="minorEastAsia" w:hAnsiTheme="minorEastAsia" w:eastAsiaTheme="minorEastAsia"/>
              </w:rPr>
              <w:t>√</w:t>
            </w:r>
          </w:p>
        </w:tc>
        <w:tc>
          <w:tcPr>
            <w:tcW w:w="1276" w:type="dxa"/>
            <w:vAlign w:val="center"/>
          </w:tcPr>
          <w:p w14:paraId="68F1D2A4">
            <w:pPr>
              <w:pStyle w:val="15"/>
              <w:rPr>
                <w:rFonts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20FC507B">
            <w:pPr>
              <w:pStyle w:val="15"/>
              <w:rPr>
                <w:rFonts w:asciiTheme="minorEastAsia" w:hAnsiTheme="minorEastAsia" w:eastAsiaTheme="minorEastAsia"/>
              </w:rPr>
            </w:pPr>
            <w:r>
              <w:rPr>
                <w:rFonts w:asciiTheme="minorEastAsia" w:hAnsiTheme="minorEastAsia" w:eastAsiaTheme="minorEastAsia"/>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6E43803B">
            <w:pPr>
              <w:jc w:val="both"/>
              <w:rPr>
                <w:rFonts w:asciiTheme="minorEastAsia" w:hAnsiTheme="minorEastAsia" w:eastAsiaTheme="minorEastAsia"/>
                <w:sz w:val="21"/>
                <w:szCs w:val="21"/>
              </w:rPr>
            </w:pPr>
            <w:r>
              <w:rPr>
                <w:rFonts w:hint="eastAsia" w:asciiTheme="minorEastAsia" w:hAnsiTheme="minorEastAsia" w:eastAsiaTheme="minorEastAsia"/>
                <w:sz w:val="21"/>
                <w:szCs w:val="21"/>
              </w:rPr>
              <w:t>第二单元 抗原与免疫分子</w:t>
            </w:r>
          </w:p>
        </w:tc>
        <w:tc>
          <w:tcPr>
            <w:tcW w:w="1559" w:type="dxa"/>
            <w:vAlign w:val="center"/>
          </w:tcPr>
          <w:p w14:paraId="3833F6F2">
            <w:pPr>
              <w:pStyle w:val="15"/>
              <w:rPr>
                <w:rFonts w:asciiTheme="minorEastAsia" w:hAnsiTheme="minorEastAsia" w:eastAsiaTheme="minorEastAsia"/>
              </w:rPr>
            </w:pPr>
            <w:r>
              <w:rPr>
                <w:rFonts w:asciiTheme="minorEastAsia" w:hAnsiTheme="minorEastAsia" w:eastAsiaTheme="minorEastAsia"/>
              </w:rPr>
              <w:t>√</w:t>
            </w:r>
          </w:p>
        </w:tc>
        <w:tc>
          <w:tcPr>
            <w:tcW w:w="1417" w:type="dxa"/>
            <w:vAlign w:val="center"/>
          </w:tcPr>
          <w:p w14:paraId="0FECAF07">
            <w:pPr>
              <w:pStyle w:val="15"/>
              <w:rPr>
                <w:rFonts w:asciiTheme="minorEastAsia" w:hAnsiTheme="minorEastAsia" w:eastAsiaTheme="minorEastAsia"/>
              </w:rPr>
            </w:pPr>
            <w:r>
              <w:rPr>
                <w:rFonts w:asciiTheme="minorEastAsia" w:hAnsiTheme="minorEastAsia" w:eastAsiaTheme="minorEastAsia"/>
              </w:rPr>
              <w:t>√</w:t>
            </w:r>
          </w:p>
        </w:tc>
        <w:tc>
          <w:tcPr>
            <w:tcW w:w="1276" w:type="dxa"/>
            <w:vAlign w:val="center"/>
          </w:tcPr>
          <w:p w14:paraId="22F64818">
            <w:pPr>
              <w:pStyle w:val="15"/>
              <w:rPr>
                <w:rFonts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74FA59A3">
            <w:pPr>
              <w:pStyle w:val="15"/>
              <w:rPr>
                <w:rFonts w:asciiTheme="minorEastAsia" w:hAnsiTheme="minorEastAsia" w:eastAsiaTheme="minorEastAsia"/>
              </w:rPr>
            </w:pPr>
            <w:r>
              <w:rPr>
                <w:rFonts w:asciiTheme="minorEastAsia" w:hAnsiTheme="minorEastAsia" w:eastAsiaTheme="minorEastAsia"/>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185B5B84">
            <w:pPr>
              <w:pStyle w:val="15"/>
              <w:jc w:val="both"/>
              <w:rPr>
                <w:rFonts w:asciiTheme="minorEastAsia" w:hAnsiTheme="minorEastAsia" w:eastAsiaTheme="minorEastAsia"/>
              </w:rPr>
            </w:pPr>
            <w:r>
              <w:rPr>
                <w:rFonts w:hint="eastAsia" w:asciiTheme="minorEastAsia" w:hAnsiTheme="minorEastAsia" w:eastAsiaTheme="minorEastAsia"/>
              </w:rPr>
              <w:t xml:space="preserve">第三单元 补体 </w:t>
            </w:r>
            <w:r>
              <w:rPr>
                <w:rFonts w:asciiTheme="minorEastAsia" w:hAnsiTheme="minorEastAsia" w:eastAsiaTheme="minorEastAsia"/>
              </w:rPr>
              <w:t>MHC</w:t>
            </w:r>
          </w:p>
        </w:tc>
        <w:tc>
          <w:tcPr>
            <w:tcW w:w="1559" w:type="dxa"/>
            <w:vAlign w:val="center"/>
          </w:tcPr>
          <w:p w14:paraId="4DEA4A96">
            <w:pPr>
              <w:pStyle w:val="15"/>
              <w:rPr>
                <w:rFonts w:asciiTheme="minorEastAsia" w:hAnsiTheme="minorEastAsia" w:eastAsiaTheme="minorEastAsia"/>
              </w:rPr>
            </w:pPr>
            <w:r>
              <w:rPr>
                <w:rFonts w:asciiTheme="minorEastAsia" w:hAnsiTheme="minorEastAsia" w:eastAsiaTheme="minorEastAsia"/>
              </w:rPr>
              <w:t>√</w:t>
            </w:r>
          </w:p>
        </w:tc>
        <w:tc>
          <w:tcPr>
            <w:tcW w:w="1417" w:type="dxa"/>
            <w:vAlign w:val="center"/>
          </w:tcPr>
          <w:p w14:paraId="4804FEF4">
            <w:pPr>
              <w:pStyle w:val="15"/>
              <w:rPr>
                <w:rFonts w:asciiTheme="minorEastAsia" w:hAnsiTheme="minorEastAsia" w:eastAsiaTheme="minorEastAsia"/>
              </w:rPr>
            </w:pPr>
            <w:r>
              <w:rPr>
                <w:rFonts w:asciiTheme="minorEastAsia" w:hAnsiTheme="minorEastAsia" w:eastAsiaTheme="minorEastAsia"/>
              </w:rPr>
              <w:t>√</w:t>
            </w:r>
          </w:p>
        </w:tc>
        <w:tc>
          <w:tcPr>
            <w:tcW w:w="1276" w:type="dxa"/>
            <w:vAlign w:val="center"/>
          </w:tcPr>
          <w:p w14:paraId="5E7FFDC7">
            <w:pPr>
              <w:pStyle w:val="15"/>
              <w:rPr>
                <w:rFonts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172B8B70">
            <w:pPr>
              <w:pStyle w:val="15"/>
              <w:rPr>
                <w:rFonts w:asciiTheme="minorEastAsia" w:hAnsiTheme="minorEastAsia" w:eastAsiaTheme="minorEastAsia"/>
              </w:rPr>
            </w:pPr>
            <w:r>
              <w:rPr>
                <w:rFonts w:asciiTheme="minorEastAsia" w:hAnsiTheme="minorEastAsia" w:eastAsiaTheme="minorEastAsia"/>
              </w:rPr>
              <w:t>√</w:t>
            </w:r>
          </w:p>
        </w:tc>
      </w:tr>
      <w:tr w14:paraId="37319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48C9B6E4">
            <w:pPr>
              <w:pStyle w:val="15"/>
              <w:jc w:val="both"/>
              <w:rPr>
                <w:rFonts w:asciiTheme="minorEastAsia" w:hAnsiTheme="minorEastAsia" w:eastAsiaTheme="minorEastAsia"/>
              </w:rPr>
            </w:pPr>
            <w:r>
              <w:rPr>
                <w:rFonts w:hint="eastAsia" w:asciiTheme="minorEastAsia" w:hAnsiTheme="minorEastAsia" w:eastAsiaTheme="minorEastAsia"/>
              </w:rPr>
              <w:t>第四单元 临床免疫</w:t>
            </w:r>
          </w:p>
        </w:tc>
        <w:tc>
          <w:tcPr>
            <w:tcW w:w="1559" w:type="dxa"/>
            <w:vAlign w:val="center"/>
          </w:tcPr>
          <w:p w14:paraId="7D7A3146">
            <w:pPr>
              <w:pStyle w:val="15"/>
              <w:rPr>
                <w:rFonts w:asciiTheme="minorEastAsia" w:hAnsiTheme="minorEastAsia" w:eastAsiaTheme="minorEastAsia"/>
              </w:rPr>
            </w:pPr>
            <w:r>
              <w:rPr>
                <w:rFonts w:asciiTheme="minorEastAsia" w:hAnsiTheme="minorEastAsia" w:eastAsiaTheme="minorEastAsia"/>
              </w:rPr>
              <w:t>√</w:t>
            </w:r>
          </w:p>
        </w:tc>
        <w:tc>
          <w:tcPr>
            <w:tcW w:w="1417" w:type="dxa"/>
            <w:vAlign w:val="center"/>
          </w:tcPr>
          <w:p w14:paraId="53C15293">
            <w:pPr>
              <w:pStyle w:val="15"/>
              <w:rPr>
                <w:rFonts w:asciiTheme="minorEastAsia" w:hAnsiTheme="minorEastAsia" w:eastAsiaTheme="minorEastAsia"/>
              </w:rPr>
            </w:pPr>
            <w:r>
              <w:rPr>
                <w:rFonts w:asciiTheme="minorEastAsia" w:hAnsiTheme="minorEastAsia" w:eastAsiaTheme="minorEastAsia"/>
              </w:rPr>
              <w:t>√</w:t>
            </w:r>
          </w:p>
        </w:tc>
        <w:tc>
          <w:tcPr>
            <w:tcW w:w="1276" w:type="dxa"/>
            <w:vAlign w:val="center"/>
          </w:tcPr>
          <w:p w14:paraId="3A89ACE4">
            <w:pPr>
              <w:pStyle w:val="15"/>
              <w:rPr>
                <w:rFonts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4EBA7859">
            <w:pPr>
              <w:pStyle w:val="15"/>
              <w:rPr>
                <w:rFonts w:asciiTheme="minorEastAsia" w:hAnsiTheme="minorEastAsia" w:eastAsiaTheme="minorEastAsia"/>
              </w:rPr>
            </w:pPr>
            <w:r>
              <w:rPr>
                <w:rFonts w:asciiTheme="minorEastAsia" w:hAnsiTheme="minorEastAsia" w:eastAsiaTheme="minorEastAsia"/>
              </w:rPr>
              <w:t>√</w:t>
            </w:r>
          </w:p>
        </w:tc>
      </w:tr>
      <w:tr w14:paraId="7660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2679" w:type="dxa"/>
            <w:tcBorders>
              <w:left w:val="single" w:color="auto" w:sz="12" w:space="0"/>
            </w:tcBorders>
          </w:tcPr>
          <w:p w14:paraId="2C6D45EC">
            <w:pPr>
              <w:pStyle w:val="15"/>
              <w:jc w:val="both"/>
              <w:rPr>
                <w:rFonts w:asciiTheme="minorEastAsia" w:hAnsiTheme="minorEastAsia" w:eastAsiaTheme="minorEastAsia"/>
              </w:rPr>
            </w:pPr>
            <w:r>
              <w:rPr>
                <w:rFonts w:hint="eastAsia" w:asciiTheme="minorEastAsia" w:hAnsiTheme="minorEastAsia" w:eastAsiaTheme="minorEastAsia"/>
              </w:rPr>
              <w:t>第五单元 微生物概述</w:t>
            </w:r>
          </w:p>
        </w:tc>
        <w:tc>
          <w:tcPr>
            <w:tcW w:w="1559" w:type="dxa"/>
            <w:vAlign w:val="center"/>
          </w:tcPr>
          <w:p w14:paraId="77204280">
            <w:pPr>
              <w:pStyle w:val="15"/>
              <w:rPr>
                <w:rFonts w:asciiTheme="minorEastAsia" w:hAnsiTheme="minorEastAsia" w:eastAsiaTheme="minorEastAsia"/>
              </w:rPr>
            </w:pPr>
            <w:r>
              <w:rPr>
                <w:rFonts w:asciiTheme="minorEastAsia" w:hAnsiTheme="minorEastAsia" w:eastAsiaTheme="minorEastAsia"/>
              </w:rPr>
              <w:t>√</w:t>
            </w:r>
          </w:p>
        </w:tc>
        <w:tc>
          <w:tcPr>
            <w:tcW w:w="1417" w:type="dxa"/>
            <w:vAlign w:val="center"/>
          </w:tcPr>
          <w:p w14:paraId="2BA42B8D">
            <w:pPr>
              <w:pStyle w:val="15"/>
              <w:rPr>
                <w:rFonts w:asciiTheme="minorEastAsia" w:hAnsiTheme="minorEastAsia" w:eastAsiaTheme="minorEastAsia"/>
              </w:rPr>
            </w:pPr>
            <w:r>
              <w:rPr>
                <w:rFonts w:asciiTheme="minorEastAsia" w:hAnsiTheme="minorEastAsia" w:eastAsiaTheme="minorEastAsia"/>
              </w:rPr>
              <w:t>√</w:t>
            </w:r>
          </w:p>
        </w:tc>
        <w:tc>
          <w:tcPr>
            <w:tcW w:w="1276" w:type="dxa"/>
            <w:vAlign w:val="center"/>
          </w:tcPr>
          <w:p w14:paraId="54278E39">
            <w:pPr>
              <w:pStyle w:val="15"/>
              <w:rPr>
                <w:rFonts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0C87FDEC">
            <w:pPr>
              <w:pStyle w:val="15"/>
              <w:rPr>
                <w:rFonts w:asciiTheme="minorEastAsia" w:hAnsiTheme="minorEastAsia" w:eastAsiaTheme="minorEastAsia"/>
              </w:rPr>
            </w:pPr>
            <w:r>
              <w:rPr>
                <w:rFonts w:asciiTheme="minorEastAsia" w:hAnsiTheme="minorEastAsia" w:eastAsiaTheme="minorEastAsia"/>
              </w:rPr>
              <w:t>√</w:t>
            </w:r>
          </w:p>
        </w:tc>
      </w:tr>
      <w:tr w14:paraId="649B9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7FC27BC4">
            <w:pPr>
              <w:snapToGrid w:val="0"/>
              <w:spacing w:line="288" w:lineRule="auto"/>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第六单元 病原微生物</w:t>
            </w:r>
          </w:p>
        </w:tc>
        <w:tc>
          <w:tcPr>
            <w:tcW w:w="1559" w:type="dxa"/>
            <w:vAlign w:val="center"/>
          </w:tcPr>
          <w:p w14:paraId="631304F6">
            <w:pPr>
              <w:pStyle w:val="15"/>
              <w:rPr>
                <w:rFonts w:asciiTheme="minorEastAsia" w:hAnsiTheme="minorEastAsia" w:eastAsiaTheme="minorEastAsia"/>
              </w:rPr>
            </w:pPr>
            <w:r>
              <w:rPr>
                <w:rFonts w:asciiTheme="minorEastAsia" w:hAnsiTheme="minorEastAsia" w:eastAsiaTheme="minorEastAsia"/>
              </w:rPr>
              <w:t>√</w:t>
            </w:r>
          </w:p>
        </w:tc>
        <w:tc>
          <w:tcPr>
            <w:tcW w:w="1417" w:type="dxa"/>
            <w:vAlign w:val="center"/>
          </w:tcPr>
          <w:p w14:paraId="6BB24DD2">
            <w:pPr>
              <w:pStyle w:val="15"/>
              <w:rPr>
                <w:rFonts w:asciiTheme="minorEastAsia" w:hAnsiTheme="minorEastAsia" w:eastAsiaTheme="minorEastAsia"/>
              </w:rPr>
            </w:pPr>
            <w:r>
              <w:rPr>
                <w:rFonts w:asciiTheme="minorEastAsia" w:hAnsiTheme="minorEastAsia" w:eastAsiaTheme="minorEastAsia"/>
              </w:rPr>
              <w:t>√</w:t>
            </w:r>
          </w:p>
        </w:tc>
        <w:tc>
          <w:tcPr>
            <w:tcW w:w="1276" w:type="dxa"/>
            <w:vAlign w:val="center"/>
          </w:tcPr>
          <w:p w14:paraId="3260662E">
            <w:pPr>
              <w:pStyle w:val="15"/>
              <w:rPr>
                <w:rFonts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373CB3F9">
            <w:pPr>
              <w:pStyle w:val="15"/>
              <w:rPr>
                <w:rFonts w:asciiTheme="minorEastAsia" w:hAnsiTheme="minorEastAsia" w:eastAsiaTheme="minorEastAsia"/>
              </w:rPr>
            </w:pPr>
            <w:r>
              <w:rPr>
                <w:rFonts w:asciiTheme="minorEastAsia" w:hAnsiTheme="minorEastAsia" w:eastAsiaTheme="minorEastAsia"/>
              </w:rPr>
              <w:t>√</w:t>
            </w:r>
          </w:p>
        </w:tc>
      </w:tr>
      <w:tr w14:paraId="4EA12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1DD79A69">
            <w:pPr>
              <w:pStyle w:val="15"/>
              <w:jc w:val="both"/>
              <w:rPr>
                <w:rFonts w:asciiTheme="minorEastAsia" w:hAnsiTheme="minorEastAsia" w:eastAsiaTheme="minorEastAsia"/>
              </w:rPr>
            </w:pPr>
            <w:r>
              <w:rPr>
                <w:rFonts w:hint="eastAsia" w:asciiTheme="minorEastAsia" w:hAnsiTheme="minorEastAsia" w:eastAsiaTheme="minorEastAsia"/>
              </w:rPr>
              <w:t>第七单元 常见病原菌</w:t>
            </w:r>
          </w:p>
        </w:tc>
        <w:tc>
          <w:tcPr>
            <w:tcW w:w="1559" w:type="dxa"/>
            <w:vAlign w:val="center"/>
          </w:tcPr>
          <w:p w14:paraId="734B6810">
            <w:pPr>
              <w:pStyle w:val="15"/>
              <w:rPr>
                <w:rFonts w:asciiTheme="minorEastAsia" w:hAnsiTheme="minorEastAsia" w:eastAsiaTheme="minorEastAsia"/>
              </w:rPr>
            </w:pPr>
            <w:r>
              <w:rPr>
                <w:rFonts w:asciiTheme="minorEastAsia" w:hAnsiTheme="minorEastAsia" w:eastAsiaTheme="minorEastAsia"/>
              </w:rPr>
              <w:t>√</w:t>
            </w:r>
          </w:p>
        </w:tc>
        <w:tc>
          <w:tcPr>
            <w:tcW w:w="1417" w:type="dxa"/>
            <w:vAlign w:val="center"/>
          </w:tcPr>
          <w:p w14:paraId="2EE41750">
            <w:pPr>
              <w:pStyle w:val="15"/>
              <w:rPr>
                <w:rFonts w:asciiTheme="minorEastAsia" w:hAnsiTheme="minorEastAsia" w:eastAsiaTheme="minorEastAsia"/>
              </w:rPr>
            </w:pPr>
            <w:r>
              <w:rPr>
                <w:rFonts w:asciiTheme="minorEastAsia" w:hAnsiTheme="minorEastAsia" w:eastAsiaTheme="minorEastAsia"/>
              </w:rPr>
              <w:t>√</w:t>
            </w:r>
          </w:p>
        </w:tc>
        <w:tc>
          <w:tcPr>
            <w:tcW w:w="1276" w:type="dxa"/>
            <w:vAlign w:val="center"/>
          </w:tcPr>
          <w:p w14:paraId="7F5F284F">
            <w:pPr>
              <w:pStyle w:val="15"/>
              <w:rPr>
                <w:rFonts w:asciiTheme="minorEastAsia" w:hAnsiTheme="minorEastAsia" w:eastAsiaTheme="minorEastAsia"/>
              </w:rPr>
            </w:pPr>
            <w:r>
              <w:rPr>
                <w:rFonts w:asciiTheme="minorEastAsia" w:hAnsiTheme="minorEastAsia" w:eastAsiaTheme="minorEastAsia"/>
              </w:rPr>
              <w:t>√</w:t>
            </w:r>
          </w:p>
        </w:tc>
        <w:tc>
          <w:tcPr>
            <w:tcW w:w="1275" w:type="dxa"/>
            <w:tcBorders>
              <w:right w:val="single" w:color="auto" w:sz="12" w:space="0"/>
            </w:tcBorders>
            <w:vAlign w:val="center"/>
          </w:tcPr>
          <w:p w14:paraId="009A4D26">
            <w:pPr>
              <w:pStyle w:val="15"/>
              <w:rPr>
                <w:rFonts w:asciiTheme="minorEastAsia" w:hAnsiTheme="minorEastAsia" w:eastAsiaTheme="minorEastAsia"/>
              </w:rPr>
            </w:pPr>
            <w:r>
              <w:rPr>
                <w:rFonts w:asciiTheme="minorEastAsia" w:hAnsiTheme="minorEastAsia" w:eastAsiaTheme="minorEastAsia"/>
              </w:rPr>
              <w:t>√</w:t>
            </w:r>
          </w:p>
        </w:tc>
      </w:tr>
      <w:tr w14:paraId="541F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bottom w:val="single" w:color="auto" w:sz="12" w:space="0"/>
            </w:tcBorders>
          </w:tcPr>
          <w:p w14:paraId="5FB89841">
            <w:pPr>
              <w:pStyle w:val="15"/>
              <w:jc w:val="both"/>
              <w:rPr>
                <w:rFonts w:asciiTheme="minorEastAsia" w:hAnsiTheme="minorEastAsia" w:eastAsiaTheme="minorEastAsia"/>
              </w:rPr>
            </w:pPr>
            <w:r>
              <w:rPr>
                <w:rFonts w:hint="eastAsia" w:asciiTheme="minorEastAsia" w:hAnsiTheme="minorEastAsia" w:eastAsiaTheme="minorEastAsia"/>
              </w:rPr>
              <w:t>第八单元 常见病毒</w:t>
            </w:r>
          </w:p>
        </w:tc>
        <w:tc>
          <w:tcPr>
            <w:tcW w:w="1559" w:type="dxa"/>
            <w:tcBorders>
              <w:bottom w:val="single" w:color="auto" w:sz="12" w:space="0"/>
            </w:tcBorders>
            <w:vAlign w:val="center"/>
          </w:tcPr>
          <w:p w14:paraId="47B5EBDA">
            <w:pPr>
              <w:pStyle w:val="15"/>
              <w:rPr>
                <w:rFonts w:asciiTheme="minorEastAsia" w:hAnsiTheme="minorEastAsia" w:eastAsiaTheme="minorEastAsia"/>
              </w:rPr>
            </w:pPr>
            <w:r>
              <w:rPr>
                <w:rFonts w:asciiTheme="minorEastAsia" w:hAnsiTheme="minorEastAsia" w:eastAsiaTheme="minorEastAsia"/>
              </w:rPr>
              <w:t>√</w:t>
            </w:r>
          </w:p>
        </w:tc>
        <w:tc>
          <w:tcPr>
            <w:tcW w:w="1417" w:type="dxa"/>
            <w:tcBorders>
              <w:bottom w:val="single" w:color="auto" w:sz="12" w:space="0"/>
            </w:tcBorders>
            <w:vAlign w:val="center"/>
          </w:tcPr>
          <w:p w14:paraId="2925D5CD">
            <w:pPr>
              <w:pStyle w:val="15"/>
              <w:rPr>
                <w:rFonts w:asciiTheme="minorEastAsia" w:hAnsiTheme="minorEastAsia" w:eastAsiaTheme="minorEastAsia"/>
              </w:rPr>
            </w:pPr>
            <w:r>
              <w:rPr>
                <w:rFonts w:asciiTheme="minorEastAsia" w:hAnsiTheme="minorEastAsia" w:eastAsiaTheme="minorEastAsia"/>
              </w:rPr>
              <w:t>√</w:t>
            </w:r>
          </w:p>
        </w:tc>
        <w:tc>
          <w:tcPr>
            <w:tcW w:w="1276" w:type="dxa"/>
            <w:tcBorders>
              <w:bottom w:val="single" w:color="auto" w:sz="12" w:space="0"/>
            </w:tcBorders>
            <w:vAlign w:val="center"/>
          </w:tcPr>
          <w:p w14:paraId="2B87D784">
            <w:pPr>
              <w:pStyle w:val="15"/>
              <w:rPr>
                <w:rFonts w:asciiTheme="minorEastAsia" w:hAnsiTheme="minorEastAsia" w:eastAsiaTheme="minorEastAsia"/>
              </w:rPr>
            </w:pPr>
            <w:r>
              <w:rPr>
                <w:rFonts w:asciiTheme="minorEastAsia" w:hAnsiTheme="minorEastAsia" w:eastAsiaTheme="minorEastAsia"/>
              </w:rPr>
              <w:t>√</w:t>
            </w:r>
          </w:p>
        </w:tc>
        <w:tc>
          <w:tcPr>
            <w:tcW w:w="1275" w:type="dxa"/>
            <w:tcBorders>
              <w:bottom w:val="single" w:color="auto" w:sz="12" w:space="0"/>
              <w:right w:val="single" w:color="auto" w:sz="12" w:space="0"/>
            </w:tcBorders>
            <w:vAlign w:val="center"/>
          </w:tcPr>
          <w:p w14:paraId="1563A5B8">
            <w:pPr>
              <w:pStyle w:val="15"/>
              <w:rPr>
                <w:rFonts w:asciiTheme="minorEastAsia" w:hAnsiTheme="minorEastAsia" w:eastAsiaTheme="minorEastAsia"/>
              </w:rPr>
            </w:pPr>
            <w:r>
              <w:rPr>
                <w:rFonts w:asciiTheme="minorEastAsia" w:hAnsiTheme="minorEastAsia" w:eastAsiaTheme="minorEastAsia"/>
              </w:rPr>
              <w:t>√</w:t>
            </w:r>
          </w:p>
        </w:tc>
      </w:tr>
    </w:tbl>
    <w:p w14:paraId="5ABFEF3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1047EB9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3226C472">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24EA7652">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144B1E29">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05A51759">
            <w:pPr>
              <w:widowControl w:val="0"/>
              <w:snapToGrid w:val="0"/>
              <w:jc w:val="center"/>
              <w:rPr>
                <w:rFonts w:ascii="黑体" w:hAnsi="黑体" w:eastAsia="黑体"/>
                <w:bCs/>
                <w:sz w:val="21"/>
                <w:szCs w:val="21"/>
              </w:rPr>
            </w:pPr>
          </w:p>
        </w:tc>
        <w:tc>
          <w:tcPr>
            <w:tcW w:w="2690" w:type="dxa"/>
            <w:vMerge w:val="continue"/>
          </w:tcPr>
          <w:p w14:paraId="297D6615">
            <w:pPr>
              <w:widowControl w:val="0"/>
              <w:snapToGrid w:val="0"/>
              <w:jc w:val="center"/>
              <w:rPr>
                <w:rFonts w:ascii="黑体" w:hAnsi="黑体" w:eastAsia="黑体"/>
                <w:bCs/>
                <w:sz w:val="21"/>
                <w:szCs w:val="21"/>
              </w:rPr>
            </w:pPr>
          </w:p>
        </w:tc>
        <w:tc>
          <w:tcPr>
            <w:tcW w:w="1697" w:type="dxa"/>
            <w:vMerge w:val="continue"/>
          </w:tcPr>
          <w:p w14:paraId="4B040DCF">
            <w:pPr>
              <w:widowControl w:val="0"/>
              <w:snapToGrid w:val="0"/>
              <w:jc w:val="center"/>
              <w:rPr>
                <w:rFonts w:ascii="黑体" w:hAnsi="黑体" w:eastAsia="黑体"/>
                <w:bCs/>
                <w:sz w:val="21"/>
                <w:szCs w:val="21"/>
              </w:rPr>
            </w:pPr>
          </w:p>
        </w:tc>
        <w:tc>
          <w:tcPr>
            <w:tcW w:w="708" w:type="dxa"/>
            <w:vAlign w:val="center"/>
          </w:tcPr>
          <w:p w14:paraId="4AC208A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10D38E8C">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1F103F18">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EF6BE0D">
            <w:pPr>
              <w:pStyle w:val="15"/>
              <w:widowControl w:val="0"/>
              <w:spacing w:line="300" w:lineRule="exact"/>
              <w:jc w:val="both"/>
              <w:rPr>
                <w:rFonts w:ascii="宋体" w:hAnsi="宋体"/>
              </w:rPr>
            </w:pPr>
            <w:r>
              <w:rPr>
                <w:rFonts w:hint="eastAsia" w:ascii="宋体" w:hAnsi="宋体"/>
              </w:rPr>
              <w:t>第一单元 免疫器官和免疫细胞</w:t>
            </w:r>
          </w:p>
        </w:tc>
        <w:tc>
          <w:tcPr>
            <w:tcW w:w="2690" w:type="dxa"/>
            <w:vAlign w:val="center"/>
          </w:tcPr>
          <w:p w14:paraId="43E2E2FB">
            <w:pPr>
              <w:widowControl w:val="0"/>
              <w:snapToGrid w:val="0"/>
              <w:spacing w:line="300" w:lineRule="exact"/>
              <w:jc w:val="both"/>
              <w:rPr>
                <w:bCs/>
                <w:sz w:val="21"/>
                <w:szCs w:val="21"/>
              </w:rPr>
            </w:pPr>
            <w:r>
              <w:rPr>
                <w:rFonts w:hint="eastAsia"/>
                <w:bCs/>
                <w:sz w:val="21"/>
                <w:szCs w:val="21"/>
              </w:rPr>
              <w:t>教：讲述教学法、讨论教学法。</w:t>
            </w:r>
          </w:p>
          <w:p w14:paraId="1AE5D317">
            <w:pPr>
              <w:widowControl w:val="0"/>
              <w:snapToGrid w:val="0"/>
              <w:spacing w:line="300" w:lineRule="exact"/>
              <w:jc w:val="both"/>
              <w:rPr>
                <w:bCs/>
                <w:sz w:val="21"/>
                <w:szCs w:val="21"/>
              </w:rPr>
            </w:pPr>
            <w:r>
              <w:rPr>
                <w:rFonts w:hint="eastAsia"/>
                <w:bCs/>
                <w:sz w:val="21"/>
                <w:szCs w:val="21"/>
              </w:rPr>
              <w:t>学：</w:t>
            </w:r>
            <w:r>
              <w:rPr>
                <w:bCs/>
                <w:sz w:val="21"/>
                <w:szCs w:val="21"/>
              </w:rPr>
              <w:t xml:space="preserve">PBL </w:t>
            </w:r>
          </w:p>
        </w:tc>
        <w:tc>
          <w:tcPr>
            <w:tcW w:w="1697" w:type="dxa"/>
            <w:vAlign w:val="center"/>
          </w:tcPr>
          <w:p w14:paraId="16341AE3">
            <w:pPr>
              <w:widowControl w:val="0"/>
              <w:snapToGrid w:val="0"/>
              <w:spacing w:line="300" w:lineRule="exact"/>
              <w:jc w:val="center"/>
              <w:rPr>
                <w:bCs/>
                <w:sz w:val="21"/>
                <w:szCs w:val="21"/>
              </w:rPr>
            </w:pPr>
            <w:r>
              <w:rPr>
                <w:rFonts w:hint="eastAsia"/>
                <w:bCs/>
                <w:sz w:val="21"/>
                <w:szCs w:val="21"/>
              </w:rPr>
              <w:t>纸笔测试</w:t>
            </w:r>
          </w:p>
          <w:p w14:paraId="1671CBB1">
            <w:pPr>
              <w:widowControl w:val="0"/>
              <w:snapToGrid w:val="0"/>
              <w:spacing w:line="300" w:lineRule="exact"/>
              <w:jc w:val="center"/>
              <w:rPr>
                <w:bCs/>
                <w:sz w:val="21"/>
                <w:szCs w:val="21"/>
              </w:rPr>
            </w:pPr>
          </w:p>
        </w:tc>
        <w:tc>
          <w:tcPr>
            <w:tcW w:w="708" w:type="dxa"/>
          </w:tcPr>
          <w:p w14:paraId="7DDFCF13">
            <w:pPr>
              <w:widowControl w:val="0"/>
              <w:snapToGrid w:val="0"/>
              <w:spacing w:line="300" w:lineRule="exact"/>
              <w:jc w:val="center"/>
              <w:rPr>
                <w:bCs/>
                <w:sz w:val="21"/>
                <w:szCs w:val="21"/>
              </w:rPr>
            </w:pPr>
            <w:r>
              <w:rPr>
                <w:sz w:val="21"/>
                <w:szCs w:val="21"/>
              </w:rPr>
              <w:t>2</w:t>
            </w:r>
          </w:p>
        </w:tc>
        <w:tc>
          <w:tcPr>
            <w:tcW w:w="653" w:type="dxa"/>
          </w:tcPr>
          <w:p w14:paraId="0E18152D">
            <w:pPr>
              <w:widowControl w:val="0"/>
              <w:snapToGrid w:val="0"/>
              <w:spacing w:line="300" w:lineRule="exact"/>
              <w:jc w:val="center"/>
              <w:rPr>
                <w:bCs/>
                <w:sz w:val="21"/>
                <w:szCs w:val="21"/>
              </w:rPr>
            </w:pPr>
            <w:r>
              <w:rPr>
                <w:sz w:val="21"/>
                <w:szCs w:val="21"/>
              </w:rPr>
              <w:t>0</w:t>
            </w:r>
          </w:p>
        </w:tc>
        <w:tc>
          <w:tcPr>
            <w:tcW w:w="700" w:type="dxa"/>
            <w:tcBorders>
              <w:right w:val="single" w:color="auto" w:sz="12" w:space="0"/>
            </w:tcBorders>
          </w:tcPr>
          <w:p w14:paraId="4CF109D5">
            <w:pPr>
              <w:widowControl w:val="0"/>
              <w:snapToGrid w:val="0"/>
              <w:spacing w:line="300" w:lineRule="exact"/>
              <w:jc w:val="center"/>
              <w:rPr>
                <w:bCs/>
                <w:sz w:val="21"/>
                <w:szCs w:val="21"/>
              </w:rPr>
            </w:pPr>
            <w:r>
              <w:rPr>
                <w:sz w:val="21"/>
                <w:szCs w:val="21"/>
              </w:rPr>
              <w:t>2</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336D78AA">
            <w:pPr>
              <w:pStyle w:val="15"/>
              <w:widowControl w:val="0"/>
              <w:spacing w:line="300" w:lineRule="exact"/>
              <w:jc w:val="both"/>
              <w:rPr>
                <w:rFonts w:ascii="宋体" w:hAnsi="宋体"/>
              </w:rPr>
            </w:pPr>
            <w:r>
              <w:rPr>
                <w:rFonts w:hint="eastAsia" w:ascii="宋体" w:hAnsi="宋体"/>
              </w:rPr>
              <w:t>第二单元 抗原与免疫分子</w:t>
            </w:r>
          </w:p>
        </w:tc>
        <w:tc>
          <w:tcPr>
            <w:tcW w:w="2690" w:type="dxa"/>
            <w:vAlign w:val="center"/>
          </w:tcPr>
          <w:p w14:paraId="25BB175F">
            <w:pPr>
              <w:widowControl w:val="0"/>
              <w:snapToGrid w:val="0"/>
              <w:spacing w:line="300" w:lineRule="exact"/>
              <w:jc w:val="both"/>
              <w:rPr>
                <w:bCs/>
                <w:sz w:val="21"/>
                <w:szCs w:val="21"/>
              </w:rPr>
            </w:pPr>
            <w:r>
              <w:rPr>
                <w:rFonts w:hint="eastAsia"/>
                <w:bCs/>
                <w:sz w:val="21"/>
                <w:szCs w:val="21"/>
              </w:rPr>
              <w:t>教：讲述教学法、讨论教学法、显微镜示教教学法。</w:t>
            </w:r>
          </w:p>
          <w:p w14:paraId="09BAD965">
            <w:pPr>
              <w:widowControl w:val="0"/>
              <w:snapToGrid w:val="0"/>
              <w:spacing w:line="300" w:lineRule="exact"/>
              <w:jc w:val="both"/>
              <w:rPr>
                <w:bCs/>
                <w:sz w:val="21"/>
                <w:szCs w:val="21"/>
              </w:rPr>
            </w:pPr>
            <w:r>
              <w:rPr>
                <w:rFonts w:hint="eastAsia"/>
                <w:bCs/>
                <w:sz w:val="21"/>
                <w:szCs w:val="21"/>
              </w:rPr>
              <w:t>学：</w:t>
            </w:r>
            <w:r>
              <w:rPr>
                <w:bCs/>
                <w:sz w:val="21"/>
                <w:szCs w:val="21"/>
              </w:rPr>
              <w:t>PBL</w:t>
            </w:r>
            <w:r>
              <w:rPr>
                <w:rFonts w:hint="eastAsia"/>
                <w:bCs/>
                <w:sz w:val="21"/>
                <w:szCs w:val="21"/>
              </w:rPr>
              <w:t>、实作学习</w:t>
            </w:r>
          </w:p>
        </w:tc>
        <w:tc>
          <w:tcPr>
            <w:tcW w:w="1697" w:type="dxa"/>
            <w:vAlign w:val="center"/>
          </w:tcPr>
          <w:p w14:paraId="1D07A982">
            <w:pPr>
              <w:widowControl/>
              <w:snapToGrid w:val="0"/>
              <w:spacing w:line="300" w:lineRule="exact"/>
              <w:jc w:val="center"/>
              <w:rPr>
                <w:bCs/>
                <w:sz w:val="21"/>
                <w:szCs w:val="21"/>
              </w:rPr>
            </w:pPr>
            <w:r>
              <w:rPr>
                <w:rFonts w:hint="eastAsia"/>
                <w:bCs/>
                <w:sz w:val="21"/>
                <w:szCs w:val="21"/>
              </w:rPr>
              <w:t>纸笔测试</w:t>
            </w:r>
          </w:p>
          <w:p w14:paraId="6456A219">
            <w:pPr>
              <w:widowControl/>
              <w:snapToGrid w:val="0"/>
              <w:spacing w:line="300" w:lineRule="exact"/>
              <w:jc w:val="center"/>
              <w:rPr>
                <w:bCs/>
                <w:sz w:val="21"/>
                <w:szCs w:val="21"/>
              </w:rPr>
            </w:pPr>
            <w:r>
              <w:rPr>
                <w:rFonts w:hint="eastAsia"/>
                <w:bCs/>
                <w:sz w:val="21"/>
                <w:szCs w:val="21"/>
              </w:rPr>
              <w:t>实验报告</w:t>
            </w:r>
          </w:p>
        </w:tc>
        <w:tc>
          <w:tcPr>
            <w:tcW w:w="708" w:type="dxa"/>
          </w:tcPr>
          <w:p w14:paraId="60329DAE">
            <w:pPr>
              <w:widowControl w:val="0"/>
              <w:snapToGrid w:val="0"/>
              <w:spacing w:line="300" w:lineRule="exact"/>
              <w:jc w:val="center"/>
              <w:rPr>
                <w:bCs/>
                <w:sz w:val="21"/>
                <w:szCs w:val="21"/>
              </w:rPr>
            </w:pPr>
            <w:r>
              <w:rPr>
                <w:sz w:val="21"/>
                <w:szCs w:val="21"/>
              </w:rPr>
              <w:t>1</w:t>
            </w:r>
          </w:p>
        </w:tc>
        <w:tc>
          <w:tcPr>
            <w:tcW w:w="653" w:type="dxa"/>
          </w:tcPr>
          <w:p w14:paraId="10D7F993">
            <w:pPr>
              <w:widowControl w:val="0"/>
              <w:snapToGrid w:val="0"/>
              <w:spacing w:line="300" w:lineRule="exact"/>
              <w:jc w:val="center"/>
              <w:rPr>
                <w:bCs/>
                <w:sz w:val="21"/>
                <w:szCs w:val="21"/>
              </w:rPr>
            </w:pPr>
            <w:r>
              <w:rPr>
                <w:sz w:val="21"/>
                <w:szCs w:val="21"/>
              </w:rPr>
              <w:t>1</w:t>
            </w:r>
          </w:p>
        </w:tc>
        <w:tc>
          <w:tcPr>
            <w:tcW w:w="700" w:type="dxa"/>
            <w:tcBorders>
              <w:right w:val="single" w:color="auto" w:sz="12" w:space="0"/>
            </w:tcBorders>
          </w:tcPr>
          <w:p w14:paraId="488E3C51">
            <w:pPr>
              <w:widowControl w:val="0"/>
              <w:snapToGrid w:val="0"/>
              <w:spacing w:line="300" w:lineRule="exact"/>
              <w:jc w:val="center"/>
              <w:rPr>
                <w:bCs/>
                <w:sz w:val="21"/>
                <w:szCs w:val="21"/>
              </w:rPr>
            </w:pPr>
            <w:r>
              <w:rPr>
                <w:sz w:val="21"/>
                <w:szCs w:val="21"/>
              </w:rPr>
              <w:t>2</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6658EB62">
            <w:pPr>
              <w:pStyle w:val="15"/>
              <w:widowControl w:val="0"/>
              <w:spacing w:line="300" w:lineRule="exact"/>
              <w:jc w:val="both"/>
              <w:rPr>
                <w:rFonts w:ascii="宋体" w:hAnsi="宋体"/>
              </w:rPr>
            </w:pPr>
            <w:r>
              <w:rPr>
                <w:rFonts w:hint="eastAsia" w:ascii="宋体" w:hAnsi="宋体"/>
              </w:rPr>
              <w:t xml:space="preserve">第三单元 补体 </w:t>
            </w:r>
            <w:r>
              <w:rPr>
                <w:rFonts w:ascii="宋体" w:hAnsi="宋体"/>
              </w:rPr>
              <w:t>MHC</w:t>
            </w:r>
          </w:p>
        </w:tc>
        <w:tc>
          <w:tcPr>
            <w:tcW w:w="2690" w:type="dxa"/>
            <w:vAlign w:val="center"/>
          </w:tcPr>
          <w:p w14:paraId="366A20C3">
            <w:pPr>
              <w:widowControl w:val="0"/>
              <w:snapToGrid w:val="0"/>
              <w:spacing w:line="300" w:lineRule="exact"/>
              <w:jc w:val="both"/>
              <w:rPr>
                <w:bCs/>
                <w:sz w:val="21"/>
                <w:szCs w:val="21"/>
              </w:rPr>
            </w:pPr>
            <w:r>
              <w:rPr>
                <w:rFonts w:hint="eastAsia"/>
                <w:bCs/>
                <w:sz w:val="21"/>
                <w:szCs w:val="21"/>
              </w:rPr>
              <w:t>教：讲述教学法、讨论教学法。</w:t>
            </w:r>
          </w:p>
          <w:p w14:paraId="7C4AF4A7">
            <w:pPr>
              <w:widowControl w:val="0"/>
              <w:snapToGrid w:val="0"/>
              <w:spacing w:line="300" w:lineRule="exact"/>
              <w:jc w:val="both"/>
              <w:rPr>
                <w:bCs/>
                <w:sz w:val="21"/>
                <w:szCs w:val="21"/>
              </w:rPr>
            </w:pPr>
            <w:r>
              <w:rPr>
                <w:rFonts w:hint="eastAsia"/>
                <w:bCs/>
                <w:sz w:val="21"/>
                <w:szCs w:val="21"/>
              </w:rPr>
              <w:t>学：</w:t>
            </w:r>
            <w:r>
              <w:rPr>
                <w:bCs/>
                <w:sz w:val="21"/>
                <w:szCs w:val="21"/>
              </w:rPr>
              <w:t xml:space="preserve">PBL </w:t>
            </w:r>
          </w:p>
        </w:tc>
        <w:tc>
          <w:tcPr>
            <w:tcW w:w="1697" w:type="dxa"/>
            <w:vAlign w:val="center"/>
          </w:tcPr>
          <w:p w14:paraId="082C9BEA">
            <w:pPr>
              <w:widowControl w:val="0"/>
              <w:snapToGrid w:val="0"/>
              <w:spacing w:line="300" w:lineRule="exact"/>
              <w:jc w:val="center"/>
              <w:rPr>
                <w:bCs/>
                <w:sz w:val="21"/>
                <w:szCs w:val="21"/>
              </w:rPr>
            </w:pPr>
            <w:r>
              <w:rPr>
                <w:rFonts w:hint="eastAsia"/>
                <w:bCs/>
                <w:sz w:val="21"/>
                <w:szCs w:val="21"/>
              </w:rPr>
              <w:t>纸笔测试</w:t>
            </w:r>
          </w:p>
          <w:p w14:paraId="054C380B">
            <w:pPr>
              <w:widowControl w:val="0"/>
              <w:snapToGrid w:val="0"/>
              <w:spacing w:line="300" w:lineRule="exact"/>
              <w:jc w:val="center"/>
              <w:rPr>
                <w:bCs/>
                <w:sz w:val="21"/>
                <w:szCs w:val="21"/>
              </w:rPr>
            </w:pPr>
          </w:p>
        </w:tc>
        <w:tc>
          <w:tcPr>
            <w:tcW w:w="708" w:type="dxa"/>
          </w:tcPr>
          <w:p w14:paraId="629893A4">
            <w:pPr>
              <w:widowControl w:val="0"/>
              <w:snapToGrid w:val="0"/>
              <w:spacing w:line="300" w:lineRule="exact"/>
              <w:jc w:val="center"/>
              <w:rPr>
                <w:bCs/>
                <w:sz w:val="21"/>
                <w:szCs w:val="21"/>
              </w:rPr>
            </w:pPr>
            <w:r>
              <w:rPr>
                <w:sz w:val="21"/>
                <w:szCs w:val="21"/>
              </w:rPr>
              <w:t>2</w:t>
            </w:r>
          </w:p>
        </w:tc>
        <w:tc>
          <w:tcPr>
            <w:tcW w:w="653" w:type="dxa"/>
          </w:tcPr>
          <w:p w14:paraId="1264E6DA">
            <w:pPr>
              <w:widowControl w:val="0"/>
              <w:snapToGrid w:val="0"/>
              <w:spacing w:line="300" w:lineRule="exact"/>
              <w:jc w:val="center"/>
              <w:rPr>
                <w:bCs/>
                <w:sz w:val="21"/>
                <w:szCs w:val="21"/>
              </w:rPr>
            </w:pPr>
            <w:r>
              <w:rPr>
                <w:sz w:val="21"/>
                <w:szCs w:val="21"/>
              </w:rPr>
              <w:t>0</w:t>
            </w:r>
          </w:p>
        </w:tc>
        <w:tc>
          <w:tcPr>
            <w:tcW w:w="700" w:type="dxa"/>
            <w:tcBorders>
              <w:right w:val="single" w:color="auto" w:sz="12" w:space="0"/>
            </w:tcBorders>
          </w:tcPr>
          <w:p w14:paraId="43F8FEBB">
            <w:pPr>
              <w:widowControl w:val="0"/>
              <w:snapToGrid w:val="0"/>
              <w:spacing w:line="300" w:lineRule="exact"/>
              <w:jc w:val="center"/>
              <w:rPr>
                <w:bCs/>
                <w:sz w:val="21"/>
                <w:szCs w:val="21"/>
              </w:rPr>
            </w:pPr>
            <w:r>
              <w:rPr>
                <w:sz w:val="21"/>
                <w:szCs w:val="21"/>
              </w:rPr>
              <w:t>2</w:t>
            </w:r>
          </w:p>
        </w:tc>
      </w:tr>
      <w:tr w14:paraId="4258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537CA127">
            <w:pPr>
              <w:pStyle w:val="15"/>
              <w:widowControl w:val="0"/>
              <w:spacing w:line="300" w:lineRule="exact"/>
              <w:jc w:val="both"/>
              <w:rPr>
                <w:rFonts w:ascii="宋体" w:hAnsi="宋体"/>
              </w:rPr>
            </w:pPr>
            <w:r>
              <w:rPr>
                <w:rFonts w:hint="eastAsia" w:ascii="宋体" w:hAnsi="宋体"/>
              </w:rPr>
              <w:t>第四单元 临床免疫</w:t>
            </w:r>
          </w:p>
        </w:tc>
        <w:tc>
          <w:tcPr>
            <w:tcW w:w="2690" w:type="dxa"/>
            <w:vAlign w:val="center"/>
          </w:tcPr>
          <w:p w14:paraId="4AC34773">
            <w:pPr>
              <w:widowControl w:val="0"/>
              <w:snapToGrid w:val="0"/>
              <w:spacing w:line="300" w:lineRule="exact"/>
              <w:jc w:val="both"/>
              <w:rPr>
                <w:bCs/>
                <w:sz w:val="21"/>
                <w:szCs w:val="21"/>
              </w:rPr>
            </w:pPr>
            <w:r>
              <w:rPr>
                <w:rFonts w:hint="eastAsia"/>
                <w:bCs/>
                <w:sz w:val="21"/>
                <w:szCs w:val="21"/>
              </w:rPr>
              <w:t>教：讲述教学法、讨论教学法、显微镜示教教学法。</w:t>
            </w:r>
          </w:p>
          <w:p w14:paraId="6F3F3B11">
            <w:pPr>
              <w:widowControl w:val="0"/>
              <w:snapToGrid w:val="0"/>
              <w:spacing w:line="300" w:lineRule="exact"/>
              <w:jc w:val="both"/>
              <w:rPr>
                <w:bCs/>
                <w:sz w:val="21"/>
                <w:szCs w:val="21"/>
              </w:rPr>
            </w:pPr>
            <w:r>
              <w:rPr>
                <w:rFonts w:hint="eastAsia"/>
                <w:bCs/>
                <w:sz w:val="21"/>
                <w:szCs w:val="21"/>
              </w:rPr>
              <w:t>学：</w:t>
            </w:r>
            <w:r>
              <w:rPr>
                <w:bCs/>
                <w:sz w:val="21"/>
                <w:szCs w:val="21"/>
              </w:rPr>
              <w:t>PBL</w:t>
            </w:r>
            <w:r>
              <w:rPr>
                <w:rFonts w:hint="eastAsia"/>
                <w:bCs/>
                <w:sz w:val="21"/>
                <w:szCs w:val="21"/>
              </w:rPr>
              <w:t>、实作学习</w:t>
            </w:r>
          </w:p>
        </w:tc>
        <w:tc>
          <w:tcPr>
            <w:tcW w:w="1697" w:type="dxa"/>
            <w:vAlign w:val="center"/>
          </w:tcPr>
          <w:p w14:paraId="0E76EB35">
            <w:pPr>
              <w:widowControl w:val="0"/>
              <w:snapToGrid w:val="0"/>
              <w:spacing w:line="300" w:lineRule="exact"/>
              <w:jc w:val="center"/>
              <w:rPr>
                <w:bCs/>
                <w:sz w:val="21"/>
                <w:szCs w:val="21"/>
              </w:rPr>
            </w:pPr>
            <w:r>
              <w:rPr>
                <w:rFonts w:hint="eastAsia"/>
                <w:bCs/>
                <w:sz w:val="21"/>
                <w:szCs w:val="21"/>
              </w:rPr>
              <w:t>纸笔测试</w:t>
            </w:r>
          </w:p>
          <w:p w14:paraId="67C9FC93">
            <w:pPr>
              <w:widowControl w:val="0"/>
              <w:snapToGrid w:val="0"/>
              <w:spacing w:line="300" w:lineRule="exact"/>
              <w:jc w:val="center"/>
              <w:rPr>
                <w:bCs/>
                <w:sz w:val="21"/>
                <w:szCs w:val="21"/>
              </w:rPr>
            </w:pPr>
            <w:r>
              <w:rPr>
                <w:rFonts w:hint="eastAsia"/>
                <w:bCs/>
                <w:sz w:val="21"/>
                <w:szCs w:val="21"/>
              </w:rPr>
              <w:t>实验报告</w:t>
            </w:r>
          </w:p>
        </w:tc>
        <w:tc>
          <w:tcPr>
            <w:tcW w:w="708" w:type="dxa"/>
          </w:tcPr>
          <w:p w14:paraId="4AEB87EA">
            <w:pPr>
              <w:widowControl w:val="0"/>
              <w:snapToGrid w:val="0"/>
              <w:spacing w:line="300" w:lineRule="exact"/>
              <w:jc w:val="center"/>
              <w:rPr>
                <w:bCs/>
                <w:sz w:val="21"/>
                <w:szCs w:val="21"/>
              </w:rPr>
            </w:pPr>
            <w:r>
              <w:rPr>
                <w:sz w:val="21"/>
                <w:szCs w:val="21"/>
              </w:rPr>
              <w:t>1</w:t>
            </w:r>
          </w:p>
        </w:tc>
        <w:tc>
          <w:tcPr>
            <w:tcW w:w="653" w:type="dxa"/>
          </w:tcPr>
          <w:p w14:paraId="48CA0728">
            <w:pPr>
              <w:widowControl w:val="0"/>
              <w:snapToGrid w:val="0"/>
              <w:spacing w:line="300" w:lineRule="exact"/>
              <w:jc w:val="center"/>
              <w:rPr>
                <w:bCs/>
                <w:sz w:val="21"/>
                <w:szCs w:val="21"/>
              </w:rPr>
            </w:pPr>
            <w:r>
              <w:rPr>
                <w:sz w:val="21"/>
                <w:szCs w:val="21"/>
              </w:rPr>
              <w:t>1</w:t>
            </w:r>
          </w:p>
        </w:tc>
        <w:tc>
          <w:tcPr>
            <w:tcW w:w="700" w:type="dxa"/>
            <w:tcBorders>
              <w:right w:val="single" w:color="auto" w:sz="12" w:space="0"/>
            </w:tcBorders>
          </w:tcPr>
          <w:p w14:paraId="098159A2">
            <w:pPr>
              <w:widowControl w:val="0"/>
              <w:snapToGrid w:val="0"/>
              <w:spacing w:line="300" w:lineRule="exact"/>
              <w:jc w:val="center"/>
              <w:rPr>
                <w:bCs/>
                <w:sz w:val="21"/>
                <w:szCs w:val="21"/>
              </w:rPr>
            </w:pPr>
            <w:r>
              <w:rPr>
                <w:sz w:val="21"/>
                <w:szCs w:val="21"/>
              </w:rPr>
              <w:t>2</w:t>
            </w:r>
          </w:p>
        </w:tc>
      </w:tr>
      <w:tr w14:paraId="42F36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21CB974">
            <w:pPr>
              <w:pStyle w:val="15"/>
              <w:widowControl w:val="0"/>
              <w:spacing w:line="300" w:lineRule="exact"/>
              <w:jc w:val="both"/>
              <w:rPr>
                <w:rFonts w:ascii="宋体" w:hAnsi="宋体"/>
              </w:rPr>
            </w:pPr>
            <w:r>
              <w:rPr>
                <w:rFonts w:hint="eastAsia" w:ascii="宋体" w:hAnsi="宋体"/>
              </w:rPr>
              <w:t>第五单元 微生物概述</w:t>
            </w:r>
          </w:p>
        </w:tc>
        <w:tc>
          <w:tcPr>
            <w:tcW w:w="2690" w:type="dxa"/>
            <w:vAlign w:val="center"/>
          </w:tcPr>
          <w:p w14:paraId="1222D4AB">
            <w:pPr>
              <w:widowControl w:val="0"/>
              <w:snapToGrid w:val="0"/>
              <w:spacing w:line="300" w:lineRule="exact"/>
              <w:jc w:val="both"/>
              <w:rPr>
                <w:bCs/>
                <w:sz w:val="21"/>
                <w:szCs w:val="21"/>
              </w:rPr>
            </w:pPr>
            <w:r>
              <w:rPr>
                <w:rFonts w:hint="eastAsia"/>
                <w:bCs/>
                <w:sz w:val="21"/>
                <w:szCs w:val="21"/>
              </w:rPr>
              <w:t>教：讲述教学法、讨论教学法、显微镜示教教学法。</w:t>
            </w:r>
          </w:p>
          <w:p w14:paraId="63036C42">
            <w:pPr>
              <w:widowControl w:val="0"/>
              <w:snapToGrid w:val="0"/>
              <w:spacing w:line="300" w:lineRule="exact"/>
              <w:jc w:val="both"/>
              <w:rPr>
                <w:bCs/>
                <w:sz w:val="21"/>
                <w:szCs w:val="21"/>
              </w:rPr>
            </w:pPr>
            <w:r>
              <w:rPr>
                <w:rFonts w:hint="eastAsia"/>
                <w:bCs/>
                <w:sz w:val="21"/>
                <w:szCs w:val="21"/>
              </w:rPr>
              <w:t>学：</w:t>
            </w:r>
            <w:r>
              <w:rPr>
                <w:bCs/>
                <w:sz w:val="21"/>
                <w:szCs w:val="21"/>
              </w:rPr>
              <w:t>PBL</w:t>
            </w:r>
            <w:r>
              <w:rPr>
                <w:rFonts w:hint="eastAsia"/>
                <w:bCs/>
                <w:sz w:val="21"/>
                <w:szCs w:val="21"/>
              </w:rPr>
              <w:t>、实作学习</w:t>
            </w:r>
          </w:p>
        </w:tc>
        <w:tc>
          <w:tcPr>
            <w:tcW w:w="1697" w:type="dxa"/>
            <w:vAlign w:val="center"/>
          </w:tcPr>
          <w:p w14:paraId="00A10ECC">
            <w:pPr>
              <w:widowControl w:val="0"/>
              <w:snapToGrid w:val="0"/>
              <w:spacing w:line="300" w:lineRule="exact"/>
              <w:jc w:val="center"/>
              <w:rPr>
                <w:bCs/>
                <w:sz w:val="21"/>
                <w:szCs w:val="21"/>
              </w:rPr>
            </w:pPr>
            <w:r>
              <w:rPr>
                <w:rFonts w:hint="eastAsia"/>
                <w:bCs/>
                <w:sz w:val="21"/>
                <w:szCs w:val="21"/>
              </w:rPr>
              <w:t>纸笔测试</w:t>
            </w:r>
          </w:p>
          <w:p w14:paraId="155D0702">
            <w:pPr>
              <w:widowControl w:val="0"/>
              <w:snapToGrid w:val="0"/>
              <w:spacing w:line="300" w:lineRule="exact"/>
              <w:jc w:val="center"/>
              <w:rPr>
                <w:bCs/>
                <w:sz w:val="21"/>
                <w:szCs w:val="21"/>
              </w:rPr>
            </w:pPr>
            <w:r>
              <w:rPr>
                <w:rFonts w:hint="eastAsia"/>
                <w:bCs/>
                <w:sz w:val="21"/>
                <w:szCs w:val="21"/>
              </w:rPr>
              <w:t>实验报告</w:t>
            </w:r>
          </w:p>
        </w:tc>
        <w:tc>
          <w:tcPr>
            <w:tcW w:w="708" w:type="dxa"/>
          </w:tcPr>
          <w:p w14:paraId="2CE281D6">
            <w:pPr>
              <w:widowControl w:val="0"/>
              <w:snapToGrid w:val="0"/>
              <w:spacing w:line="300" w:lineRule="exact"/>
              <w:jc w:val="center"/>
              <w:rPr>
                <w:bCs/>
                <w:sz w:val="21"/>
                <w:szCs w:val="21"/>
              </w:rPr>
            </w:pPr>
            <w:r>
              <w:rPr>
                <w:sz w:val="21"/>
                <w:szCs w:val="21"/>
              </w:rPr>
              <w:t>2</w:t>
            </w:r>
          </w:p>
        </w:tc>
        <w:tc>
          <w:tcPr>
            <w:tcW w:w="653" w:type="dxa"/>
          </w:tcPr>
          <w:p w14:paraId="089BCBBB">
            <w:pPr>
              <w:widowControl w:val="0"/>
              <w:snapToGrid w:val="0"/>
              <w:spacing w:line="300" w:lineRule="exact"/>
              <w:jc w:val="center"/>
              <w:rPr>
                <w:bCs/>
                <w:sz w:val="21"/>
                <w:szCs w:val="21"/>
              </w:rPr>
            </w:pPr>
            <w:r>
              <w:rPr>
                <w:sz w:val="21"/>
                <w:szCs w:val="21"/>
              </w:rPr>
              <w:t>2</w:t>
            </w:r>
          </w:p>
        </w:tc>
        <w:tc>
          <w:tcPr>
            <w:tcW w:w="700" w:type="dxa"/>
            <w:tcBorders>
              <w:right w:val="single" w:color="auto" w:sz="12" w:space="0"/>
            </w:tcBorders>
          </w:tcPr>
          <w:p w14:paraId="5BE3885E">
            <w:pPr>
              <w:widowControl w:val="0"/>
              <w:snapToGrid w:val="0"/>
              <w:spacing w:line="300" w:lineRule="exact"/>
              <w:jc w:val="center"/>
              <w:rPr>
                <w:bCs/>
                <w:sz w:val="21"/>
                <w:szCs w:val="21"/>
              </w:rPr>
            </w:pPr>
            <w:r>
              <w:rPr>
                <w:sz w:val="21"/>
                <w:szCs w:val="21"/>
              </w:rPr>
              <w:t>4</w:t>
            </w:r>
          </w:p>
        </w:tc>
      </w:tr>
      <w:tr w14:paraId="77A92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7E7E4965">
            <w:pPr>
              <w:pStyle w:val="15"/>
              <w:widowControl w:val="0"/>
              <w:spacing w:line="300" w:lineRule="exact"/>
              <w:jc w:val="both"/>
              <w:rPr>
                <w:rFonts w:ascii="宋体" w:hAnsi="宋体"/>
              </w:rPr>
            </w:pPr>
            <w:r>
              <w:rPr>
                <w:rFonts w:hint="eastAsia" w:ascii="宋体" w:hAnsi="宋体"/>
              </w:rPr>
              <w:t>第六单元 病原微生物</w:t>
            </w:r>
          </w:p>
        </w:tc>
        <w:tc>
          <w:tcPr>
            <w:tcW w:w="2690" w:type="dxa"/>
            <w:vAlign w:val="center"/>
          </w:tcPr>
          <w:p w14:paraId="1A33AD2E">
            <w:pPr>
              <w:widowControl w:val="0"/>
              <w:snapToGrid w:val="0"/>
              <w:spacing w:line="300" w:lineRule="exact"/>
              <w:jc w:val="both"/>
              <w:rPr>
                <w:bCs/>
                <w:sz w:val="21"/>
                <w:szCs w:val="21"/>
              </w:rPr>
            </w:pPr>
            <w:r>
              <w:rPr>
                <w:rFonts w:hint="eastAsia"/>
                <w:bCs/>
                <w:sz w:val="21"/>
                <w:szCs w:val="21"/>
              </w:rPr>
              <w:t>教：讲述教学法、讨论教学法、显微镜示教教学法。</w:t>
            </w:r>
          </w:p>
          <w:p w14:paraId="4DD29935">
            <w:pPr>
              <w:widowControl w:val="0"/>
              <w:snapToGrid w:val="0"/>
              <w:spacing w:line="300" w:lineRule="exact"/>
              <w:jc w:val="both"/>
              <w:rPr>
                <w:bCs/>
                <w:sz w:val="21"/>
                <w:szCs w:val="21"/>
              </w:rPr>
            </w:pPr>
            <w:r>
              <w:rPr>
                <w:rFonts w:hint="eastAsia"/>
                <w:bCs/>
                <w:sz w:val="21"/>
                <w:szCs w:val="21"/>
              </w:rPr>
              <w:t>学：</w:t>
            </w:r>
            <w:r>
              <w:rPr>
                <w:bCs/>
                <w:sz w:val="21"/>
                <w:szCs w:val="21"/>
              </w:rPr>
              <w:t>PBL</w:t>
            </w:r>
            <w:r>
              <w:rPr>
                <w:rFonts w:hint="eastAsia"/>
                <w:bCs/>
                <w:sz w:val="21"/>
                <w:szCs w:val="21"/>
              </w:rPr>
              <w:t>、实作学习</w:t>
            </w:r>
          </w:p>
        </w:tc>
        <w:tc>
          <w:tcPr>
            <w:tcW w:w="1697" w:type="dxa"/>
            <w:vAlign w:val="center"/>
          </w:tcPr>
          <w:p w14:paraId="3B5F8F21">
            <w:pPr>
              <w:widowControl w:val="0"/>
              <w:snapToGrid w:val="0"/>
              <w:spacing w:line="300" w:lineRule="exact"/>
              <w:jc w:val="center"/>
              <w:rPr>
                <w:bCs/>
                <w:sz w:val="21"/>
                <w:szCs w:val="21"/>
              </w:rPr>
            </w:pPr>
            <w:r>
              <w:rPr>
                <w:rFonts w:hint="eastAsia"/>
                <w:bCs/>
                <w:sz w:val="21"/>
                <w:szCs w:val="21"/>
              </w:rPr>
              <w:t>纸笔测试</w:t>
            </w:r>
          </w:p>
          <w:p w14:paraId="234C674A">
            <w:pPr>
              <w:widowControl w:val="0"/>
              <w:snapToGrid w:val="0"/>
              <w:spacing w:line="300" w:lineRule="exact"/>
              <w:jc w:val="center"/>
              <w:rPr>
                <w:bCs/>
                <w:sz w:val="21"/>
                <w:szCs w:val="21"/>
              </w:rPr>
            </w:pPr>
            <w:r>
              <w:rPr>
                <w:rFonts w:hint="eastAsia"/>
                <w:bCs/>
                <w:sz w:val="21"/>
                <w:szCs w:val="21"/>
              </w:rPr>
              <w:t>实验报告</w:t>
            </w:r>
          </w:p>
        </w:tc>
        <w:tc>
          <w:tcPr>
            <w:tcW w:w="708" w:type="dxa"/>
          </w:tcPr>
          <w:p w14:paraId="45233DFA">
            <w:pPr>
              <w:widowControl w:val="0"/>
              <w:snapToGrid w:val="0"/>
              <w:spacing w:line="300" w:lineRule="exact"/>
              <w:jc w:val="center"/>
              <w:rPr>
                <w:bCs/>
                <w:sz w:val="21"/>
                <w:szCs w:val="21"/>
              </w:rPr>
            </w:pPr>
            <w:r>
              <w:rPr>
                <w:sz w:val="21"/>
                <w:szCs w:val="21"/>
              </w:rPr>
              <w:t>6</w:t>
            </w:r>
          </w:p>
        </w:tc>
        <w:tc>
          <w:tcPr>
            <w:tcW w:w="653" w:type="dxa"/>
          </w:tcPr>
          <w:p w14:paraId="740D6D38">
            <w:pPr>
              <w:widowControl w:val="0"/>
              <w:snapToGrid w:val="0"/>
              <w:spacing w:line="300" w:lineRule="exact"/>
              <w:jc w:val="center"/>
              <w:rPr>
                <w:bCs/>
                <w:sz w:val="21"/>
                <w:szCs w:val="21"/>
              </w:rPr>
            </w:pPr>
            <w:r>
              <w:rPr>
                <w:sz w:val="21"/>
                <w:szCs w:val="21"/>
              </w:rPr>
              <w:t>2</w:t>
            </w:r>
          </w:p>
        </w:tc>
        <w:tc>
          <w:tcPr>
            <w:tcW w:w="700" w:type="dxa"/>
            <w:tcBorders>
              <w:right w:val="single" w:color="auto" w:sz="12" w:space="0"/>
            </w:tcBorders>
          </w:tcPr>
          <w:p w14:paraId="4223EF89">
            <w:pPr>
              <w:widowControl w:val="0"/>
              <w:snapToGrid w:val="0"/>
              <w:spacing w:line="300" w:lineRule="exact"/>
              <w:jc w:val="center"/>
              <w:rPr>
                <w:bCs/>
                <w:sz w:val="21"/>
                <w:szCs w:val="21"/>
              </w:rPr>
            </w:pPr>
            <w:r>
              <w:rPr>
                <w:sz w:val="21"/>
                <w:szCs w:val="21"/>
              </w:rPr>
              <w:t>8</w:t>
            </w:r>
          </w:p>
        </w:tc>
      </w:tr>
      <w:tr w14:paraId="44A8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FA7760D">
            <w:pPr>
              <w:pStyle w:val="15"/>
              <w:widowControl w:val="0"/>
              <w:spacing w:line="300" w:lineRule="exact"/>
              <w:jc w:val="both"/>
              <w:rPr>
                <w:rFonts w:ascii="宋体" w:hAnsi="宋体"/>
              </w:rPr>
            </w:pPr>
            <w:r>
              <w:rPr>
                <w:rFonts w:hint="eastAsia" w:ascii="宋体" w:hAnsi="宋体"/>
              </w:rPr>
              <w:t>第七单元 常见病原菌</w:t>
            </w:r>
          </w:p>
        </w:tc>
        <w:tc>
          <w:tcPr>
            <w:tcW w:w="2690" w:type="dxa"/>
            <w:vAlign w:val="center"/>
          </w:tcPr>
          <w:p w14:paraId="41E01005">
            <w:pPr>
              <w:widowControl w:val="0"/>
              <w:snapToGrid w:val="0"/>
              <w:spacing w:line="300" w:lineRule="exact"/>
              <w:jc w:val="both"/>
              <w:rPr>
                <w:bCs/>
                <w:sz w:val="21"/>
                <w:szCs w:val="21"/>
              </w:rPr>
            </w:pPr>
            <w:r>
              <w:rPr>
                <w:rFonts w:hint="eastAsia"/>
                <w:bCs/>
                <w:sz w:val="21"/>
                <w:szCs w:val="21"/>
              </w:rPr>
              <w:t>教：讲述教学法、讨论教学法、显微镜示教教学法。</w:t>
            </w:r>
          </w:p>
          <w:p w14:paraId="6668A28B">
            <w:pPr>
              <w:widowControl w:val="0"/>
              <w:snapToGrid w:val="0"/>
              <w:spacing w:line="300" w:lineRule="exact"/>
              <w:jc w:val="both"/>
              <w:rPr>
                <w:bCs/>
                <w:sz w:val="21"/>
                <w:szCs w:val="21"/>
              </w:rPr>
            </w:pPr>
            <w:r>
              <w:rPr>
                <w:rFonts w:hint="eastAsia"/>
                <w:bCs/>
                <w:sz w:val="21"/>
                <w:szCs w:val="21"/>
              </w:rPr>
              <w:t>学：</w:t>
            </w:r>
            <w:r>
              <w:rPr>
                <w:bCs/>
                <w:sz w:val="21"/>
                <w:szCs w:val="21"/>
              </w:rPr>
              <w:t>PBL</w:t>
            </w:r>
            <w:r>
              <w:rPr>
                <w:rFonts w:hint="eastAsia"/>
                <w:bCs/>
                <w:sz w:val="21"/>
                <w:szCs w:val="21"/>
              </w:rPr>
              <w:t>、实作学习</w:t>
            </w:r>
          </w:p>
        </w:tc>
        <w:tc>
          <w:tcPr>
            <w:tcW w:w="1697" w:type="dxa"/>
            <w:vAlign w:val="center"/>
          </w:tcPr>
          <w:p w14:paraId="723147BC">
            <w:pPr>
              <w:widowControl w:val="0"/>
              <w:snapToGrid w:val="0"/>
              <w:spacing w:line="300" w:lineRule="exact"/>
              <w:jc w:val="center"/>
              <w:rPr>
                <w:bCs/>
                <w:sz w:val="21"/>
                <w:szCs w:val="21"/>
              </w:rPr>
            </w:pPr>
            <w:r>
              <w:rPr>
                <w:rFonts w:hint="eastAsia"/>
                <w:bCs/>
                <w:sz w:val="21"/>
                <w:szCs w:val="21"/>
              </w:rPr>
              <w:t>纸笔测试</w:t>
            </w:r>
          </w:p>
          <w:p w14:paraId="573095D2">
            <w:pPr>
              <w:widowControl w:val="0"/>
              <w:snapToGrid w:val="0"/>
              <w:spacing w:line="300" w:lineRule="exact"/>
              <w:jc w:val="center"/>
              <w:rPr>
                <w:bCs/>
                <w:sz w:val="21"/>
                <w:szCs w:val="21"/>
              </w:rPr>
            </w:pPr>
            <w:r>
              <w:rPr>
                <w:rFonts w:hint="eastAsia"/>
                <w:bCs/>
                <w:sz w:val="21"/>
                <w:szCs w:val="21"/>
              </w:rPr>
              <w:t>实验报告</w:t>
            </w:r>
          </w:p>
        </w:tc>
        <w:tc>
          <w:tcPr>
            <w:tcW w:w="708" w:type="dxa"/>
          </w:tcPr>
          <w:p w14:paraId="7DF085A2">
            <w:pPr>
              <w:widowControl w:val="0"/>
              <w:snapToGrid w:val="0"/>
              <w:spacing w:line="300" w:lineRule="exact"/>
              <w:jc w:val="center"/>
              <w:rPr>
                <w:bCs/>
                <w:sz w:val="21"/>
                <w:szCs w:val="21"/>
              </w:rPr>
            </w:pPr>
            <w:r>
              <w:rPr>
                <w:sz w:val="21"/>
                <w:szCs w:val="21"/>
              </w:rPr>
              <w:t>6</w:t>
            </w:r>
          </w:p>
        </w:tc>
        <w:tc>
          <w:tcPr>
            <w:tcW w:w="653" w:type="dxa"/>
          </w:tcPr>
          <w:p w14:paraId="0F438AB8">
            <w:pPr>
              <w:widowControl w:val="0"/>
              <w:snapToGrid w:val="0"/>
              <w:spacing w:line="300" w:lineRule="exact"/>
              <w:jc w:val="center"/>
              <w:rPr>
                <w:bCs/>
                <w:sz w:val="21"/>
                <w:szCs w:val="21"/>
              </w:rPr>
            </w:pPr>
            <w:r>
              <w:rPr>
                <w:sz w:val="21"/>
                <w:szCs w:val="21"/>
              </w:rPr>
              <w:t>2</w:t>
            </w:r>
          </w:p>
        </w:tc>
        <w:tc>
          <w:tcPr>
            <w:tcW w:w="700" w:type="dxa"/>
            <w:tcBorders>
              <w:right w:val="single" w:color="auto" w:sz="12" w:space="0"/>
            </w:tcBorders>
          </w:tcPr>
          <w:p w14:paraId="2D2D79DB">
            <w:pPr>
              <w:widowControl w:val="0"/>
              <w:snapToGrid w:val="0"/>
              <w:spacing w:line="300" w:lineRule="exact"/>
              <w:jc w:val="center"/>
              <w:rPr>
                <w:bCs/>
                <w:sz w:val="21"/>
                <w:szCs w:val="21"/>
              </w:rPr>
            </w:pPr>
            <w:r>
              <w:rPr>
                <w:sz w:val="21"/>
                <w:szCs w:val="21"/>
              </w:rPr>
              <w:t>8</w:t>
            </w:r>
          </w:p>
        </w:tc>
      </w:tr>
      <w:tr w14:paraId="7D475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14:paraId="43380317">
            <w:pPr>
              <w:pStyle w:val="15"/>
              <w:widowControl w:val="0"/>
              <w:spacing w:line="300" w:lineRule="exact"/>
              <w:jc w:val="both"/>
              <w:rPr>
                <w:rFonts w:ascii="宋体" w:hAnsi="宋体"/>
              </w:rPr>
            </w:pPr>
            <w:r>
              <w:rPr>
                <w:rFonts w:hint="eastAsia" w:ascii="宋体" w:hAnsi="宋体"/>
              </w:rPr>
              <w:t>第八单元 常见病毒</w:t>
            </w:r>
          </w:p>
        </w:tc>
        <w:tc>
          <w:tcPr>
            <w:tcW w:w="2690" w:type="dxa"/>
            <w:vAlign w:val="center"/>
          </w:tcPr>
          <w:p w14:paraId="60C9D5CB">
            <w:pPr>
              <w:widowControl w:val="0"/>
              <w:snapToGrid w:val="0"/>
              <w:spacing w:line="300" w:lineRule="exact"/>
              <w:jc w:val="both"/>
              <w:rPr>
                <w:bCs/>
                <w:sz w:val="21"/>
                <w:szCs w:val="21"/>
              </w:rPr>
            </w:pPr>
            <w:r>
              <w:rPr>
                <w:rFonts w:hint="eastAsia"/>
                <w:bCs/>
                <w:sz w:val="21"/>
                <w:szCs w:val="21"/>
              </w:rPr>
              <w:t>教：讲述教学法、讨论教学法。</w:t>
            </w:r>
          </w:p>
          <w:p w14:paraId="56DB6571">
            <w:pPr>
              <w:widowControl w:val="0"/>
              <w:snapToGrid w:val="0"/>
              <w:spacing w:line="300" w:lineRule="exact"/>
              <w:jc w:val="both"/>
              <w:rPr>
                <w:bCs/>
                <w:sz w:val="21"/>
                <w:szCs w:val="21"/>
              </w:rPr>
            </w:pPr>
            <w:r>
              <w:rPr>
                <w:rFonts w:hint="eastAsia"/>
                <w:bCs/>
                <w:sz w:val="21"/>
                <w:szCs w:val="21"/>
              </w:rPr>
              <w:t>学：</w:t>
            </w:r>
            <w:r>
              <w:rPr>
                <w:bCs/>
                <w:sz w:val="21"/>
                <w:szCs w:val="21"/>
              </w:rPr>
              <w:t xml:space="preserve">PBL </w:t>
            </w:r>
          </w:p>
        </w:tc>
        <w:tc>
          <w:tcPr>
            <w:tcW w:w="1697" w:type="dxa"/>
            <w:vAlign w:val="center"/>
          </w:tcPr>
          <w:p w14:paraId="165756AB">
            <w:pPr>
              <w:widowControl w:val="0"/>
              <w:snapToGrid w:val="0"/>
              <w:spacing w:line="300" w:lineRule="exact"/>
              <w:jc w:val="center"/>
              <w:rPr>
                <w:bCs/>
                <w:sz w:val="21"/>
                <w:szCs w:val="21"/>
              </w:rPr>
            </w:pPr>
            <w:r>
              <w:rPr>
                <w:rFonts w:hint="eastAsia"/>
                <w:bCs/>
                <w:sz w:val="21"/>
                <w:szCs w:val="21"/>
              </w:rPr>
              <w:t>纸笔测试</w:t>
            </w:r>
          </w:p>
          <w:p w14:paraId="39CF82F5">
            <w:pPr>
              <w:widowControl w:val="0"/>
              <w:snapToGrid w:val="0"/>
              <w:spacing w:line="300" w:lineRule="exact"/>
              <w:jc w:val="center"/>
              <w:rPr>
                <w:bCs/>
                <w:sz w:val="21"/>
                <w:szCs w:val="21"/>
              </w:rPr>
            </w:pPr>
          </w:p>
        </w:tc>
        <w:tc>
          <w:tcPr>
            <w:tcW w:w="708" w:type="dxa"/>
          </w:tcPr>
          <w:p w14:paraId="68DFC1D9">
            <w:pPr>
              <w:widowControl w:val="0"/>
              <w:snapToGrid w:val="0"/>
              <w:spacing w:line="300" w:lineRule="exact"/>
              <w:jc w:val="center"/>
              <w:rPr>
                <w:bCs/>
                <w:sz w:val="21"/>
                <w:szCs w:val="21"/>
              </w:rPr>
            </w:pPr>
            <w:r>
              <w:rPr>
                <w:bCs/>
                <w:sz w:val="21"/>
                <w:szCs w:val="21"/>
              </w:rPr>
              <w:t>4</w:t>
            </w:r>
          </w:p>
        </w:tc>
        <w:tc>
          <w:tcPr>
            <w:tcW w:w="653" w:type="dxa"/>
          </w:tcPr>
          <w:p w14:paraId="6B1CA1A8">
            <w:pPr>
              <w:widowControl w:val="0"/>
              <w:snapToGrid w:val="0"/>
              <w:spacing w:line="300" w:lineRule="exact"/>
              <w:jc w:val="center"/>
              <w:rPr>
                <w:bCs/>
                <w:sz w:val="21"/>
                <w:szCs w:val="21"/>
              </w:rPr>
            </w:pPr>
            <w:r>
              <w:rPr>
                <w:sz w:val="21"/>
                <w:szCs w:val="21"/>
              </w:rPr>
              <w:t>0</w:t>
            </w:r>
          </w:p>
        </w:tc>
        <w:tc>
          <w:tcPr>
            <w:tcW w:w="700" w:type="dxa"/>
            <w:tcBorders>
              <w:right w:val="single" w:color="auto" w:sz="12" w:space="0"/>
            </w:tcBorders>
          </w:tcPr>
          <w:p w14:paraId="4472A597">
            <w:pPr>
              <w:widowControl w:val="0"/>
              <w:snapToGrid w:val="0"/>
              <w:spacing w:line="300" w:lineRule="exact"/>
              <w:jc w:val="center"/>
              <w:rPr>
                <w:bCs/>
                <w:sz w:val="21"/>
                <w:szCs w:val="21"/>
              </w:rPr>
            </w:pPr>
            <w:r>
              <w:rPr>
                <w:sz w:val="21"/>
                <w:szCs w:val="21"/>
              </w:rPr>
              <w:t>4</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4994175A">
            <w:pPr>
              <w:pStyle w:val="14"/>
              <w:widowControl w:val="0"/>
            </w:pPr>
            <w:r>
              <w:rPr>
                <w:rFonts w:hint="eastAsia"/>
              </w:rPr>
              <w:t>合计</w:t>
            </w:r>
          </w:p>
        </w:tc>
        <w:tc>
          <w:tcPr>
            <w:tcW w:w="708"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2</w:t>
            </w:r>
            <w:r>
              <w:rPr>
                <w:rFonts w:ascii="Times New Roman" w:hAnsi="Times New Roman"/>
                <w:bCs/>
                <w:sz w:val="21"/>
                <w:szCs w:val="21"/>
              </w:rPr>
              <w:t>4</w:t>
            </w:r>
          </w:p>
        </w:tc>
        <w:tc>
          <w:tcPr>
            <w:tcW w:w="653"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ascii="Times New Roman" w:hAnsi="Times New Roman"/>
                <w:bCs/>
                <w:sz w:val="21"/>
                <w:szCs w:val="21"/>
              </w:rPr>
              <w:t>8</w:t>
            </w:r>
          </w:p>
        </w:tc>
        <w:tc>
          <w:tcPr>
            <w:tcW w:w="700"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14:paraId="7A09098F">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3770"/>
        <w:gridCol w:w="872"/>
        <w:gridCol w:w="1232"/>
      </w:tblGrid>
      <w:tr w14:paraId="419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4"/>
              <w:rPr>
                <w:szCs w:val="16"/>
              </w:rPr>
            </w:pPr>
            <w:r>
              <w:rPr>
                <w:rFonts w:hint="eastAsia"/>
                <w:szCs w:val="16"/>
              </w:rPr>
              <w:t>实验项目名称</w:t>
            </w:r>
          </w:p>
        </w:tc>
        <w:tc>
          <w:tcPr>
            <w:tcW w:w="3681" w:type="dxa"/>
            <w:tcBorders>
              <w:top w:val="single" w:color="auto" w:sz="12" w:space="0"/>
              <w:left w:val="single" w:color="auto" w:sz="4" w:space="0"/>
              <w:bottom w:val="single" w:color="auto" w:sz="4" w:space="0"/>
              <w:right w:val="single" w:color="auto" w:sz="4" w:space="0"/>
            </w:tcBorders>
            <w:vAlign w:val="center"/>
          </w:tcPr>
          <w:p w14:paraId="723D2522">
            <w:pPr>
              <w:pStyle w:val="14"/>
              <w:rPr>
                <w:szCs w:val="16"/>
              </w:rPr>
            </w:pPr>
            <w:r>
              <w:rPr>
                <w:rFonts w:hint="eastAsia" w:ascii="黑体" w:hAnsi="宋体"/>
                <w:szCs w:val="16"/>
              </w:rPr>
              <w:t>目标要求与</w:t>
            </w:r>
            <w:r>
              <w:rPr>
                <w:rFonts w:hint="eastAsia"/>
                <w:szCs w:val="16"/>
              </w:rPr>
              <w:t>主要内容</w:t>
            </w:r>
          </w:p>
        </w:tc>
        <w:tc>
          <w:tcPr>
            <w:tcW w:w="851" w:type="dxa"/>
            <w:tcBorders>
              <w:top w:val="single" w:color="auto" w:sz="12" w:space="0"/>
              <w:left w:val="single" w:color="auto" w:sz="4" w:space="0"/>
              <w:right w:val="single" w:color="auto" w:sz="4" w:space="0"/>
            </w:tcBorders>
            <w:shd w:val="clear" w:color="auto" w:fill="auto"/>
            <w:vAlign w:val="center"/>
          </w:tcPr>
          <w:p w14:paraId="0FB7D6A1">
            <w:pPr>
              <w:pStyle w:val="14"/>
              <w:rPr>
                <w:szCs w:val="16"/>
              </w:rPr>
            </w:pPr>
            <w:r>
              <w:rPr>
                <w:rFonts w:hint="eastAsia"/>
                <w:szCs w:val="16"/>
              </w:rPr>
              <w:t>实验</w:t>
            </w:r>
          </w:p>
          <w:p w14:paraId="05FF757E">
            <w:pPr>
              <w:pStyle w:val="14"/>
              <w:rPr>
                <w:szCs w:val="16"/>
              </w:rPr>
            </w:pPr>
            <w:r>
              <w:rPr>
                <w:rFonts w:hint="eastAsia"/>
                <w:szCs w:val="16"/>
              </w:rPr>
              <w:t>时数</w:t>
            </w:r>
          </w:p>
        </w:tc>
        <w:tc>
          <w:tcPr>
            <w:tcW w:w="1203" w:type="dxa"/>
            <w:tcBorders>
              <w:top w:val="single" w:color="auto" w:sz="12" w:space="0"/>
              <w:left w:val="single" w:color="auto" w:sz="4" w:space="0"/>
              <w:right w:val="single" w:color="auto" w:sz="12" w:space="0"/>
            </w:tcBorders>
            <w:shd w:val="clear" w:color="auto" w:fill="auto"/>
            <w:vAlign w:val="center"/>
          </w:tcPr>
          <w:p w14:paraId="4D78BF7A">
            <w:pPr>
              <w:pStyle w:val="14"/>
              <w:rPr>
                <w:szCs w:val="16"/>
              </w:rPr>
            </w:pPr>
            <w:r>
              <w:rPr>
                <w:rFonts w:hint="eastAsia"/>
                <w:szCs w:val="16"/>
              </w:rPr>
              <w:t>实验</w:t>
            </w:r>
          </w:p>
          <w:p w14:paraId="344B2336">
            <w:pPr>
              <w:pStyle w:val="14"/>
              <w:rPr>
                <w:szCs w:val="16"/>
              </w:rPr>
            </w:pPr>
            <w:r>
              <w:rPr>
                <w:rFonts w:hint="eastAsia"/>
                <w:szCs w:val="16"/>
              </w:rPr>
              <w:t>类型</w:t>
            </w:r>
          </w:p>
        </w:tc>
      </w:tr>
      <w:tr w14:paraId="1F1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5"/>
              <w:spacing w:line="300" w:lineRule="exact"/>
              <w:rPr>
                <w:rFonts w:asciiTheme="minorEastAsia" w:hAnsiTheme="minorEastAsia" w:eastAsiaTheme="minorEastAsia"/>
              </w:rPr>
            </w:pPr>
            <w:r>
              <w:rPr>
                <w:rFonts w:hint="eastAsia" w:asciiTheme="minorEastAsia" w:hAnsiTheme="minorEastAsia" w:eastAsiaTheme="minor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658DDEE">
            <w:pPr>
              <w:pStyle w:val="4"/>
              <w:spacing w:line="300" w:lineRule="exact"/>
              <w:ind w:firstLine="0"/>
              <w:rPr>
                <w:rFonts w:asciiTheme="minorEastAsia" w:hAnsiTheme="minorEastAsia"/>
                <w:bCs/>
                <w:szCs w:val="21"/>
              </w:rPr>
            </w:pPr>
            <w:r>
              <w:rPr>
                <w:rFonts w:hint="eastAsia" w:ascii="宋体" w:hAnsi="宋体" w:cs="宋体"/>
                <w:szCs w:val="21"/>
              </w:rPr>
              <w:t>免疫学检测</w:t>
            </w:r>
          </w:p>
        </w:tc>
        <w:tc>
          <w:tcPr>
            <w:tcW w:w="3681" w:type="dxa"/>
            <w:tcBorders>
              <w:top w:val="single" w:color="auto" w:sz="4" w:space="0"/>
              <w:left w:val="single" w:color="auto" w:sz="4" w:space="0"/>
              <w:bottom w:val="single" w:color="auto" w:sz="4" w:space="0"/>
              <w:right w:val="single" w:color="auto" w:sz="4" w:space="0"/>
            </w:tcBorders>
            <w:vAlign w:val="center"/>
          </w:tcPr>
          <w:p w14:paraId="0EE03DA2">
            <w:pPr>
              <w:pStyle w:val="15"/>
              <w:spacing w:line="300" w:lineRule="exact"/>
              <w:jc w:val="left"/>
              <w:rPr>
                <w:rFonts w:asciiTheme="minorEastAsia" w:hAnsiTheme="minorEastAsia" w:eastAsiaTheme="minorEastAsia"/>
              </w:rPr>
            </w:pPr>
            <w:r>
              <w:rPr>
                <w:rFonts w:hint="eastAsia"/>
              </w:rPr>
              <w:t>抗原抗体结合实验</w:t>
            </w:r>
          </w:p>
        </w:tc>
        <w:tc>
          <w:tcPr>
            <w:tcW w:w="851" w:type="dxa"/>
            <w:tcBorders>
              <w:left w:val="single" w:color="auto" w:sz="4" w:space="0"/>
              <w:right w:val="single" w:color="auto" w:sz="4" w:space="0"/>
            </w:tcBorders>
            <w:shd w:val="clear" w:color="auto" w:fill="auto"/>
            <w:vAlign w:val="center"/>
          </w:tcPr>
          <w:p w14:paraId="05820F38">
            <w:pPr>
              <w:pStyle w:val="15"/>
              <w:spacing w:line="300" w:lineRule="exact"/>
              <w:rPr>
                <w:rFonts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698E9C5A">
            <w:pPr>
              <w:pStyle w:val="15"/>
              <w:spacing w:line="300" w:lineRule="exact"/>
              <w:rPr>
                <w:rFonts w:asciiTheme="minorEastAsia" w:hAnsiTheme="minorEastAsia" w:eastAsiaTheme="minorEastAsia"/>
              </w:rPr>
            </w:pPr>
            <w:r>
              <w:rPr>
                <w:rFonts w:hint="eastAsia" w:asciiTheme="minorEastAsia" w:hAnsiTheme="minorEastAsia" w:eastAsiaTheme="minorEastAsia"/>
              </w:rPr>
              <w:t>④</w:t>
            </w:r>
          </w:p>
        </w:tc>
      </w:tr>
      <w:tr w14:paraId="0BB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5"/>
              <w:spacing w:line="300" w:lineRule="exact"/>
              <w:rPr>
                <w:rFonts w:asciiTheme="minorEastAsia" w:hAnsiTheme="minorEastAsia" w:eastAsiaTheme="minorEastAsia"/>
              </w:rPr>
            </w:pPr>
            <w:r>
              <w:rPr>
                <w:rFonts w:hint="eastAsia" w:asciiTheme="minorEastAsia" w:hAnsiTheme="minorEastAsia" w:eastAsiaTheme="minor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9415127">
            <w:pPr>
              <w:pStyle w:val="15"/>
              <w:spacing w:line="300" w:lineRule="exact"/>
              <w:jc w:val="both"/>
              <w:rPr>
                <w:rFonts w:asciiTheme="minorEastAsia" w:hAnsiTheme="minorEastAsia" w:eastAsiaTheme="minorEastAsia"/>
              </w:rPr>
            </w:pPr>
            <w:r>
              <w:rPr>
                <w:rFonts w:hint="eastAsia" w:ascii="宋体" w:hAnsi="宋体"/>
              </w:rPr>
              <w:t>细菌形态学检测</w:t>
            </w:r>
          </w:p>
        </w:tc>
        <w:tc>
          <w:tcPr>
            <w:tcW w:w="3681" w:type="dxa"/>
            <w:tcBorders>
              <w:top w:val="single" w:color="auto" w:sz="4" w:space="0"/>
              <w:left w:val="single" w:color="auto" w:sz="4" w:space="0"/>
              <w:bottom w:val="single" w:color="auto" w:sz="4" w:space="0"/>
              <w:right w:val="single" w:color="auto" w:sz="4" w:space="0"/>
            </w:tcBorders>
            <w:vAlign w:val="center"/>
          </w:tcPr>
          <w:p w14:paraId="33B17432">
            <w:pPr>
              <w:rPr>
                <w:sz w:val="21"/>
                <w:szCs w:val="21"/>
              </w:rPr>
            </w:pPr>
            <w:r>
              <w:rPr>
                <w:rFonts w:hint="eastAsia"/>
                <w:sz w:val="21"/>
                <w:szCs w:val="21"/>
              </w:rPr>
              <w:t>细菌形态学检测</w:t>
            </w:r>
          </w:p>
        </w:tc>
        <w:tc>
          <w:tcPr>
            <w:tcW w:w="851" w:type="dxa"/>
            <w:tcBorders>
              <w:left w:val="single" w:color="auto" w:sz="4" w:space="0"/>
              <w:bottom w:val="single" w:color="auto" w:sz="4" w:space="0"/>
              <w:right w:val="single" w:color="auto" w:sz="4" w:space="0"/>
            </w:tcBorders>
            <w:shd w:val="clear" w:color="auto" w:fill="auto"/>
            <w:vAlign w:val="center"/>
          </w:tcPr>
          <w:p w14:paraId="439ADAE5">
            <w:pPr>
              <w:pStyle w:val="15"/>
              <w:spacing w:line="300" w:lineRule="exact"/>
              <w:rPr>
                <w:rFonts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bottom w:val="single" w:color="auto" w:sz="4" w:space="0"/>
              <w:right w:val="single" w:color="auto" w:sz="12" w:space="0"/>
            </w:tcBorders>
            <w:shd w:val="clear" w:color="auto" w:fill="auto"/>
            <w:vAlign w:val="center"/>
          </w:tcPr>
          <w:p w14:paraId="26CC6EA4">
            <w:pPr>
              <w:pStyle w:val="15"/>
              <w:spacing w:line="300" w:lineRule="exact"/>
              <w:rPr>
                <w:rFonts w:asciiTheme="minorEastAsia" w:hAnsiTheme="minorEastAsia" w:eastAsiaTheme="minorEastAsia"/>
              </w:rPr>
            </w:pPr>
            <w:r>
              <w:rPr>
                <w:rFonts w:hint="eastAsia" w:asciiTheme="minorEastAsia" w:hAnsiTheme="minorEastAsia" w:eastAsiaTheme="minorEastAsia"/>
              </w:rPr>
              <w:t>④</w:t>
            </w:r>
          </w:p>
        </w:tc>
      </w:tr>
      <w:tr w14:paraId="787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893B475">
            <w:pPr>
              <w:pStyle w:val="15"/>
              <w:spacing w:line="300" w:lineRule="exact"/>
              <w:rPr>
                <w:rFonts w:asciiTheme="minorEastAsia" w:hAnsiTheme="minorEastAsia" w:eastAsiaTheme="minorEastAsia"/>
              </w:rPr>
            </w:pPr>
            <w:r>
              <w:rPr>
                <w:rFonts w:hint="eastAsia" w:asciiTheme="minorEastAsia" w:hAnsiTheme="minorEastAsia" w:eastAsiaTheme="minor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57EEC68">
            <w:pPr>
              <w:pStyle w:val="15"/>
              <w:spacing w:line="300" w:lineRule="exact"/>
              <w:jc w:val="both"/>
              <w:rPr>
                <w:rFonts w:asciiTheme="minorEastAsia" w:hAnsiTheme="minorEastAsia" w:eastAsiaTheme="minorEastAsia"/>
              </w:rPr>
            </w:pPr>
            <w:r>
              <w:rPr>
                <w:rFonts w:ascii="宋体" w:hAnsi="宋体"/>
              </w:rPr>
              <w:t>病原菌的分离培养和鉴定</w:t>
            </w:r>
          </w:p>
        </w:tc>
        <w:tc>
          <w:tcPr>
            <w:tcW w:w="3681" w:type="dxa"/>
            <w:tcBorders>
              <w:top w:val="single" w:color="auto" w:sz="4" w:space="0"/>
              <w:left w:val="single" w:color="auto" w:sz="4" w:space="0"/>
              <w:bottom w:val="single" w:color="auto" w:sz="4" w:space="0"/>
              <w:right w:val="single" w:color="auto" w:sz="4" w:space="0"/>
            </w:tcBorders>
            <w:vAlign w:val="center"/>
          </w:tcPr>
          <w:p w14:paraId="1AA72D7A">
            <w:pPr>
              <w:pStyle w:val="15"/>
              <w:spacing w:line="300" w:lineRule="exact"/>
              <w:jc w:val="left"/>
              <w:rPr>
                <w:rFonts w:asciiTheme="minorEastAsia" w:hAnsiTheme="minorEastAsia" w:eastAsiaTheme="minorEastAsia"/>
              </w:rPr>
            </w:pPr>
            <w:r>
              <w:rPr>
                <w:rFonts w:hint="eastAsia"/>
              </w:rPr>
              <w:t>病原菌的分离培养和鉴定</w:t>
            </w:r>
          </w:p>
        </w:tc>
        <w:tc>
          <w:tcPr>
            <w:tcW w:w="851" w:type="dxa"/>
            <w:tcBorders>
              <w:left w:val="single" w:color="auto" w:sz="4" w:space="0"/>
              <w:right w:val="single" w:color="auto" w:sz="4" w:space="0"/>
            </w:tcBorders>
            <w:shd w:val="clear" w:color="auto" w:fill="auto"/>
            <w:vAlign w:val="center"/>
          </w:tcPr>
          <w:p w14:paraId="20D96C38">
            <w:pPr>
              <w:pStyle w:val="15"/>
              <w:spacing w:line="300" w:lineRule="exact"/>
              <w:rPr>
                <w:rFonts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50195FB2">
            <w:pPr>
              <w:pStyle w:val="15"/>
              <w:spacing w:line="300" w:lineRule="exact"/>
              <w:rPr>
                <w:rFonts w:asciiTheme="minorEastAsia" w:hAnsiTheme="minorEastAsia" w:eastAsiaTheme="minorEastAsia"/>
              </w:rPr>
            </w:pPr>
            <w:r>
              <w:rPr>
                <w:rFonts w:hint="eastAsia" w:asciiTheme="minorEastAsia" w:hAnsiTheme="minorEastAsia" w:eastAsiaTheme="minorEastAsia"/>
              </w:rPr>
              <w:t>④</w:t>
            </w:r>
          </w:p>
        </w:tc>
      </w:tr>
      <w:tr w14:paraId="3716B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E52353A">
            <w:pPr>
              <w:pStyle w:val="15"/>
              <w:spacing w:line="300" w:lineRule="exact"/>
              <w:rPr>
                <w:rFonts w:asciiTheme="minorEastAsia" w:hAnsiTheme="minorEastAsia" w:eastAsiaTheme="minorEastAsia"/>
              </w:rPr>
            </w:pPr>
            <w:r>
              <w:rPr>
                <w:rFonts w:hint="eastAsia" w:asciiTheme="minorEastAsia" w:hAnsiTheme="minorEastAsia" w:eastAsiaTheme="minorEastAsia"/>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2D0CE9C">
            <w:pPr>
              <w:pStyle w:val="15"/>
              <w:spacing w:line="300" w:lineRule="exact"/>
              <w:jc w:val="both"/>
              <w:rPr>
                <w:rFonts w:asciiTheme="minorEastAsia" w:hAnsiTheme="minorEastAsia" w:eastAsiaTheme="minorEastAsia"/>
              </w:rPr>
            </w:pPr>
            <w:r>
              <w:rPr>
                <w:rFonts w:hint="eastAsia" w:ascii="宋体" w:hAnsi="宋体"/>
              </w:rPr>
              <w:t>流感病毒的分离培养和鉴定</w:t>
            </w:r>
          </w:p>
        </w:tc>
        <w:tc>
          <w:tcPr>
            <w:tcW w:w="3681" w:type="dxa"/>
            <w:tcBorders>
              <w:top w:val="single" w:color="auto" w:sz="4" w:space="0"/>
              <w:left w:val="single" w:color="auto" w:sz="4" w:space="0"/>
              <w:bottom w:val="single" w:color="auto" w:sz="4" w:space="0"/>
              <w:right w:val="single" w:color="auto" w:sz="4" w:space="0"/>
            </w:tcBorders>
          </w:tcPr>
          <w:p w14:paraId="6F92F6A8">
            <w:pPr>
              <w:pStyle w:val="15"/>
              <w:spacing w:line="300" w:lineRule="exact"/>
              <w:jc w:val="left"/>
              <w:rPr>
                <w:rFonts w:asciiTheme="minorEastAsia" w:hAnsiTheme="minorEastAsia" w:eastAsiaTheme="minorEastAsia"/>
              </w:rPr>
            </w:pPr>
            <w:r>
              <w:rPr>
                <w:rFonts w:hint="eastAsia"/>
              </w:rPr>
              <w:t>病毒检测</w:t>
            </w:r>
          </w:p>
        </w:tc>
        <w:tc>
          <w:tcPr>
            <w:tcW w:w="851" w:type="dxa"/>
            <w:tcBorders>
              <w:left w:val="single" w:color="auto" w:sz="4" w:space="0"/>
              <w:right w:val="single" w:color="auto" w:sz="4" w:space="0"/>
            </w:tcBorders>
            <w:shd w:val="clear" w:color="auto" w:fill="auto"/>
            <w:vAlign w:val="center"/>
          </w:tcPr>
          <w:p w14:paraId="740D8FE0">
            <w:pPr>
              <w:pStyle w:val="15"/>
              <w:spacing w:line="300" w:lineRule="exact"/>
              <w:rPr>
                <w:rFonts w:asciiTheme="minorEastAsia" w:hAnsiTheme="minorEastAsia" w:eastAsiaTheme="minorEastAsia"/>
              </w:rPr>
            </w:pPr>
            <w:r>
              <w:rPr>
                <w:rFonts w:hint="eastAsia" w:asciiTheme="minorEastAsia" w:hAnsiTheme="minorEastAsia" w:eastAsiaTheme="minorEastAsia"/>
              </w:rPr>
              <w:t>2</w:t>
            </w:r>
          </w:p>
        </w:tc>
        <w:tc>
          <w:tcPr>
            <w:tcW w:w="1203" w:type="dxa"/>
            <w:tcBorders>
              <w:left w:val="single" w:color="auto" w:sz="4" w:space="0"/>
              <w:right w:val="single" w:color="auto" w:sz="12" w:space="0"/>
            </w:tcBorders>
            <w:shd w:val="clear" w:color="auto" w:fill="auto"/>
            <w:vAlign w:val="center"/>
          </w:tcPr>
          <w:p w14:paraId="47558686">
            <w:pPr>
              <w:pStyle w:val="15"/>
              <w:spacing w:line="300" w:lineRule="exact"/>
              <w:rPr>
                <w:rFonts w:asciiTheme="minorEastAsia" w:hAnsiTheme="minorEastAsia" w:eastAsiaTheme="minorEastAsia"/>
              </w:rPr>
            </w:pPr>
            <w:r>
              <w:rPr>
                <w:rFonts w:hint="eastAsia" w:asciiTheme="minorEastAsia" w:hAnsiTheme="minorEastAsia" w:eastAsiaTheme="minorEastAsia"/>
              </w:rPr>
              <w:t>④</w:t>
            </w:r>
          </w:p>
        </w:tc>
      </w:tr>
      <w:tr w14:paraId="1A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02127D6B">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A6079A1">
      <w:pPr>
        <w:pStyle w:val="17"/>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403B0EBD">
            <w:pPr>
              <w:widowControl w:val="0"/>
              <w:spacing w:line="300" w:lineRule="exact"/>
              <w:ind w:firstLine="422" w:firstLineChars="200"/>
              <w:jc w:val="both"/>
              <w:rPr>
                <w:rFonts w:asciiTheme="minorEastAsia" w:hAnsiTheme="minorEastAsia" w:eastAsiaTheme="minorEastAsia"/>
                <w:sz w:val="21"/>
                <w:szCs w:val="21"/>
              </w:rPr>
            </w:pPr>
            <w:r>
              <w:rPr>
                <w:rFonts w:asciiTheme="minorEastAsia" w:hAnsiTheme="minorEastAsia" w:eastAsiaTheme="minorEastAsia"/>
                <w:b/>
                <w:bCs/>
                <w:kern w:val="2"/>
                <w:sz w:val="21"/>
                <w:szCs w:val="21"/>
              </w:rPr>
              <w:t>1.</w:t>
            </w:r>
            <w:r>
              <w:rPr>
                <w:rFonts w:hint="eastAsia" w:asciiTheme="minorEastAsia" w:hAnsiTheme="minorEastAsia" w:eastAsiaTheme="minorEastAsia"/>
                <w:b/>
                <w:bCs/>
                <w:kern w:val="2"/>
                <w:sz w:val="21"/>
                <w:szCs w:val="21"/>
              </w:rPr>
              <w:t>课程简介</w:t>
            </w:r>
          </w:p>
          <w:p w14:paraId="1B6D7394">
            <w:pPr>
              <w:widowControl w:val="0"/>
              <w:snapToGrid w:val="0"/>
              <w:spacing w:line="288" w:lineRule="auto"/>
              <w:ind w:firstLine="420" w:firstLineChars="200"/>
              <w:jc w:val="both"/>
              <w:rPr>
                <w:sz w:val="21"/>
                <w:szCs w:val="21"/>
              </w:rPr>
            </w:pPr>
            <w:r>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p>
          <w:p w14:paraId="700428A9">
            <w:pPr>
              <w:widowControl w:val="0"/>
              <w:spacing w:line="300" w:lineRule="exact"/>
              <w:ind w:firstLine="422" w:firstLineChars="200"/>
              <w:jc w:val="both"/>
              <w:rPr>
                <w:rFonts w:asciiTheme="minorEastAsia" w:hAnsiTheme="minorEastAsia" w:eastAsiaTheme="minorEastAsia"/>
                <w:sz w:val="21"/>
                <w:szCs w:val="21"/>
              </w:rPr>
            </w:pPr>
            <w:r>
              <w:rPr>
                <w:rFonts w:asciiTheme="minorEastAsia" w:hAnsiTheme="minorEastAsia" w:eastAsiaTheme="minorEastAsia"/>
                <w:b/>
                <w:bCs/>
                <w:kern w:val="2"/>
                <w:sz w:val="21"/>
                <w:szCs w:val="21"/>
              </w:rPr>
              <w:t>2.</w:t>
            </w:r>
            <w:r>
              <w:rPr>
                <w:rFonts w:hint="eastAsia" w:asciiTheme="minorEastAsia" w:hAnsiTheme="minorEastAsia" w:eastAsiaTheme="minorEastAsia"/>
                <w:b/>
                <w:bCs/>
                <w:kern w:val="2"/>
                <w:sz w:val="21"/>
                <w:szCs w:val="21"/>
              </w:rPr>
              <w:t>思政目标</w:t>
            </w:r>
          </w:p>
          <w:p w14:paraId="6A98CCE9">
            <w:pPr>
              <w:widowControl w:val="0"/>
              <w:spacing w:line="30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随着医疗体制不断的改革，对医护人员的要求已不仅仅停留在专业技术水平，对其职业道德也提出了更高的要求，思政元素融入专业基础课的必要性不言而喻。高校教师做好课程思政建设必须做到以下几点</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：一是加强教师对</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的认同感和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师德师风</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建设，教师要以身作则做好当代大学生的思想引导和行为规范</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；二是</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必须做到思政教育元素融入各专业课程教育内容中去，不能以</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思政课程</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枯燥的面目出现，一定要达到润物细无声的双重育人作用</w:t>
            </w:r>
            <w:r>
              <w:rPr>
                <w:rFonts w:asciiTheme="minorEastAsia" w:hAnsiTheme="minorEastAsia" w:eastAsiaTheme="minorEastAsia"/>
                <w:kern w:val="2"/>
                <w:sz w:val="21"/>
                <w:szCs w:val="21"/>
              </w:rPr>
              <w:t xml:space="preserve"> </w:t>
            </w:r>
            <w:r>
              <w:rPr>
                <w:rFonts w:hint="eastAsia" w:asciiTheme="minorEastAsia" w:hAnsiTheme="minorEastAsia" w:eastAsiaTheme="minorEastAsia"/>
                <w:kern w:val="2"/>
                <w:sz w:val="21"/>
                <w:szCs w:val="21"/>
              </w:rPr>
              <w:t>；三是进行</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设计中，务必注意培养学生的价值观、人生观、职业道德和社会道德观，注重培养学生对中国传统文化乃至世界传统文化的兴趣。在今后的理论及实验教学活动中，人体生理学</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课程思政</w:t>
            </w:r>
            <w:r>
              <w:rPr>
                <w:rFonts w:asciiTheme="minorEastAsia" w:hAnsiTheme="minorEastAsia" w:eastAsiaTheme="minorEastAsia"/>
                <w:kern w:val="2"/>
                <w:sz w:val="21"/>
                <w:szCs w:val="21"/>
              </w:rPr>
              <w:t>”</w:t>
            </w:r>
            <w:r>
              <w:rPr>
                <w:rFonts w:hint="eastAsia" w:asciiTheme="minorEastAsia" w:hAnsiTheme="minorEastAsia" w:eastAsiaTheme="minorEastAsia"/>
                <w:kern w:val="2"/>
                <w:sz w:val="21"/>
                <w:szCs w:val="21"/>
              </w:rPr>
              <w:t>教学重点是以科学精神为指导，灵活运用多种教学形式，以达到教书育人的双重目标。</w:t>
            </w:r>
          </w:p>
          <w:p w14:paraId="02F9E7AE">
            <w:pPr>
              <w:widowControl w:val="0"/>
              <w:spacing w:line="30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本课程涉及内容庞杂，知识面广泛，既密切联系人们的日常生活实践，又紧扣生命科学的发展前沿，可以融入课程思政的切入点非常丰富。</w:t>
            </w:r>
          </w:p>
          <w:p w14:paraId="4839BA4E">
            <w:pPr>
              <w:widowControl w:val="0"/>
              <w:spacing w:line="300" w:lineRule="exact"/>
              <w:ind w:firstLine="422" w:firstLineChars="200"/>
              <w:jc w:val="both"/>
              <w:rPr>
                <w:rFonts w:asciiTheme="minorEastAsia" w:hAnsiTheme="minorEastAsia" w:eastAsiaTheme="minorEastAsia"/>
                <w:sz w:val="21"/>
                <w:szCs w:val="21"/>
              </w:rPr>
            </w:pPr>
            <w:r>
              <w:rPr>
                <w:rFonts w:asciiTheme="minorEastAsia" w:hAnsiTheme="minorEastAsia" w:eastAsiaTheme="minorEastAsia"/>
                <w:b/>
                <w:bCs/>
                <w:kern w:val="2"/>
                <w:sz w:val="21"/>
                <w:szCs w:val="21"/>
              </w:rPr>
              <w:t>3.</w:t>
            </w:r>
            <w:r>
              <w:rPr>
                <w:rFonts w:hint="eastAsia" w:asciiTheme="minorEastAsia" w:hAnsiTheme="minorEastAsia" w:eastAsiaTheme="minorEastAsia"/>
                <w:b/>
                <w:bCs/>
                <w:kern w:val="2"/>
                <w:sz w:val="21"/>
                <w:szCs w:val="21"/>
              </w:rPr>
              <w:t>融入思政的教学设计</w:t>
            </w:r>
          </w:p>
          <w:p w14:paraId="69AD0FBD">
            <w:pPr>
              <w:widowControl w:val="0"/>
              <w:spacing w:line="30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根据本课程的教学内容及其特点，可将思政内容划分为以下六个方面，在进行具体的教学设计时进行有机融合。对应八项核心素养中的课程思政指标点L</w:t>
            </w:r>
            <w:r>
              <w:rPr>
                <w:rFonts w:asciiTheme="minorEastAsia" w:hAnsiTheme="minorEastAsia" w:eastAsiaTheme="minorEastAsia"/>
                <w:kern w:val="2"/>
                <w:sz w:val="21"/>
                <w:szCs w:val="21"/>
              </w:rPr>
              <w:t>01</w:t>
            </w:r>
            <w:r>
              <w:rPr>
                <w:rFonts w:hint="eastAsia" w:asciiTheme="minorEastAsia" w:hAnsiTheme="minorEastAsia" w:eastAsiaTheme="minorEastAsia"/>
                <w:kern w:val="2"/>
                <w:sz w:val="21"/>
                <w:szCs w:val="21"/>
              </w:rPr>
              <w:t>⑤。</w:t>
            </w:r>
          </w:p>
          <w:p w14:paraId="2F41A87E">
            <w:pPr>
              <w:widowControl w:val="0"/>
              <w:spacing w:line="300" w:lineRule="exact"/>
              <w:ind w:firstLine="42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（1）学科发展中，祖国医学中对于结核、天花等传染病的认识。对应绪论内容。</w:t>
            </w:r>
          </w:p>
          <w:p w14:paraId="04E9B3A8">
            <w:pPr>
              <w:widowControl w:val="0"/>
              <w:spacing w:line="300" w:lineRule="exact"/>
              <w:ind w:firstLine="42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（2）秉持科学精神，实事求是地对待实验数据、疾病诊断和治疗方案。鼓励学生面对科学问题时保持客观、公正的态度，不盲从、不迷信。培养对被感染病人的怜悯之心，例如麻风病人。对应所有章节。</w:t>
            </w:r>
          </w:p>
          <w:p w14:paraId="354DFCE1">
            <w:pPr>
              <w:widowControl w:val="0"/>
              <w:spacing w:line="300" w:lineRule="exact"/>
              <w:ind w:firstLine="42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（3）中国科学家汤飞凡发现沙眼衣原体的光辉事迹。对应第七单元。</w:t>
            </w:r>
          </w:p>
          <w:p w14:paraId="0956F170">
            <w:pPr>
              <w:widowControl w:val="0"/>
              <w:spacing w:line="300" w:lineRule="exact"/>
              <w:ind w:firstLine="42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（4）公共卫生意识的建立，如何预防幽门螺旋杆菌的蔓延。对应第七单元。</w:t>
            </w:r>
          </w:p>
          <w:p w14:paraId="6778FA7A">
            <w:pPr>
              <w:widowControl w:val="0"/>
              <w:spacing w:line="300" w:lineRule="exact"/>
              <w:ind w:firstLine="420"/>
              <w:jc w:val="both"/>
              <w:rPr>
                <w:rFonts w:asciiTheme="minorEastAsia" w:hAnsiTheme="minorEastAsia" w:eastAsiaTheme="minorEastAsia"/>
                <w:sz w:val="21"/>
                <w:szCs w:val="21"/>
              </w:rPr>
            </w:pPr>
            <w:r>
              <w:rPr>
                <w:rFonts w:hint="eastAsia" w:asciiTheme="minorEastAsia" w:hAnsiTheme="minorEastAsia" w:eastAsiaTheme="minorEastAsia"/>
                <w:kern w:val="2"/>
                <w:sz w:val="21"/>
                <w:szCs w:val="21"/>
              </w:rPr>
              <w:t>（5）通过对导致性病的病原体的认识，例如淋病、艾滋病、梅毒等，启发学生思考伦理道德对健康的保护，鼓励学生积极对开展民众进行科普，利用所学知识服务民众。对应所有章节。</w:t>
            </w:r>
          </w:p>
          <w:p w14:paraId="5A1D022B">
            <w:pPr>
              <w:widowControl w:val="0"/>
              <w:spacing w:line="300" w:lineRule="exact"/>
              <w:ind w:firstLine="420"/>
              <w:jc w:val="both"/>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（6）通过对病毒知识的学习，引导学生关注全球卫生问题，树立人类命运共同体的意识，启发学生思考建立公共卫生和健全的医疗防控体系的重要性，让学生理解国际合作在全球公共卫生领域的重要性。</w:t>
            </w:r>
          </w:p>
        </w:tc>
      </w:tr>
    </w:tbl>
    <w:p w14:paraId="59E55B13">
      <w:pPr>
        <w:pStyle w:val="17"/>
        <w:numPr>
          <w:ilvl w:val="0"/>
          <w:numId w:val="1"/>
        </w:numPr>
        <w:spacing w:before="326" w:beforeLines="100" w:line="360" w:lineRule="auto"/>
        <w:ind w:left="560" w:hanging="560"/>
        <w:rPr>
          <w:rFonts w:ascii="黑体" w:hAnsi="宋体"/>
        </w:rPr>
      </w:pPr>
      <w:r>
        <w:rPr>
          <w:rFonts w:ascii="黑体" w:hAnsi="宋体"/>
        </w:rPr>
        <w:t>文理融合、医工融合教学课程设计</w:t>
      </w:r>
    </w:p>
    <w:p w14:paraId="4EE3D9A5">
      <w:pPr>
        <w:spacing w:line="300" w:lineRule="exact"/>
        <w:rPr>
          <w:sz w:val="21"/>
          <w:szCs w:val="21"/>
        </w:rPr>
      </w:pPr>
      <w:r>
        <w:rPr>
          <w:rFonts w:hint="eastAsia"/>
          <w:sz w:val="21"/>
          <w:szCs w:val="21"/>
        </w:rPr>
        <w:t>（1）</w:t>
      </w:r>
      <w:r>
        <w:rPr>
          <w:sz w:val="21"/>
          <w:szCs w:val="21"/>
        </w:rPr>
        <w:t>课程简介</w:t>
      </w:r>
    </w:p>
    <w:p w14:paraId="1930E42E">
      <w:pPr>
        <w:snapToGrid w:val="0"/>
        <w:spacing w:line="288" w:lineRule="auto"/>
        <w:ind w:firstLine="420" w:firstLineChars="200"/>
        <w:rPr>
          <w:sz w:val="21"/>
          <w:szCs w:val="21"/>
        </w:rPr>
      </w:pPr>
      <w:r>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实验操作技能。</w:t>
      </w:r>
      <w:r>
        <w:rPr>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03AE64FF">
      <w:pPr>
        <w:spacing w:line="300" w:lineRule="exact"/>
        <w:rPr>
          <w:sz w:val="21"/>
          <w:szCs w:val="21"/>
        </w:rPr>
      </w:pPr>
      <w:r>
        <w:rPr>
          <w:rFonts w:hint="eastAsia"/>
          <w:sz w:val="21"/>
          <w:szCs w:val="21"/>
        </w:rPr>
        <w:t>（2）</w:t>
      </w:r>
      <w:r>
        <w:rPr>
          <w:sz w:val="21"/>
          <w:szCs w:val="21"/>
        </w:rPr>
        <w:t>融合目标</w:t>
      </w:r>
    </w:p>
    <w:p w14:paraId="54654B86">
      <w:pPr>
        <w:spacing w:line="300" w:lineRule="exact"/>
        <w:ind w:firstLine="420" w:firstLineChars="200"/>
        <w:rPr>
          <w:sz w:val="21"/>
          <w:szCs w:val="21"/>
        </w:rPr>
      </w:pPr>
      <w:r>
        <w:rPr>
          <w:sz w:val="21"/>
          <w:szCs w:val="21"/>
        </w:rPr>
        <w:t>随着新医学的发展</w:t>
      </w:r>
      <w:r>
        <w:rPr>
          <w:rFonts w:hint="eastAsia"/>
          <w:sz w:val="21"/>
          <w:szCs w:val="21"/>
        </w:rPr>
        <w:t>和</w:t>
      </w:r>
      <w:r>
        <w:rPr>
          <w:sz w:val="21"/>
          <w:szCs w:val="21"/>
        </w:rPr>
        <w:t>医疗体制不断的改革，医学基础学科中文理融合、医工融合是跨学科合作的重要方面，旨在将文科、理科和工程学的知识与医学知识结合起来，以促进更全面、高效的医疗、护理、康复、健康管理的解决方案。</w:t>
      </w:r>
    </w:p>
    <w:p w14:paraId="4D0F390F">
      <w:pPr>
        <w:spacing w:line="300" w:lineRule="exact"/>
        <w:ind w:firstLine="420" w:firstLineChars="200"/>
        <w:rPr>
          <w:sz w:val="21"/>
          <w:szCs w:val="21"/>
        </w:rPr>
      </w:pPr>
      <w:r>
        <w:rPr>
          <w:sz w:val="21"/>
          <w:szCs w:val="21"/>
        </w:rPr>
        <w:t>①</w:t>
      </w:r>
      <w:r>
        <w:rPr>
          <w:rFonts w:hint="eastAsia"/>
          <w:sz w:val="21"/>
          <w:szCs w:val="21"/>
        </w:rPr>
        <w:t>文理融合</w:t>
      </w:r>
      <w:r>
        <w:rPr>
          <w:sz w:val="21"/>
          <w:szCs w:val="21"/>
        </w:rPr>
        <w:t>，如医学伦理学、医学心理学</w:t>
      </w:r>
      <w:r>
        <w:rPr>
          <w:rFonts w:hint="eastAsia"/>
          <w:sz w:val="21"/>
          <w:szCs w:val="21"/>
        </w:rPr>
        <w:t>、医疗政策、传统医学见解</w:t>
      </w:r>
      <w:r>
        <w:rPr>
          <w:sz w:val="21"/>
          <w:szCs w:val="21"/>
        </w:rPr>
        <w:t>等，培养学生的跨学科思维。</w:t>
      </w:r>
    </w:p>
    <w:p w14:paraId="3657AA08">
      <w:pPr>
        <w:spacing w:line="300" w:lineRule="exact"/>
        <w:ind w:firstLine="420" w:firstLineChars="200"/>
        <w:rPr>
          <w:sz w:val="21"/>
          <w:szCs w:val="21"/>
        </w:rPr>
      </w:pPr>
      <w:r>
        <w:rPr>
          <w:rFonts w:hint="eastAsia"/>
          <w:sz w:val="21"/>
          <w:szCs w:val="21"/>
        </w:rPr>
        <w:t>②能力融合，培养学生运用医学和工程技术的知识，对病原微生物与寄生虫进行准确检测、鉴定和防控的能力。提高学生的创新思维和解决实际问题的能力，使学生能够根据具体的病例和情境，设计出科学合理的诊断和治疗方案。加强学生的团队协作和沟通能力，培养他们在医工融合背景下开展多学科合作的能力。</w:t>
      </w:r>
    </w:p>
    <w:p w14:paraId="09FDBC86">
      <w:pPr>
        <w:spacing w:line="300" w:lineRule="exact"/>
        <w:ind w:firstLine="420"/>
        <w:rPr>
          <w:sz w:val="21"/>
          <w:szCs w:val="21"/>
        </w:rPr>
      </w:pPr>
      <w:r>
        <w:rPr>
          <w:rFonts w:hint="eastAsia"/>
          <w:sz w:val="21"/>
          <w:szCs w:val="21"/>
        </w:rPr>
        <w:t>③医工融合</w:t>
      </w:r>
      <w:r>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I辅助诊断等</w:t>
      </w:r>
      <w:r>
        <w:rPr>
          <w:rFonts w:hint="eastAsia"/>
          <w:sz w:val="21"/>
          <w:szCs w:val="21"/>
        </w:rPr>
        <w:t>；</w:t>
      </w:r>
      <w:r>
        <w:rPr>
          <w:sz w:val="21"/>
          <w:szCs w:val="21"/>
        </w:rPr>
        <w:t>结合心理学和社会学知识，提高患者满意度,优化医疗服务流程</w:t>
      </w:r>
      <w:r>
        <w:rPr>
          <w:rFonts w:hint="eastAsia"/>
          <w:sz w:val="21"/>
          <w:szCs w:val="21"/>
        </w:rPr>
        <w:t>；</w:t>
      </w:r>
      <w:r>
        <w:rPr>
          <w:sz w:val="21"/>
          <w:szCs w:val="21"/>
        </w:rPr>
        <w:t>设立标准化组织，制定医工产品和程序的标准，确保安全性和有效性。</w:t>
      </w:r>
    </w:p>
    <w:p w14:paraId="70F12E76">
      <w:pPr>
        <w:spacing w:line="300" w:lineRule="exact"/>
        <w:ind w:firstLine="420"/>
        <w:rPr>
          <w:sz w:val="21"/>
          <w:szCs w:val="21"/>
        </w:rPr>
      </w:pPr>
      <w:r>
        <w:rPr>
          <w:rFonts w:hint="eastAsia"/>
          <w:sz w:val="21"/>
          <w:szCs w:val="21"/>
        </w:rPr>
        <w:t>④</w:t>
      </w:r>
      <w:r>
        <w:rPr>
          <w:sz w:val="21"/>
          <w:szCs w:val="21"/>
        </w:rPr>
        <w:t>创新与创业:鼓励医学背景的学生学习创新和创业技能，推动医学技术的商业化</w:t>
      </w:r>
      <w:r>
        <w:rPr>
          <w:rFonts w:hint="eastAsia"/>
          <w:sz w:val="21"/>
          <w:szCs w:val="21"/>
        </w:rPr>
        <w:t>；</w:t>
      </w:r>
      <w:r>
        <w:rPr>
          <w:sz w:val="21"/>
          <w:szCs w:val="21"/>
        </w:rPr>
        <w:t>支持跨学科团队创立初创企业，将科研成果转化为实际的医疗产品和服务。</w:t>
      </w:r>
    </w:p>
    <w:p w14:paraId="6F90466C">
      <w:pPr>
        <w:spacing w:line="300" w:lineRule="exact"/>
        <w:ind w:firstLine="420"/>
        <w:rPr>
          <w:sz w:val="21"/>
          <w:szCs w:val="21"/>
        </w:rPr>
      </w:pPr>
      <w:r>
        <w:rPr>
          <w:sz w:val="21"/>
          <w:szCs w:val="21"/>
        </w:rPr>
        <w:t>总之，通过上述方式，医学基础学科可以有效地进行文理融合和医工融合，不仅有助于培养具有综合能力的新医学人才，而且能够促进医学科技的创新和发展，最终提升医疗健康服务的水平。</w:t>
      </w:r>
    </w:p>
    <w:p w14:paraId="13F3A459">
      <w:pPr>
        <w:pStyle w:val="17"/>
        <w:spacing w:before="326" w:beforeLines="100" w:line="360" w:lineRule="auto"/>
        <w:rPr>
          <w:rFonts w:ascii="黑体" w:hAnsi="宋体"/>
        </w:rPr>
      </w:pPr>
      <w:r>
        <w:rPr>
          <w:rFonts w:hint="eastAsia" w:ascii="黑体" w:hAnsi="宋体"/>
        </w:rPr>
        <w:t>六、课程考核</w:t>
      </w:r>
      <w:bookmarkStart w:id="2" w:name="OLE_LINK4"/>
      <w:bookmarkStart w:id="3" w:name="OLE_LINK3"/>
    </w:p>
    <w:bookmarkEnd w:id="2"/>
    <w:bookmarkEnd w:id="3"/>
    <w:tbl>
      <w:tblPr>
        <w:tblStyle w:val="9"/>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765"/>
        <w:gridCol w:w="851"/>
        <w:gridCol w:w="850"/>
        <w:gridCol w:w="851"/>
        <w:gridCol w:w="1134"/>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7"/>
              <w:widowControl w:val="0"/>
              <w:jc w:val="center"/>
              <w:rPr>
                <w:rFonts w:ascii="黑体" w:hAnsi="黑体"/>
                <w:bCs/>
                <w:sz w:val="21"/>
                <w:szCs w:val="21"/>
              </w:rPr>
            </w:pPr>
            <w:r>
              <w:rPr>
                <w:rFonts w:hint="eastAsia" w:ascii="黑体" w:hAnsi="黑体"/>
                <w:bCs/>
                <w:sz w:val="21"/>
                <w:szCs w:val="21"/>
              </w:rPr>
              <w:t>考核方式</w:t>
            </w:r>
          </w:p>
        </w:tc>
        <w:tc>
          <w:tcPr>
            <w:tcW w:w="4451" w:type="dxa"/>
            <w:gridSpan w:val="5"/>
            <w:tcBorders>
              <w:top w:val="single" w:color="auto" w:sz="12" w:space="0"/>
              <w:right w:val="single" w:color="auto" w:sz="12" w:space="0"/>
            </w:tcBorders>
            <w:vAlign w:val="center"/>
          </w:tcPr>
          <w:p w14:paraId="7082F720">
            <w:pPr>
              <w:pStyle w:val="17"/>
              <w:widowControl w:val="0"/>
              <w:spacing w:line="240" w:lineRule="auto"/>
              <w:jc w:val="center"/>
              <w:rPr>
                <w:rFonts w:ascii="黑体" w:hAnsi="黑体"/>
                <w:bCs/>
                <w:sz w:val="21"/>
                <w:szCs w:val="21"/>
              </w:rPr>
            </w:pPr>
            <w:r>
              <w:rPr>
                <w:rFonts w:hint="eastAsia" w:ascii="黑体" w:hAnsi="黑体"/>
                <w:bCs/>
                <w:sz w:val="21"/>
                <w:szCs w:val="21"/>
              </w:rPr>
              <w:t>课程目标</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7"/>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7"/>
              <w:widowControl w:val="0"/>
              <w:jc w:val="both"/>
              <w:rPr>
                <w:rFonts w:ascii="黑体" w:hAnsi="黑体"/>
                <w:bCs/>
                <w:sz w:val="21"/>
                <w:szCs w:val="21"/>
              </w:rPr>
            </w:pPr>
          </w:p>
        </w:tc>
        <w:tc>
          <w:tcPr>
            <w:tcW w:w="765" w:type="dxa"/>
            <w:tcBorders>
              <w:left w:val="double" w:color="auto" w:sz="4" w:space="0"/>
            </w:tcBorders>
            <w:vAlign w:val="center"/>
          </w:tcPr>
          <w:p w14:paraId="5B0A771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851" w:type="dxa"/>
            <w:vAlign w:val="center"/>
          </w:tcPr>
          <w:p w14:paraId="3B87B02E">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850" w:type="dxa"/>
            <w:vAlign w:val="center"/>
          </w:tcPr>
          <w:p w14:paraId="5F7EB418">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851" w:type="dxa"/>
            <w:vAlign w:val="center"/>
          </w:tcPr>
          <w:p w14:paraId="1ACFDF54">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1134" w:type="dxa"/>
            <w:tcBorders>
              <w:right w:val="single" w:color="auto" w:sz="12" w:space="0"/>
            </w:tcBorders>
          </w:tcPr>
          <w:p w14:paraId="62E91C4C">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vAlign w:val="center"/>
          </w:tcPr>
          <w:p w14:paraId="35BA31A6">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0</w:t>
            </w:r>
            <w:r>
              <w:rPr>
                <w:rFonts w:hint="eastAsia" w:asciiTheme="minorEastAsia" w:hAnsiTheme="minorEastAsia" w:eastAsiaTheme="minorEastAsia"/>
              </w:rPr>
              <w:t>%</w:t>
            </w:r>
          </w:p>
        </w:tc>
        <w:tc>
          <w:tcPr>
            <w:tcW w:w="2353" w:type="dxa"/>
            <w:tcBorders>
              <w:right w:val="double" w:color="auto" w:sz="4" w:space="0"/>
            </w:tcBorders>
            <w:vAlign w:val="center"/>
          </w:tcPr>
          <w:p w14:paraId="302F7EF4">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期末闭卷考试</w:t>
            </w:r>
          </w:p>
        </w:tc>
        <w:tc>
          <w:tcPr>
            <w:tcW w:w="765" w:type="dxa"/>
            <w:tcBorders>
              <w:left w:val="double" w:color="auto" w:sz="4" w:space="0"/>
            </w:tcBorders>
            <w:vAlign w:val="center"/>
          </w:tcPr>
          <w:p w14:paraId="24F71567">
            <w:pPr>
              <w:pStyle w:val="15"/>
              <w:widowControl w:val="0"/>
              <w:spacing w:line="300" w:lineRule="exact"/>
              <w:rPr>
                <w:rFonts w:asciiTheme="minorEastAsia" w:hAnsiTheme="minorEastAsia" w:eastAsiaTheme="minorEastAsia"/>
              </w:rPr>
            </w:pPr>
            <w:r>
              <w:rPr>
                <w:rFonts w:asciiTheme="minorEastAsia" w:hAnsiTheme="minorEastAsia" w:eastAsiaTheme="minorEastAsia"/>
              </w:rPr>
              <w:t>50</w:t>
            </w:r>
          </w:p>
        </w:tc>
        <w:tc>
          <w:tcPr>
            <w:tcW w:w="851" w:type="dxa"/>
            <w:vAlign w:val="center"/>
          </w:tcPr>
          <w:p w14:paraId="4EBA91CC">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0" w:type="dxa"/>
            <w:vAlign w:val="center"/>
          </w:tcPr>
          <w:p w14:paraId="7AC21C0D">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1" w:type="dxa"/>
            <w:vAlign w:val="center"/>
          </w:tcPr>
          <w:p w14:paraId="430F863F">
            <w:pPr>
              <w:pStyle w:val="15"/>
              <w:widowControl w:val="0"/>
              <w:spacing w:line="300" w:lineRule="exact"/>
              <w:rPr>
                <w:rFonts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36D4C299">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5"/>
              <w:widowControl w:val="0"/>
              <w:spacing w:line="300" w:lineRule="exact"/>
              <w:rPr>
                <w:rFonts w:asciiTheme="minorEastAsia" w:hAnsiTheme="minorEastAsia" w:eastAsiaTheme="minorEastAsia"/>
              </w:rPr>
            </w:pPr>
            <w:r>
              <w:rPr>
                <w:rFonts w:hint="eastAsia" w:cs="Arial" w:asciiTheme="minorEastAsia" w:hAnsiTheme="minorEastAsia" w:eastAsiaTheme="minorEastAsia"/>
              </w:rPr>
              <w:t>10</w:t>
            </w:r>
            <w:r>
              <w:rPr>
                <w:rFonts w:cs="Arial" w:asciiTheme="minorEastAsia" w:hAnsiTheme="minorEastAsia" w:eastAsiaTheme="minorEastAsia"/>
              </w:rPr>
              <w:t>%</w:t>
            </w:r>
          </w:p>
        </w:tc>
        <w:tc>
          <w:tcPr>
            <w:tcW w:w="2353" w:type="dxa"/>
            <w:tcBorders>
              <w:right w:val="double" w:color="auto" w:sz="4" w:space="0"/>
            </w:tcBorders>
            <w:vAlign w:val="center"/>
          </w:tcPr>
          <w:p w14:paraId="36A92CAE">
            <w:pPr>
              <w:pStyle w:val="15"/>
              <w:widowControl w:val="0"/>
              <w:spacing w:line="300" w:lineRule="exact"/>
              <w:rPr>
                <w:rFonts w:asciiTheme="minorEastAsia" w:hAnsiTheme="minorEastAsia" w:eastAsiaTheme="minorEastAsia"/>
              </w:rPr>
            </w:pPr>
            <w:r>
              <w:rPr>
                <w:rFonts w:hint="eastAsia" w:cs="Arial" w:asciiTheme="minorEastAsia" w:hAnsiTheme="minorEastAsia" w:eastAsiaTheme="minorEastAsia"/>
              </w:rPr>
              <w:t>课堂表现</w:t>
            </w:r>
          </w:p>
        </w:tc>
        <w:tc>
          <w:tcPr>
            <w:tcW w:w="765" w:type="dxa"/>
            <w:tcBorders>
              <w:left w:val="double" w:color="auto" w:sz="4" w:space="0"/>
            </w:tcBorders>
            <w:vAlign w:val="center"/>
          </w:tcPr>
          <w:p w14:paraId="3E63E94F">
            <w:pPr>
              <w:pStyle w:val="15"/>
              <w:widowControl w:val="0"/>
              <w:spacing w:line="300" w:lineRule="exact"/>
              <w:rPr>
                <w:rFonts w:asciiTheme="minorEastAsia" w:hAnsiTheme="minorEastAsia" w:eastAsiaTheme="minorEastAsia"/>
              </w:rPr>
            </w:pPr>
            <w:r>
              <w:rPr>
                <w:rFonts w:asciiTheme="minorEastAsia" w:hAnsiTheme="minorEastAsia" w:eastAsiaTheme="minorEastAsia"/>
              </w:rPr>
              <w:t>50</w:t>
            </w:r>
          </w:p>
        </w:tc>
        <w:tc>
          <w:tcPr>
            <w:tcW w:w="851" w:type="dxa"/>
            <w:vAlign w:val="center"/>
          </w:tcPr>
          <w:p w14:paraId="2833F605">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0" w:type="dxa"/>
            <w:vAlign w:val="center"/>
          </w:tcPr>
          <w:p w14:paraId="3C7BBD66">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1" w:type="dxa"/>
            <w:vAlign w:val="center"/>
          </w:tcPr>
          <w:p w14:paraId="43654901">
            <w:pPr>
              <w:pStyle w:val="15"/>
              <w:widowControl w:val="0"/>
              <w:spacing w:line="300" w:lineRule="exact"/>
              <w:rPr>
                <w:rFonts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26510DDF">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AA5FAE4">
            <w:pPr>
              <w:pStyle w:val="15"/>
              <w:widowControl w:val="0"/>
              <w:spacing w:line="300" w:lineRule="exact"/>
              <w:rPr>
                <w:rFonts w:asciiTheme="minorEastAsia" w:hAnsiTheme="minorEastAsia" w:eastAsiaTheme="minorEastAsia"/>
              </w:rPr>
            </w:pPr>
            <w:r>
              <w:rPr>
                <w:rFonts w:hint="eastAsia" w:cs="Arial" w:asciiTheme="minorEastAsia" w:hAnsiTheme="minorEastAsia" w:eastAsiaTheme="minorEastAsia"/>
              </w:rPr>
              <w:t>20</w:t>
            </w:r>
            <w:r>
              <w:rPr>
                <w:rFonts w:cs="Arial" w:asciiTheme="minorEastAsia" w:hAnsiTheme="minorEastAsia" w:eastAsiaTheme="minorEastAsia"/>
              </w:rPr>
              <w:t>%</w:t>
            </w:r>
          </w:p>
        </w:tc>
        <w:tc>
          <w:tcPr>
            <w:tcW w:w="2353" w:type="dxa"/>
            <w:tcBorders>
              <w:right w:val="double" w:color="auto" w:sz="4" w:space="0"/>
            </w:tcBorders>
            <w:vAlign w:val="center"/>
          </w:tcPr>
          <w:p w14:paraId="60E4A998">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期中小测验</w:t>
            </w:r>
          </w:p>
        </w:tc>
        <w:tc>
          <w:tcPr>
            <w:tcW w:w="765" w:type="dxa"/>
            <w:tcBorders>
              <w:left w:val="double" w:color="auto" w:sz="4" w:space="0"/>
            </w:tcBorders>
            <w:vAlign w:val="center"/>
          </w:tcPr>
          <w:p w14:paraId="350F1107">
            <w:pPr>
              <w:pStyle w:val="15"/>
              <w:widowControl w:val="0"/>
              <w:spacing w:line="300" w:lineRule="exact"/>
              <w:rPr>
                <w:rFonts w:asciiTheme="minorEastAsia" w:hAnsiTheme="minorEastAsia" w:eastAsiaTheme="minorEastAsia"/>
              </w:rPr>
            </w:pPr>
            <w:r>
              <w:rPr>
                <w:rFonts w:asciiTheme="minorEastAsia" w:hAnsiTheme="minorEastAsia" w:eastAsiaTheme="minorEastAsia"/>
              </w:rPr>
              <w:t>50</w:t>
            </w:r>
          </w:p>
        </w:tc>
        <w:tc>
          <w:tcPr>
            <w:tcW w:w="851" w:type="dxa"/>
            <w:vAlign w:val="center"/>
          </w:tcPr>
          <w:p w14:paraId="69878D1A">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0" w:type="dxa"/>
            <w:vAlign w:val="center"/>
          </w:tcPr>
          <w:p w14:paraId="7907A5AF">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1" w:type="dxa"/>
            <w:vAlign w:val="center"/>
          </w:tcPr>
          <w:p w14:paraId="0C96DB77">
            <w:pPr>
              <w:pStyle w:val="15"/>
              <w:widowControl w:val="0"/>
              <w:spacing w:line="300" w:lineRule="exact"/>
              <w:rPr>
                <w:rFonts w:asciiTheme="minorEastAsia" w:hAnsiTheme="minorEastAsia" w:eastAsiaTheme="minorEastAsia"/>
              </w:rPr>
            </w:pPr>
            <w:r>
              <w:rPr>
                <w:rFonts w:asciiTheme="minorEastAsia" w:hAnsiTheme="minorEastAsia" w:eastAsiaTheme="minorEastAsia"/>
              </w:rPr>
              <w:t>10</w:t>
            </w:r>
          </w:p>
        </w:tc>
        <w:tc>
          <w:tcPr>
            <w:tcW w:w="1134" w:type="dxa"/>
            <w:tcBorders>
              <w:right w:val="single" w:color="auto" w:sz="12" w:space="0"/>
            </w:tcBorders>
            <w:vAlign w:val="center"/>
          </w:tcPr>
          <w:p w14:paraId="7667BBD9">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vAlign w:val="center"/>
          </w:tcPr>
          <w:p w14:paraId="3770FF54">
            <w:pPr>
              <w:pStyle w:val="15"/>
              <w:widowControl w:val="0"/>
              <w:spacing w:line="300" w:lineRule="exact"/>
              <w:rPr>
                <w:rFonts w:asciiTheme="minorEastAsia" w:hAnsiTheme="minorEastAsia" w:eastAsiaTheme="minorEastAsia"/>
              </w:rPr>
            </w:pPr>
            <w:r>
              <w:rPr>
                <w:rFonts w:hint="eastAsia" w:cs="Arial" w:asciiTheme="minorEastAsia" w:hAnsiTheme="minorEastAsia" w:eastAsiaTheme="minorEastAsia"/>
              </w:rPr>
              <w:t>20</w:t>
            </w:r>
            <w:r>
              <w:rPr>
                <w:rFonts w:cs="Arial" w:asciiTheme="minorEastAsia" w:hAnsiTheme="minorEastAsia" w:eastAsiaTheme="minorEastAsia"/>
              </w:rPr>
              <w:t>%</w:t>
            </w:r>
          </w:p>
        </w:tc>
        <w:tc>
          <w:tcPr>
            <w:tcW w:w="2353" w:type="dxa"/>
            <w:tcBorders>
              <w:bottom w:val="single" w:color="auto" w:sz="12" w:space="0"/>
              <w:right w:val="double" w:color="auto" w:sz="4" w:space="0"/>
            </w:tcBorders>
            <w:vAlign w:val="center"/>
          </w:tcPr>
          <w:p w14:paraId="406FEE5E">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实验报告</w:t>
            </w:r>
          </w:p>
        </w:tc>
        <w:tc>
          <w:tcPr>
            <w:tcW w:w="765" w:type="dxa"/>
            <w:tcBorders>
              <w:left w:val="double" w:color="auto" w:sz="4" w:space="0"/>
              <w:bottom w:val="single" w:color="auto" w:sz="12" w:space="0"/>
            </w:tcBorders>
            <w:vAlign w:val="center"/>
          </w:tcPr>
          <w:p w14:paraId="7600F008">
            <w:pPr>
              <w:pStyle w:val="15"/>
              <w:widowControl w:val="0"/>
              <w:spacing w:line="300" w:lineRule="exact"/>
              <w:rPr>
                <w:rFonts w:asciiTheme="minorEastAsia" w:hAnsiTheme="minorEastAsia" w:eastAsiaTheme="minorEastAsia"/>
              </w:rPr>
            </w:pPr>
            <w:r>
              <w:rPr>
                <w:rFonts w:asciiTheme="minorEastAsia" w:hAnsiTheme="minorEastAsia" w:eastAsiaTheme="minorEastAsia"/>
              </w:rPr>
              <w:t>50</w:t>
            </w:r>
          </w:p>
        </w:tc>
        <w:tc>
          <w:tcPr>
            <w:tcW w:w="851" w:type="dxa"/>
            <w:tcBorders>
              <w:bottom w:val="single" w:color="auto" w:sz="12" w:space="0"/>
            </w:tcBorders>
            <w:vAlign w:val="center"/>
          </w:tcPr>
          <w:p w14:paraId="0EA35378">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0" w:type="dxa"/>
            <w:tcBorders>
              <w:bottom w:val="single" w:color="auto" w:sz="12" w:space="0"/>
            </w:tcBorders>
            <w:vAlign w:val="center"/>
          </w:tcPr>
          <w:p w14:paraId="103C36DB">
            <w:pPr>
              <w:pStyle w:val="15"/>
              <w:widowControl w:val="0"/>
              <w:spacing w:line="300" w:lineRule="exact"/>
              <w:rPr>
                <w:rFonts w:asciiTheme="minorEastAsia" w:hAnsiTheme="minorEastAsia" w:eastAsiaTheme="minorEastAsia"/>
              </w:rPr>
            </w:pPr>
            <w:r>
              <w:rPr>
                <w:rFonts w:asciiTheme="minorEastAsia" w:hAnsiTheme="minorEastAsia" w:eastAsiaTheme="minorEastAsia"/>
              </w:rPr>
              <w:t>20</w:t>
            </w:r>
          </w:p>
        </w:tc>
        <w:tc>
          <w:tcPr>
            <w:tcW w:w="851" w:type="dxa"/>
            <w:tcBorders>
              <w:bottom w:val="single" w:color="auto" w:sz="12" w:space="0"/>
            </w:tcBorders>
            <w:vAlign w:val="center"/>
          </w:tcPr>
          <w:p w14:paraId="04FFF8D5">
            <w:pPr>
              <w:pStyle w:val="15"/>
              <w:widowControl w:val="0"/>
              <w:spacing w:line="300" w:lineRule="exact"/>
              <w:rPr>
                <w:rFonts w:asciiTheme="minorEastAsia" w:hAnsiTheme="minorEastAsia" w:eastAsiaTheme="minorEastAsia"/>
              </w:rPr>
            </w:pPr>
            <w:r>
              <w:rPr>
                <w:rFonts w:asciiTheme="minorEastAsia" w:hAnsiTheme="minorEastAsia" w:eastAsiaTheme="minorEastAsia"/>
              </w:rPr>
              <w:t>10</w:t>
            </w:r>
          </w:p>
        </w:tc>
        <w:tc>
          <w:tcPr>
            <w:tcW w:w="1134" w:type="dxa"/>
            <w:tcBorders>
              <w:bottom w:val="single" w:color="auto" w:sz="12" w:space="0"/>
              <w:right w:val="single" w:color="auto" w:sz="12" w:space="0"/>
            </w:tcBorders>
            <w:vAlign w:val="center"/>
          </w:tcPr>
          <w:p w14:paraId="4F463E76">
            <w:pPr>
              <w:pStyle w:val="15"/>
              <w:widowControl w:val="0"/>
              <w:spacing w:line="300" w:lineRule="exact"/>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00</w:t>
            </w:r>
          </w:p>
        </w:tc>
      </w:tr>
    </w:tbl>
    <w:p w14:paraId="25B9B9A4">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157A5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1158541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49E5F6E">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4ABFC279">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399468A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D80DB6B">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36E432F">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8141519">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45175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110F163D">
            <w:pPr>
              <w:widowControl w:val="0"/>
              <w:snapToGrid w:val="0"/>
              <w:jc w:val="center"/>
              <w:rPr>
                <w:rFonts w:ascii="黑体" w:hAnsi="黑体" w:eastAsia="黑体"/>
                <w:bCs/>
                <w:sz w:val="21"/>
                <w:szCs w:val="21"/>
              </w:rPr>
            </w:pPr>
          </w:p>
        </w:tc>
        <w:tc>
          <w:tcPr>
            <w:tcW w:w="648" w:type="dxa"/>
            <w:vMerge w:val="continue"/>
          </w:tcPr>
          <w:p w14:paraId="0AD4EE24">
            <w:pPr>
              <w:pStyle w:val="17"/>
              <w:widowControl w:val="0"/>
              <w:jc w:val="both"/>
              <w:rPr>
                <w:rFonts w:ascii="黑体" w:hAnsi="黑体"/>
                <w:bCs/>
                <w:sz w:val="21"/>
                <w:szCs w:val="21"/>
              </w:rPr>
            </w:pPr>
          </w:p>
        </w:tc>
        <w:tc>
          <w:tcPr>
            <w:tcW w:w="1403" w:type="dxa"/>
            <w:vMerge w:val="continue"/>
          </w:tcPr>
          <w:p w14:paraId="25C09599">
            <w:pPr>
              <w:pStyle w:val="17"/>
              <w:widowControl w:val="0"/>
              <w:jc w:val="both"/>
              <w:rPr>
                <w:rFonts w:ascii="黑体" w:hAnsi="黑体"/>
                <w:bCs/>
                <w:sz w:val="21"/>
                <w:szCs w:val="21"/>
              </w:rPr>
            </w:pPr>
          </w:p>
        </w:tc>
        <w:tc>
          <w:tcPr>
            <w:tcW w:w="1403" w:type="dxa"/>
            <w:vAlign w:val="center"/>
          </w:tcPr>
          <w:p w14:paraId="6837E31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4310321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5F5E676F">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43B2E750">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160C7A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8D8E2A2">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737B2FD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7E69CB9">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168DF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B1C1B8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C39B1A4">
            <w:pPr>
              <w:widowControl w:val="0"/>
              <w:snapToGrid w:val="0"/>
              <w:jc w:val="center"/>
              <w:rPr>
                <w:rFonts w:ascii="Arial" w:hAnsi="Arial" w:eastAsia="黑体" w:cs="Arial"/>
                <w:bCs/>
                <w:sz w:val="21"/>
                <w:szCs w:val="21"/>
              </w:rPr>
            </w:pPr>
          </w:p>
        </w:tc>
        <w:tc>
          <w:tcPr>
            <w:tcW w:w="1403" w:type="dxa"/>
          </w:tcPr>
          <w:p w14:paraId="6C6094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02DEDFB">
            <w:pPr>
              <w:pStyle w:val="15"/>
              <w:widowControl w:val="0"/>
              <w:jc w:val="both"/>
            </w:pPr>
          </w:p>
        </w:tc>
        <w:tc>
          <w:tcPr>
            <w:tcW w:w="1403" w:type="dxa"/>
          </w:tcPr>
          <w:p w14:paraId="0D0F9D37">
            <w:pPr>
              <w:pStyle w:val="15"/>
              <w:widowControl w:val="0"/>
              <w:jc w:val="both"/>
            </w:pPr>
          </w:p>
        </w:tc>
        <w:tc>
          <w:tcPr>
            <w:tcW w:w="1403" w:type="dxa"/>
          </w:tcPr>
          <w:p w14:paraId="2B0EF117">
            <w:pPr>
              <w:pStyle w:val="15"/>
              <w:widowControl w:val="0"/>
              <w:jc w:val="both"/>
            </w:pPr>
          </w:p>
        </w:tc>
        <w:tc>
          <w:tcPr>
            <w:tcW w:w="1403" w:type="dxa"/>
          </w:tcPr>
          <w:p w14:paraId="7743DC57">
            <w:pPr>
              <w:pStyle w:val="7"/>
              <w:widowControl/>
              <w:shd w:val="clear" w:color="auto" w:fill="FFFFFF"/>
              <w:jc w:val="both"/>
            </w:pPr>
          </w:p>
        </w:tc>
      </w:tr>
      <w:tr w14:paraId="47E389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A46D2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23FB734A">
            <w:pPr>
              <w:widowControl w:val="0"/>
              <w:snapToGrid w:val="0"/>
              <w:jc w:val="center"/>
              <w:rPr>
                <w:rFonts w:ascii="Arial" w:hAnsi="Arial" w:eastAsia="黑体" w:cs="Arial"/>
                <w:bCs/>
                <w:sz w:val="21"/>
                <w:szCs w:val="21"/>
              </w:rPr>
            </w:pPr>
          </w:p>
        </w:tc>
        <w:tc>
          <w:tcPr>
            <w:tcW w:w="1403" w:type="dxa"/>
            <w:vAlign w:val="center"/>
          </w:tcPr>
          <w:p w14:paraId="30E910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204A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9E55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0DA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D4EEC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DCA5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F0C97F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12F21C5">
            <w:pPr>
              <w:widowControl w:val="0"/>
              <w:snapToGrid w:val="0"/>
              <w:jc w:val="center"/>
              <w:rPr>
                <w:rFonts w:ascii="Arial" w:hAnsi="Arial" w:eastAsia="黑体" w:cs="Arial"/>
                <w:bCs/>
                <w:sz w:val="21"/>
                <w:szCs w:val="21"/>
              </w:rPr>
            </w:pPr>
          </w:p>
        </w:tc>
        <w:tc>
          <w:tcPr>
            <w:tcW w:w="1403" w:type="dxa"/>
            <w:vAlign w:val="center"/>
          </w:tcPr>
          <w:p w14:paraId="3AE4DF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96D2D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C6536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DBD4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67CA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8D9AA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7BC8236">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5DC3DBD">
            <w:pPr>
              <w:widowControl w:val="0"/>
              <w:snapToGrid w:val="0"/>
              <w:jc w:val="center"/>
              <w:rPr>
                <w:rFonts w:ascii="Arial" w:hAnsi="Arial" w:eastAsia="黑体" w:cs="Arial"/>
                <w:bCs/>
                <w:sz w:val="21"/>
                <w:szCs w:val="21"/>
              </w:rPr>
            </w:pPr>
          </w:p>
        </w:tc>
        <w:tc>
          <w:tcPr>
            <w:tcW w:w="1403" w:type="dxa"/>
            <w:vAlign w:val="center"/>
          </w:tcPr>
          <w:p w14:paraId="0C2FFA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798EE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FD22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17E1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1327C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C2594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67B78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2F95E33">
            <w:pPr>
              <w:widowControl w:val="0"/>
              <w:snapToGrid w:val="0"/>
              <w:jc w:val="center"/>
              <w:rPr>
                <w:rFonts w:ascii="Arial" w:hAnsi="Arial" w:eastAsia="黑体" w:cs="Arial"/>
                <w:bCs/>
                <w:sz w:val="21"/>
                <w:szCs w:val="21"/>
              </w:rPr>
            </w:pPr>
          </w:p>
        </w:tc>
        <w:tc>
          <w:tcPr>
            <w:tcW w:w="1403" w:type="dxa"/>
            <w:vAlign w:val="center"/>
          </w:tcPr>
          <w:p w14:paraId="2B315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E0741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7639E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3CAF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CC1A6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7D080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8BABF55">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F4AF525">
            <w:pPr>
              <w:widowControl w:val="0"/>
              <w:snapToGrid w:val="0"/>
              <w:jc w:val="center"/>
              <w:rPr>
                <w:rFonts w:ascii="Arial" w:hAnsi="Arial" w:eastAsia="黑体" w:cs="Arial"/>
                <w:bCs/>
                <w:sz w:val="21"/>
                <w:szCs w:val="21"/>
              </w:rPr>
            </w:pPr>
          </w:p>
        </w:tc>
        <w:tc>
          <w:tcPr>
            <w:tcW w:w="1403" w:type="dxa"/>
            <w:vAlign w:val="center"/>
          </w:tcPr>
          <w:p w14:paraId="33903B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379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3F64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26A3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51F9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0C8A8B5">
      <w:pPr>
        <w:pStyle w:val="17"/>
        <w:spacing w:before="326" w:beforeLines="100" w:line="360" w:lineRule="auto"/>
        <w:rPr>
          <w:rFonts w:ascii="黑体" w:hAnsi="宋体"/>
        </w:rPr>
      </w:pPr>
      <w:r>
        <w:rPr>
          <w:rFonts w:hint="eastAsia" w:ascii="黑体" w:hAnsi="宋体"/>
        </w:rPr>
        <w:t xml:space="preserve">七、其他需要说明的问题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3244EDF">
            <w:pPr>
              <w:pStyle w:val="15"/>
              <w:widowControl w:val="0"/>
              <w:jc w:val="left"/>
              <w:rPr>
                <w:rFonts w:ascii="仿宋" w:hAnsi="仿宋" w:eastAsia="仿宋" w:cs="仿宋"/>
              </w:rPr>
            </w:pPr>
            <w:r>
              <w:rPr>
                <w:rFonts w:hint="eastAsia" w:ascii="仿宋" w:hAnsi="仿宋" w:eastAsia="仿宋" w:cs="仿宋"/>
              </w:rPr>
              <w:t>无</w:t>
            </w:r>
          </w:p>
        </w:tc>
      </w:tr>
    </w:tbl>
    <w:p w14:paraId="509743C7">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0" w:usb3="00000000" w:csb0="0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82F1D"/>
    <w:multiLevelType w:val="multilevel"/>
    <w:tmpl w:val="32982F1D"/>
    <w:lvl w:ilvl="0" w:tentative="0">
      <w:start w:val="5"/>
      <w:numFmt w:val="chineseCount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56C5E"/>
    <w:rsid w:val="0006001D"/>
    <w:rsid w:val="000610F3"/>
    <w:rsid w:val="00066041"/>
    <w:rsid w:val="0007383C"/>
    <w:rsid w:val="00076794"/>
    <w:rsid w:val="00080513"/>
    <w:rsid w:val="0008122A"/>
    <w:rsid w:val="000850CF"/>
    <w:rsid w:val="00087488"/>
    <w:rsid w:val="0009050A"/>
    <w:rsid w:val="0009721F"/>
    <w:rsid w:val="000A4062"/>
    <w:rsid w:val="000A4E73"/>
    <w:rsid w:val="000B1BD2"/>
    <w:rsid w:val="000C0F0D"/>
    <w:rsid w:val="000C13BC"/>
    <w:rsid w:val="000D28E5"/>
    <w:rsid w:val="000D34D7"/>
    <w:rsid w:val="000F18FF"/>
    <w:rsid w:val="00100633"/>
    <w:rsid w:val="001068C6"/>
    <w:rsid w:val="001072BC"/>
    <w:rsid w:val="00114BD6"/>
    <w:rsid w:val="00130F6D"/>
    <w:rsid w:val="00133554"/>
    <w:rsid w:val="00144082"/>
    <w:rsid w:val="00150167"/>
    <w:rsid w:val="00150AD5"/>
    <w:rsid w:val="0016381F"/>
    <w:rsid w:val="00163A48"/>
    <w:rsid w:val="00164E36"/>
    <w:rsid w:val="001678A2"/>
    <w:rsid w:val="0017362E"/>
    <w:rsid w:val="00177E3D"/>
    <w:rsid w:val="00183AA1"/>
    <w:rsid w:val="001863BF"/>
    <w:rsid w:val="00186979"/>
    <w:rsid w:val="0018767C"/>
    <w:rsid w:val="001A135C"/>
    <w:rsid w:val="001A2351"/>
    <w:rsid w:val="001B0D49"/>
    <w:rsid w:val="001B546F"/>
    <w:rsid w:val="001C16FC"/>
    <w:rsid w:val="001C2E3E"/>
    <w:rsid w:val="001C3572"/>
    <w:rsid w:val="001C388D"/>
    <w:rsid w:val="001D48C1"/>
    <w:rsid w:val="001D5FC5"/>
    <w:rsid w:val="001E0494"/>
    <w:rsid w:val="001E1D2D"/>
    <w:rsid w:val="001E5A17"/>
    <w:rsid w:val="001E6703"/>
    <w:rsid w:val="001F284E"/>
    <w:rsid w:val="001F332E"/>
    <w:rsid w:val="00207E0E"/>
    <w:rsid w:val="00217861"/>
    <w:rsid w:val="002204E4"/>
    <w:rsid w:val="002211BF"/>
    <w:rsid w:val="0022545B"/>
    <w:rsid w:val="00233F15"/>
    <w:rsid w:val="002354FA"/>
    <w:rsid w:val="002420F1"/>
    <w:rsid w:val="00253AC8"/>
    <w:rsid w:val="00256B39"/>
    <w:rsid w:val="0026033C"/>
    <w:rsid w:val="002663E3"/>
    <w:rsid w:val="0027339A"/>
    <w:rsid w:val="00274310"/>
    <w:rsid w:val="00274E82"/>
    <w:rsid w:val="002757AB"/>
    <w:rsid w:val="0027777C"/>
    <w:rsid w:val="00277FE7"/>
    <w:rsid w:val="002854E7"/>
    <w:rsid w:val="002877FA"/>
    <w:rsid w:val="00290962"/>
    <w:rsid w:val="0029110B"/>
    <w:rsid w:val="002A4649"/>
    <w:rsid w:val="002A7227"/>
    <w:rsid w:val="002B0773"/>
    <w:rsid w:val="002B0C48"/>
    <w:rsid w:val="002B13CA"/>
    <w:rsid w:val="002B3650"/>
    <w:rsid w:val="002B5DC8"/>
    <w:rsid w:val="002B7322"/>
    <w:rsid w:val="002C58B6"/>
    <w:rsid w:val="002D0E86"/>
    <w:rsid w:val="002D4DCB"/>
    <w:rsid w:val="002D7C47"/>
    <w:rsid w:val="002E33CE"/>
    <w:rsid w:val="002E3721"/>
    <w:rsid w:val="002E6F95"/>
    <w:rsid w:val="002E764D"/>
    <w:rsid w:val="002F3157"/>
    <w:rsid w:val="002F5A41"/>
    <w:rsid w:val="002F5D36"/>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91CBC"/>
    <w:rsid w:val="003973AB"/>
    <w:rsid w:val="00397EC7"/>
    <w:rsid w:val="003A1680"/>
    <w:rsid w:val="003A373C"/>
    <w:rsid w:val="003A5874"/>
    <w:rsid w:val="003B1258"/>
    <w:rsid w:val="003B2895"/>
    <w:rsid w:val="003B4A81"/>
    <w:rsid w:val="003C1F8D"/>
    <w:rsid w:val="003C4241"/>
    <w:rsid w:val="003C61A5"/>
    <w:rsid w:val="003D1968"/>
    <w:rsid w:val="003D22A4"/>
    <w:rsid w:val="003D4994"/>
    <w:rsid w:val="003D6A09"/>
    <w:rsid w:val="003D7EA4"/>
    <w:rsid w:val="003E10A5"/>
    <w:rsid w:val="003E7D72"/>
    <w:rsid w:val="003F3923"/>
    <w:rsid w:val="003F43F6"/>
    <w:rsid w:val="003F5BE8"/>
    <w:rsid w:val="004019DB"/>
    <w:rsid w:val="00402B67"/>
    <w:rsid w:val="00403C91"/>
    <w:rsid w:val="0040433E"/>
    <w:rsid w:val="00404974"/>
    <w:rsid w:val="00406428"/>
    <w:rsid w:val="0040726A"/>
    <w:rsid w:val="004100B0"/>
    <w:rsid w:val="00410B7E"/>
    <w:rsid w:val="0041267F"/>
    <w:rsid w:val="004216F4"/>
    <w:rsid w:val="00424BA5"/>
    <w:rsid w:val="00425431"/>
    <w:rsid w:val="00431829"/>
    <w:rsid w:val="0043532D"/>
    <w:rsid w:val="00437B60"/>
    <w:rsid w:val="004405E6"/>
    <w:rsid w:val="00443C84"/>
    <w:rsid w:val="00443C89"/>
    <w:rsid w:val="004540AA"/>
    <w:rsid w:val="00456BD8"/>
    <w:rsid w:val="00456DC8"/>
    <w:rsid w:val="00457BBE"/>
    <w:rsid w:val="00460CDE"/>
    <w:rsid w:val="0046549D"/>
    <w:rsid w:val="00471668"/>
    <w:rsid w:val="00481D95"/>
    <w:rsid w:val="00481F98"/>
    <w:rsid w:val="004829E8"/>
    <w:rsid w:val="004852BF"/>
    <w:rsid w:val="0048586E"/>
    <w:rsid w:val="00487A46"/>
    <w:rsid w:val="004928D4"/>
    <w:rsid w:val="00493504"/>
    <w:rsid w:val="00494579"/>
    <w:rsid w:val="00495A99"/>
    <w:rsid w:val="00497334"/>
    <w:rsid w:val="004A4645"/>
    <w:rsid w:val="004A6F3A"/>
    <w:rsid w:val="004B408D"/>
    <w:rsid w:val="004B6F68"/>
    <w:rsid w:val="004B73F7"/>
    <w:rsid w:val="004B7C25"/>
    <w:rsid w:val="004C1275"/>
    <w:rsid w:val="004D4FB3"/>
    <w:rsid w:val="004D75A6"/>
    <w:rsid w:val="004E3456"/>
    <w:rsid w:val="004F3DF0"/>
    <w:rsid w:val="005074E1"/>
    <w:rsid w:val="005126F1"/>
    <w:rsid w:val="00513F2F"/>
    <w:rsid w:val="0051612A"/>
    <w:rsid w:val="00516A90"/>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D82"/>
    <w:rsid w:val="005B1FFC"/>
    <w:rsid w:val="005B2B6D"/>
    <w:rsid w:val="005B4B4E"/>
    <w:rsid w:val="005C0F82"/>
    <w:rsid w:val="005C1C24"/>
    <w:rsid w:val="005C3A76"/>
    <w:rsid w:val="005D2715"/>
    <w:rsid w:val="005D4597"/>
    <w:rsid w:val="005D5B6F"/>
    <w:rsid w:val="005D6A55"/>
    <w:rsid w:val="005E0454"/>
    <w:rsid w:val="005E38A5"/>
    <w:rsid w:val="005F5185"/>
    <w:rsid w:val="0062115C"/>
    <w:rsid w:val="0062265B"/>
    <w:rsid w:val="00624B5C"/>
    <w:rsid w:val="00624FE1"/>
    <w:rsid w:val="0062577D"/>
    <w:rsid w:val="0063249D"/>
    <w:rsid w:val="006331EE"/>
    <w:rsid w:val="006355E6"/>
    <w:rsid w:val="00637CB9"/>
    <w:rsid w:val="00637E00"/>
    <w:rsid w:val="0064038A"/>
    <w:rsid w:val="00640872"/>
    <w:rsid w:val="0065167D"/>
    <w:rsid w:val="00652D13"/>
    <w:rsid w:val="00663109"/>
    <w:rsid w:val="0066595A"/>
    <w:rsid w:val="00666206"/>
    <w:rsid w:val="00672788"/>
    <w:rsid w:val="00676183"/>
    <w:rsid w:val="00680DA3"/>
    <w:rsid w:val="00680DF1"/>
    <w:rsid w:val="0068377F"/>
    <w:rsid w:val="00685171"/>
    <w:rsid w:val="00690B3D"/>
    <w:rsid w:val="00691B24"/>
    <w:rsid w:val="00695B93"/>
    <w:rsid w:val="00697C16"/>
    <w:rsid w:val="006A3BD2"/>
    <w:rsid w:val="006A5A89"/>
    <w:rsid w:val="006A61CE"/>
    <w:rsid w:val="006B3BB9"/>
    <w:rsid w:val="006B48AC"/>
    <w:rsid w:val="006B5977"/>
    <w:rsid w:val="006D1B59"/>
    <w:rsid w:val="006D2F9C"/>
    <w:rsid w:val="006D4351"/>
    <w:rsid w:val="006D5424"/>
    <w:rsid w:val="006E5CA9"/>
    <w:rsid w:val="006E5E98"/>
    <w:rsid w:val="006E7A37"/>
    <w:rsid w:val="006F1628"/>
    <w:rsid w:val="006F3151"/>
    <w:rsid w:val="007011CA"/>
    <w:rsid w:val="0070346C"/>
    <w:rsid w:val="007056DE"/>
    <w:rsid w:val="00706030"/>
    <w:rsid w:val="00706121"/>
    <w:rsid w:val="00710B6B"/>
    <w:rsid w:val="00711879"/>
    <w:rsid w:val="00712A2C"/>
    <w:rsid w:val="00712E84"/>
    <w:rsid w:val="00714914"/>
    <w:rsid w:val="007208D6"/>
    <w:rsid w:val="00722BA4"/>
    <w:rsid w:val="00726786"/>
    <w:rsid w:val="00732152"/>
    <w:rsid w:val="007428DF"/>
    <w:rsid w:val="00742BD1"/>
    <w:rsid w:val="00742E7A"/>
    <w:rsid w:val="0074424F"/>
    <w:rsid w:val="00744DB0"/>
    <w:rsid w:val="007520C3"/>
    <w:rsid w:val="00764FD9"/>
    <w:rsid w:val="00767BC0"/>
    <w:rsid w:val="007740B2"/>
    <w:rsid w:val="00774C1F"/>
    <w:rsid w:val="0078194F"/>
    <w:rsid w:val="007934A4"/>
    <w:rsid w:val="007A0AC9"/>
    <w:rsid w:val="007A1B70"/>
    <w:rsid w:val="007A3BB5"/>
    <w:rsid w:val="007A57F6"/>
    <w:rsid w:val="007B4FFB"/>
    <w:rsid w:val="007C0BCE"/>
    <w:rsid w:val="007C1D1B"/>
    <w:rsid w:val="007C3566"/>
    <w:rsid w:val="007C38CA"/>
    <w:rsid w:val="007C794A"/>
    <w:rsid w:val="007D1EEA"/>
    <w:rsid w:val="007D5326"/>
    <w:rsid w:val="007D5A33"/>
    <w:rsid w:val="007E4F3A"/>
    <w:rsid w:val="007E620F"/>
    <w:rsid w:val="007E663C"/>
    <w:rsid w:val="007E7795"/>
    <w:rsid w:val="0080066B"/>
    <w:rsid w:val="00803578"/>
    <w:rsid w:val="00803B2B"/>
    <w:rsid w:val="0081023C"/>
    <w:rsid w:val="00815B8D"/>
    <w:rsid w:val="00815B8E"/>
    <w:rsid w:val="00816D99"/>
    <w:rsid w:val="0082324C"/>
    <w:rsid w:val="00823D71"/>
    <w:rsid w:val="008245AF"/>
    <w:rsid w:val="008256B9"/>
    <w:rsid w:val="008258BA"/>
    <w:rsid w:val="0083705D"/>
    <w:rsid w:val="0084242F"/>
    <w:rsid w:val="00845795"/>
    <w:rsid w:val="00847437"/>
    <w:rsid w:val="00852929"/>
    <w:rsid w:val="00872744"/>
    <w:rsid w:val="00882E15"/>
    <w:rsid w:val="00883C73"/>
    <w:rsid w:val="008901A2"/>
    <w:rsid w:val="00891751"/>
    <w:rsid w:val="008949EF"/>
    <w:rsid w:val="008A08B0"/>
    <w:rsid w:val="008A21FF"/>
    <w:rsid w:val="008B0385"/>
    <w:rsid w:val="008B1082"/>
    <w:rsid w:val="008B188E"/>
    <w:rsid w:val="008B397C"/>
    <w:rsid w:val="008B47F4"/>
    <w:rsid w:val="008B7448"/>
    <w:rsid w:val="008B7E1E"/>
    <w:rsid w:val="008C07FE"/>
    <w:rsid w:val="008C2AE6"/>
    <w:rsid w:val="008C2DE8"/>
    <w:rsid w:val="008C5113"/>
    <w:rsid w:val="008C5B8A"/>
    <w:rsid w:val="008C7FE2"/>
    <w:rsid w:val="008D3D5F"/>
    <w:rsid w:val="008D4E81"/>
    <w:rsid w:val="008D505F"/>
    <w:rsid w:val="008E0F55"/>
    <w:rsid w:val="008E680F"/>
    <w:rsid w:val="008F253F"/>
    <w:rsid w:val="008F7A24"/>
    <w:rsid w:val="008F7F31"/>
    <w:rsid w:val="00900019"/>
    <w:rsid w:val="009004EF"/>
    <w:rsid w:val="009023B1"/>
    <w:rsid w:val="009147D6"/>
    <w:rsid w:val="00914D98"/>
    <w:rsid w:val="00925F8C"/>
    <w:rsid w:val="00927324"/>
    <w:rsid w:val="00932ED7"/>
    <w:rsid w:val="00933990"/>
    <w:rsid w:val="00941B89"/>
    <w:rsid w:val="00941DEA"/>
    <w:rsid w:val="009467AD"/>
    <w:rsid w:val="00961616"/>
    <w:rsid w:val="009656CC"/>
    <w:rsid w:val="00967E17"/>
    <w:rsid w:val="00970E8C"/>
    <w:rsid w:val="00971671"/>
    <w:rsid w:val="0097331C"/>
    <w:rsid w:val="00981A37"/>
    <w:rsid w:val="009830B2"/>
    <w:rsid w:val="0099063E"/>
    <w:rsid w:val="00992356"/>
    <w:rsid w:val="00992674"/>
    <w:rsid w:val="00993548"/>
    <w:rsid w:val="00994793"/>
    <w:rsid w:val="00996AE3"/>
    <w:rsid w:val="009A0450"/>
    <w:rsid w:val="009A1E27"/>
    <w:rsid w:val="009A307B"/>
    <w:rsid w:val="009A4EAD"/>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08EF"/>
    <w:rsid w:val="009F3199"/>
    <w:rsid w:val="009F3355"/>
    <w:rsid w:val="009F3648"/>
    <w:rsid w:val="009F3B7A"/>
    <w:rsid w:val="009F54D0"/>
    <w:rsid w:val="00A04523"/>
    <w:rsid w:val="00A15978"/>
    <w:rsid w:val="00A16159"/>
    <w:rsid w:val="00A161E6"/>
    <w:rsid w:val="00A17885"/>
    <w:rsid w:val="00A2337D"/>
    <w:rsid w:val="00A25A31"/>
    <w:rsid w:val="00A31BBE"/>
    <w:rsid w:val="00A31D34"/>
    <w:rsid w:val="00A333EF"/>
    <w:rsid w:val="00A33E85"/>
    <w:rsid w:val="00A33F85"/>
    <w:rsid w:val="00A40645"/>
    <w:rsid w:val="00A6016C"/>
    <w:rsid w:val="00A717CF"/>
    <w:rsid w:val="00A72B2F"/>
    <w:rsid w:val="00A769B1"/>
    <w:rsid w:val="00A77DA3"/>
    <w:rsid w:val="00A837D5"/>
    <w:rsid w:val="00A83E04"/>
    <w:rsid w:val="00A87B08"/>
    <w:rsid w:val="00A91091"/>
    <w:rsid w:val="00A93EE3"/>
    <w:rsid w:val="00A94BA9"/>
    <w:rsid w:val="00AA4970"/>
    <w:rsid w:val="00AA536D"/>
    <w:rsid w:val="00AA5E9B"/>
    <w:rsid w:val="00AB22C0"/>
    <w:rsid w:val="00AB28FC"/>
    <w:rsid w:val="00AB49E4"/>
    <w:rsid w:val="00AC1479"/>
    <w:rsid w:val="00AC1A04"/>
    <w:rsid w:val="00AC2AAC"/>
    <w:rsid w:val="00AC40F1"/>
    <w:rsid w:val="00AC4C45"/>
    <w:rsid w:val="00AD1085"/>
    <w:rsid w:val="00AD132E"/>
    <w:rsid w:val="00AD5B40"/>
    <w:rsid w:val="00AE0FA8"/>
    <w:rsid w:val="00AF289F"/>
    <w:rsid w:val="00AF30B9"/>
    <w:rsid w:val="00AF43DF"/>
    <w:rsid w:val="00AF67A4"/>
    <w:rsid w:val="00AF7510"/>
    <w:rsid w:val="00B04161"/>
    <w:rsid w:val="00B12D31"/>
    <w:rsid w:val="00B15F6E"/>
    <w:rsid w:val="00B21BEE"/>
    <w:rsid w:val="00B23284"/>
    <w:rsid w:val="00B25271"/>
    <w:rsid w:val="00B35542"/>
    <w:rsid w:val="00B37D43"/>
    <w:rsid w:val="00B46F21"/>
    <w:rsid w:val="00B511A5"/>
    <w:rsid w:val="00B51CDE"/>
    <w:rsid w:val="00B56541"/>
    <w:rsid w:val="00B56985"/>
    <w:rsid w:val="00B605ED"/>
    <w:rsid w:val="00B626D2"/>
    <w:rsid w:val="00B7001F"/>
    <w:rsid w:val="00B71F97"/>
    <w:rsid w:val="00B72538"/>
    <w:rsid w:val="00B736A7"/>
    <w:rsid w:val="00B7651F"/>
    <w:rsid w:val="00B76F71"/>
    <w:rsid w:val="00B919FA"/>
    <w:rsid w:val="00B94A16"/>
    <w:rsid w:val="00BA6044"/>
    <w:rsid w:val="00BB1A93"/>
    <w:rsid w:val="00BC14BF"/>
    <w:rsid w:val="00BC2625"/>
    <w:rsid w:val="00BC3200"/>
    <w:rsid w:val="00BC338A"/>
    <w:rsid w:val="00BC6017"/>
    <w:rsid w:val="00BD7703"/>
    <w:rsid w:val="00BD7AB0"/>
    <w:rsid w:val="00BF3C20"/>
    <w:rsid w:val="00C00298"/>
    <w:rsid w:val="00C011BC"/>
    <w:rsid w:val="00C03DBA"/>
    <w:rsid w:val="00C112E7"/>
    <w:rsid w:val="00C11C78"/>
    <w:rsid w:val="00C11CD4"/>
    <w:rsid w:val="00C15061"/>
    <w:rsid w:val="00C1713D"/>
    <w:rsid w:val="00C20D9D"/>
    <w:rsid w:val="00C2134F"/>
    <w:rsid w:val="00C213F9"/>
    <w:rsid w:val="00C24718"/>
    <w:rsid w:val="00C2675D"/>
    <w:rsid w:val="00C30AEE"/>
    <w:rsid w:val="00C33362"/>
    <w:rsid w:val="00C353AE"/>
    <w:rsid w:val="00C4194E"/>
    <w:rsid w:val="00C516B1"/>
    <w:rsid w:val="00C5350C"/>
    <w:rsid w:val="00C54E7E"/>
    <w:rsid w:val="00C56E09"/>
    <w:rsid w:val="00C61B1B"/>
    <w:rsid w:val="00C66AB7"/>
    <w:rsid w:val="00C673D1"/>
    <w:rsid w:val="00C746CB"/>
    <w:rsid w:val="00C77BBF"/>
    <w:rsid w:val="00C77D64"/>
    <w:rsid w:val="00C81564"/>
    <w:rsid w:val="00C9080C"/>
    <w:rsid w:val="00C94429"/>
    <w:rsid w:val="00C960F3"/>
    <w:rsid w:val="00CA18FD"/>
    <w:rsid w:val="00CA24F8"/>
    <w:rsid w:val="00CA27E5"/>
    <w:rsid w:val="00CA4897"/>
    <w:rsid w:val="00CA6928"/>
    <w:rsid w:val="00CB3D3F"/>
    <w:rsid w:val="00CB55C1"/>
    <w:rsid w:val="00CB5A1A"/>
    <w:rsid w:val="00CC59E6"/>
    <w:rsid w:val="00CD5BDD"/>
    <w:rsid w:val="00CF096B"/>
    <w:rsid w:val="00CF10F7"/>
    <w:rsid w:val="00CF5EE3"/>
    <w:rsid w:val="00CF6150"/>
    <w:rsid w:val="00CF691F"/>
    <w:rsid w:val="00D00D99"/>
    <w:rsid w:val="00D013A4"/>
    <w:rsid w:val="00D026DC"/>
    <w:rsid w:val="00D04E28"/>
    <w:rsid w:val="00D15595"/>
    <w:rsid w:val="00D343A8"/>
    <w:rsid w:val="00D37832"/>
    <w:rsid w:val="00D43C03"/>
    <w:rsid w:val="00D44860"/>
    <w:rsid w:val="00D47689"/>
    <w:rsid w:val="00D50C42"/>
    <w:rsid w:val="00D57CF5"/>
    <w:rsid w:val="00D612BC"/>
    <w:rsid w:val="00D62F98"/>
    <w:rsid w:val="00D63D57"/>
    <w:rsid w:val="00D66FD6"/>
    <w:rsid w:val="00D8285B"/>
    <w:rsid w:val="00D862EB"/>
    <w:rsid w:val="00D86619"/>
    <w:rsid w:val="00D93E7C"/>
    <w:rsid w:val="00DA4222"/>
    <w:rsid w:val="00DB1752"/>
    <w:rsid w:val="00DB2BE6"/>
    <w:rsid w:val="00DB5505"/>
    <w:rsid w:val="00DB76B3"/>
    <w:rsid w:val="00DD1052"/>
    <w:rsid w:val="00DD3C7B"/>
    <w:rsid w:val="00DE2B21"/>
    <w:rsid w:val="00DE3DE3"/>
    <w:rsid w:val="00DE48DE"/>
    <w:rsid w:val="00DF100A"/>
    <w:rsid w:val="00DF25F2"/>
    <w:rsid w:val="00DF4166"/>
    <w:rsid w:val="00E000F4"/>
    <w:rsid w:val="00E01231"/>
    <w:rsid w:val="00E04279"/>
    <w:rsid w:val="00E11393"/>
    <w:rsid w:val="00E125D9"/>
    <w:rsid w:val="00E14E46"/>
    <w:rsid w:val="00E16D30"/>
    <w:rsid w:val="00E1795F"/>
    <w:rsid w:val="00E31E69"/>
    <w:rsid w:val="00E33169"/>
    <w:rsid w:val="00E34A7B"/>
    <w:rsid w:val="00E40973"/>
    <w:rsid w:val="00E44A62"/>
    <w:rsid w:val="00E545FF"/>
    <w:rsid w:val="00E6080E"/>
    <w:rsid w:val="00E619D0"/>
    <w:rsid w:val="00E6284A"/>
    <w:rsid w:val="00E64168"/>
    <w:rsid w:val="00E655B3"/>
    <w:rsid w:val="00E66F21"/>
    <w:rsid w:val="00E7081D"/>
    <w:rsid w:val="00E70904"/>
    <w:rsid w:val="00E71319"/>
    <w:rsid w:val="00E75171"/>
    <w:rsid w:val="00E804B0"/>
    <w:rsid w:val="00E86772"/>
    <w:rsid w:val="00E87CD9"/>
    <w:rsid w:val="00E90B8B"/>
    <w:rsid w:val="00E93ADD"/>
    <w:rsid w:val="00E952D8"/>
    <w:rsid w:val="00EA2B2E"/>
    <w:rsid w:val="00EB00E4"/>
    <w:rsid w:val="00EB28DA"/>
    <w:rsid w:val="00EB3812"/>
    <w:rsid w:val="00EB44EB"/>
    <w:rsid w:val="00EB66B8"/>
    <w:rsid w:val="00EB791E"/>
    <w:rsid w:val="00EC6B0C"/>
    <w:rsid w:val="00EC70A9"/>
    <w:rsid w:val="00ED4C3A"/>
    <w:rsid w:val="00ED5359"/>
    <w:rsid w:val="00ED5B92"/>
    <w:rsid w:val="00EE1C85"/>
    <w:rsid w:val="00EF21D9"/>
    <w:rsid w:val="00EF2A94"/>
    <w:rsid w:val="00EF32FB"/>
    <w:rsid w:val="00EF44B1"/>
    <w:rsid w:val="00EF4865"/>
    <w:rsid w:val="00EF5954"/>
    <w:rsid w:val="00EF62B1"/>
    <w:rsid w:val="00F04253"/>
    <w:rsid w:val="00F100D2"/>
    <w:rsid w:val="00F12942"/>
    <w:rsid w:val="00F13C41"/>
    <w:rsid w:val="00F14886"/>
    <w:rsid w:val="00F16421"/>
    <w:rsid w:val="00F201EE"/>
    <w:rsid w:val="00F35AA0"/>
    <w:rsid w:val="00F43C49"/>
    <w:rsid w:val="00F45C12"/>
    <w:rsid w:val="00F544A2"/>
    <w:rsid w:val="00F73D03"/>
    <w:rsid w:val="00F75D77"/>
    <w:rsid w:val="00F76CB9"/>
    <w:rsid w:val="00F77A73"/>
    <w:rsid w:val="00F80E46"/>
    <w:rsid w:val="00F82D1E"/>
    <w:rsid w:val="00F93D8C"/>
    <w:rsid w:val="00F94908"/>
    <w:rsid w:val="00F96236"/>
    <w:rsid w:val="00FA10CE"/>
    <w:rsid w:val="00FA222F"/>
    <w:rsid w:val="00FA2891"/>
    <w:rsid w:val="00FB693D"/>
    <w:rsid w:val="00FB6A9C"/>
    <w:rsid w:val="00FB7768"/>
    <w:rsid w:val="00FC5054"/>
    <w:rsid w:val="00FC7489"/>
    <w:rsid w:val="00FD1BA8"/>
    <w:rsid w:val="00FD218F"/>
    <w:rsid w:val="00FD5663"/>
    <w:rsid w:val="00FD56C6"/>
    <w:rsid w:val="00FD5ECC"/>
    <w:rsid w:val="00FD7832"/>
    <w:rsid w:val="00FE2153"/>
    <w:rsid w:val="00FE3221"/>
    <w:rsid w:val="00FE48EA"/>
    <w:rsid w:val="00FE571F"/>
    <w:rsid w:val="00FE7E73"/>
    <w:rsid w:val="00FF47F6"/>
    <w:rsid w:val="016E63C2"/>
    <w:rsid w:val="024A0BB7"/>
    <w:rsid w:val="024B0C39"/>
    <w:rsid w:val="03CD6DE7"/>
    <w:rsid w:val="0A8128A6"/>
    <w:rsid w:val="0BF32A1B"/>
    <w:rsid w:val="10BD2C22"/>
    <w:rsid w:val="123258EF"/>
    <w:rsid w:val="13EE5846"/>
    <w:rsid w:val="18D7268F"/>
    <w:rsid w:val="22987C80"/>
    <w:rsid w:val="24192CCC"/>
    <w:rsid w:val="24A361D8"/>
    <w:rsid w:val="28EC36C2"/>
    <w:rsid w:val="2DD20228"/>
    <w:rsid w:val="330B38C7"/>
    <w:rsid w:val="39A66CD4"/>
    <w:rsid w:val="3A1D0BB7"/>
    <w:rsid w:val="3CD52CE1"/>
    <w:rsid w:val="410F2E6A"/>
    <w:rsid w:val="43A63197"/>
    <w:rsid w:val="4430136C"/>
    <w:rsid w:val="4AB0382B"/>
    <w:rsid w:val="569868B5"/>
    <w:rsid w:val="58201313"/>
    <w:rsid w:val="611F6817"/>
    <w:rsid w:val="66CA1754"/>
    <w:rsid w:val="6F1E65D4"/>
    <w:rsid w:val="6F266C86"/>
    <w:rsid w:val="6F5042C2"/>
    <w:rsid w:val="74316312"/>
    <w:rsid w:val="780F13C8"/>
    <w:rsid w:val="795A5FDB"/>
    <w:rsid w:val="7C385448"/>
    <w:rsid w:val="7CB3663D"/>
    <w:rsid w:val="7E9975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ody Text Indent"/>
    <w:basedOn w:val="1"/>
    <w:link w:val="26"/>
    <w:uiPriority w:val="99"/>
    <w:pPr>
      <w:widowControl w:val="0"/>
      <w:spacing w:line="480" w:lineRule="exact"/>
      <w:ind w:firstLine="425"/>
      <w:jc w:val="both"/>
    </w:pPr>
    <w:rPr>
      <w:rFonts w:asciiTheme="minorHAnsi" w:hAnsiTheme="minorHAnsi" w:eastAsiaTheme="minorEastAsia" w:cstheme="minorBidi"/>
      <w:kern w:val="2"/>
      <w:sz w:val="21"/>
      <w:szCs w:val="20"/>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fontstyle01"/>
    <w:basedOn w:val="10"/>
    <w:qFormat/>
    <w:uiPriority w:val="0"/>
    <w:rPr>
      <w:rFonts w:hint="eastAsia" w:ascii="宋体" w:hAnsi="宋体" w:eastAsia="宋体"/>
      <w:color w:val="000000"/>
      <w:sz w:val="22"/>
      <w:szCs w:val="22"/>
    </w:rPr>
  </w:style>
  <w:style w:type="character" w:customStyle="1" w:styleId="25">
    <w:name w:val="fontstyle11"/>
    <w:basedOn w:val="10"/>
    <w:qFormat/>
    <w:uiPriority w:val="0"/>
    <w:rPr>
      <w:rFonts w:hint="eastAsia" w:ascii="宋体" w:hAnsi="宋体" w:eastAsia="宋体"/>
      <w:color w:val="000000"/>
      <w:sz w:val="22"/>
      <w:szCs w:val="22"/>
    </w:rPr>
  </w:style>
  <w:style w:type="character" w:customStyle="1" w:styleId="26">
    <w:name w:val="正文文本缩进 字符"/>
    <w:link w:val="4"/>
    <w:qFormat/>
    <w:uiPriority w:val="99"/>
    <w:rPr>
      <w:kern w:val="2"/>
      <w:sz w:val="21"/>
    </w:rPr>
  </w:style>
  <w:style w:type="character" w:customStyle="1" w:styleId="27">
    <w:name w:val="正文文本缩进 字符1"/>
    <w:basedOn w:val="10"/>
    <w:semiHidden/>
    <w:qFormat/>
    <w:uiPriority w:val="99"/>
    <w:rPr>
      <w:rFonts w:ascii="宋体" w:hAnsi="宋体" w:eastAsia="宋体" w:cs="宋体"/>
      <w:sz w:val="24"/>
      <w:szCs w:val="24"/>
    </w:rPr>
  </w:style>
  <w:style w:type="paragraph" w:customStyle="1" w:styleId="28">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A63C9-4E00-4291-B122-A2E988D79672}">
  <ds:schemaRefs/>
</ds:datastoreItem>
</file>

<file path=docProps/app.xml><?xml version="1.0" encoding="utf-8"?>
<Properties xmlns="http://schemas.openxmlformats.org/officeDocument/2006/extended-properties" xmlns:vt="http://schemas.openxmlformats.org/officeDocument/2006/docPropsVTypes">
  <Template>Normal</Template>
  <Pages>11</Pages>
  <Words>844</Words>
  <Characters>978</Characters>
  <Lines>60</Lines>
  <Paragraphs>16</Paragraphs>
  <TotalTime>687</TotalTime>
  <ScaleCrop>false</ScaleCrop>
  <LinksUpToDate>false</LinksUpToDate>
  <CharactersWithSpaces>983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2024-01-25T07:10:00Z</dcterms:created>
  <dc:creator>juvg</dc:creator>
  <cp:lastModifiedBy>归晚.</cp:lastModifiedBy>
  <cp:lastPrinted>2023-11-21T00:52:00Z</cp:lastPrinted>
  <dcterms:modified xsi:type="dcterms:W3CDTF">2025-03-24T01:35:44Z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rammarlyDocumentId">
    <vt:lpwstr>faa73ff9df843c4ce11f100626a49e39b52041cd554749368278faa5c637b39d</vt:lpwstr>
  </property>
  <property fmtid="{D5CDD505-2E9C-101B-9397-08002B2CF9AE}" pid="4" name="KSOTemplateDocerSaveRecord">
    <vt:lpwstr>eyJoZGlkIjoiNDdlMTljOWMxNTc2MWY3YzI4NjAwYTQzZDc4MjEzM2YiLCJ1c2VySWQiOiI1NTQ0NjQ5MzAifQ==</vt:lpwstr>
  </property>
  <property fmtid="{D5CDD505-2E9C-101B-9397-08002B2CF9AE}" pid="5" name="ICV">
    <vt:lpwstr>B9CE109A43054D25A9CD0B5C6A12EA71_12</vt:lpwstr>
  </property>
</Properties>
</file>