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【保险医学基础】</w:t>
      </w:r>
    </w:p>
    <w:p>
      <w:pPr>
        <w:shd w:val="clear" w:color="auto" w:fill="F5F5F5"/>
        <w:jc w:val="center"/>
        <w:textAlignment w:val="top"/>
        <w:rPr>
          <w:rFonts w:ascii="Arial" w:hAnsi="Arial" w:cs="Arial"/>
          <w:color w:val="888888"/>
          <w:kern w:val="0"/>
          <w:sz w:val="20"/>
          <w:szCs w:val="20"/>
        </w:rPr>
      </w:pPr>
      <w:r>
        <w:rPr>
          <w:rFonts w:hint="eastAsia"/>
          <w:b/>
          <w:sz w:val="28"/>
          <w:szCs w:val="30"/>
        </w:rPr>
        <w:t>【Fundamentals of Insurance Medicine】</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【2170016】</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健康管理学院健康服务与管理专业</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cs="宋体"/>
          <w:sz w:val="20"/>
          <w:szCs w:val="20"/>
        </w:rPr>
      </w:pPr>
      <w:r>
        <w:rPr>
          <w:rFonts w:hint="eastAsia" w:ascii="宋体" w:hAnsi="宋体" w:cs="宋体"/>
          <w:sz w:val="20"/>
          <w:szCs w:val="20"/>
        </w:rPr>
        <w:t>教材【新编保险医学基础，任森林，中国金融出版社，第二版】</w:t>
      </w:r>
    </w:p>
    <w:p>
      <w:pPr>
        <w:snapToGrid w:val="0"/>
        <w:spacing w:line="288" w:lineRule="auto"/>
        <w:ind w:firstLine="792" w:firstLineChars="396"/>
        <w:rPr>
          <w:rFonts w:hint="eastAsia" w:ascii="宋体" w:hAnsi="宋体" w:cs="宋体"/>
          <w:sz w:val="20"/>
          <w:szCs w:val="20"/>
        </w:rPr>
      </w:pPr>
      <w:r>
        <w:rPr>
          <w:rFonts w:hint="eastAsia" w:ascii="宋体" w:hAnsi="宋体" w:cs="宋体"/>
          <w:sz w:val="20"/>
          <w:szCs w:val="20"/>
        </w:rPr>
        <w:t>参考书目【人身保险核保核赔</w:t>
      </w:r>
      <w:r>
        <w:rPr>
          <w:rFonts w:hint="eastAsia" w:ascii="宋体" w:hAnsi="宋体" w:cs="宋体"/>
          <w:sz w:val="20"/>
          <w:szCs w:val="20"/>
          <w:lang w:eastAsia="zh-CN"/>
        </w:rPr>
        <w:t>，谢隽，陈艳茜，吴新建，范文庆，中南大学出版社，</w:t>
      </w:r>
      <w:r>
        <w:rPr>
          <w:rFonts w:hint="eastAsia" w:ascii="宋体" w:hAnsi="宋体" w:cs="宋体"/>
          <w:sz w:val="20"/>
          <w:szCs w:val="20"/>
        </w:rPr>
        <w:t>第</w:t>
      </w:r>
      <w:r>
        <w:rPr>
          <w:rFonts w:hint="eastAsia" w:ascii="宋体" w:hAnsi="宋体" w:cs="宋体"/>
          <w:sz w:val="20"/>
          <w:szCs w:val="20"/>
          <w:lang w:val="en-US" w:eastAsia="zh-CN"/>
        </w:rPr>
        <w:t>1</w:t>
      </w:r>
      <w:r>
        <w:rPr>
          <w:rFonts w:hint="eastAsia" w:ascii="宋体" w:hAnsi="宋体" w:cs="宋体"/>
          <w:sz w:val="20"/>
          <w:szCs w:val="20"/>
        </w:rPr>
        <w:t>版</w:t>
      </w:r>
      <w:r>
        <w:rPr>
          <w:rFonts w:hint="eastAsia" w:ascii="宋体" w:hAnsi="宋体" w:cs="宋体"/>
          <w:sz w:val="20"/>
          <w:szCs w:val="20"/>
          <w:lang w:eastAsia="zh-CN"/>
        </w:rPr>
        <w:t>；人身保险案例分析，张洪涛，庄作瑾，中国人民大学出版社，</w:t>
      </w:r>
      <w:r>
        <w:rPr>
          <w:rFonts w:hint="eastAsia" w:ascii="宋体" w:hAnsi="宋体" w:cs="宋体"/>
          <w:sz w:val="20"/>
          <w:szCs w:val="20"/>
        </w:rPr>
        <w:t>第</w:t>
      </w:r>
      <w:r>
        <w:rPr>
          <w:rFonts w:hint="eastAsia" w:ascii="宋体" w:hAnsi="宋体" w:cs="宋体"/>
          <w:sz w:val="20"/>
          <w:szCs w:val="20"/>
          <w:lang w:val="en-US" w:eastAsia="zh-CN"/>
        </w:rPr>
        <w:t>1</w:t>
      </w:r>
      <w:r>
        <w:rPr>
          <w:rFonts w:hint="eastAsia" w:ascii="宋体" w:hAnsi="宋体" w:cs="宋体"/>
          <w:sz w:val="20"/>
          <w:szCs w:val="20"/>
        </w:rPr>
        <w:t>版</w:t>
      </w:r>
      <w:r>
        <w:rPr>
          <w:rFonts w:hint="eastAsia" w:ascii="宋体" w:hAnsi="宋体" w:cs="宋体"/>
          <w:sz w:val="20"/>
          <w:szCs w:val="20"/>
          <w:lang w:eastAsia="zh-CN"/>
        </w:rPr>
        <w:t>；中国法院2021年度案例·保险纠纷，国家法官学院，最高人民法院司法案例研究院，中国法制出版社，</w:t>
      </w:r>
      <w:r>
        <w:rPr>
          <w:rFonts w:hint="eastAsia" w:ascii="宋体" w:hAnsi="宋体" w:cs="宋体"/>
          <w:sz w:val="20"/>
          <w:szCs w:val="20"/>
          <w:lang w:val="en-US" w:eastAsia="zh-CN"/>
        </w:rPr>
        <w:t>第1版；经典保险案例分析100例，许飞琼，中国金融出版社有限公司，第1版</w:t>
      </w:r>
      <w:r>
        <w:rPr>
          <w:rFonts w:hint="eastAsia" w:ascii="宋体" w:hAnsi="宋体" w:cs="宋体"/>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4" w:firstLineChars="196"/>
        <w:rPr>
          <w:rFonts w:hint="eastAsia" w:ascii="宋体" w:hAnsi="宋体" w:cs="宋体"/>
          <w:sz w:val="20"/>
          <w:szCs w:val="20"/>
          <w:lang w:eastAsia="zh-CN"/>
        </w:rPr>
      </w:pPr>
      <w:r>
        <w:rPr>
          <w:b/>
          <w:bCs/>
          <w:color w:val="000000"/>
          <w:sz w:val="20"/>
          <w:szCs w:val="20"/>
        </w:rPr>
        <w:t>先修课程：</w:t>
      </w:r>
      <w:r>
        <w:rPr>
          <w:rFonts w:hint="eastAsia"/>
          <w:b/>
          <w:bCs/>
          <w:color w:val="000000"/>
          <w:sz w:val="20"/>
          <w:szCs w:val="20"/>
          <w:lang w:eastAsia="zh-CN"/>
        </w:rPr>
        <w:t>【</w:t>
      </w:r>
      <w:r>
        <w:rPr>
          <w:rFonts w:hint="eastAsia" w:ascii="宋体" w:hAnsi="宋体" w:cs="宋体"/>
          <w:sz w:val="20"/>
          <w:szCs w:val="20"/>
          <w:lang w:eastAsia="zh-CN"/>
        </w:rPr>
        <w:t>正常人体结构学2170001（</w:t>
      </w:r>
      <w:r>
        <w:rPr>
          <w:rFonts w:hint="eastAsia" w:ascii="宋体" w:hAnsi="宋体" w:cs="宋体"/>
          <w:sz w:val="20"/>
          <w:szCs w:val="20"/>
          <w:lang w:val="en-US" w:eastAsia="zh-CN"/>
        </w:rPr>
        <w:t>4</w:t>
      </w:r>
      <w:r>
        <w:rPr>
          <w:rFonts w:hint="eastAsia" w:ascii="宋体" w:hAnsi="宋体" w:cs="宋体"/>
          <w:sz w:val="20"/>
          <w:szCs w:val="20"/>
          <w:lang w:eastAsia="zh-CN"/>
        </w:rPr>
        <w:t>）</w:t>
      </w:r>
      <w:r>
        <w:rPr>
          <w:rFonts w:hint="eastAsia" w:ascii="宋体" w:hAnsi="宋体" w:cs="宋体"/>
          <w:sz w:val="20"/>
          <w:szCs w:val="20"/>
          <w:lang w:val="en-US" w:eastAsia="zh-CN"/>
        </w:rPr>
        <w:t>；正常人体功能学</w:t>
      </w:r>
      <w:r>
        <w:rPr>
          <w:rFonts w:hint="eastAsia" w:ascii="宋体" w:hAnsi="宋体" w:cs="宋体"/>
          <w:sz w:val="20"/>
          <w:szCs w:val="20"/>
          <w:lang w:eastAsia="zh-CN"/>
        </w:rPr>
        <w:t>2170002（</w:t>
      </w:r>
      <w:r>
        <w:rPr>
          <w:rFonts w:hint="eastAsia" w:ascii="宋体" w:hAnsi="宋体" w:cs="宋体"/>
          <w:sz w:val="20"/>
          <w:szCs w:val="20"/>
          <w:lang w:val="en-US" w:eastAsia="zh-CN"/>
        </w:rPr>
        <w:t>4</w:t>
      </w:r>
      <w:r>
        <w:rPr>
          <w:rFonts w:hint="eastAsia" w:ascii="宋体" w:hAnsi="宋体" w:cs="宋体"/>
          <w:sz w:val="20"/>
          <w:szCs w:val="20"/>
          <w:lang w:eastAsia="zh-CN"/>
        </w:rPr>
        <w:t>）；疾病学基础2170003（</w:t>
      </w:r>
      <w:r>
        <w:rPr>
          <w:rFonts w:hint="eastAsia" w:ascii="宋体" w:hAnsi="宋体" w:cs="宋体"/>
          <w:sz w:val="20"/>
          <w:szCs w:val="20"/>
          <w:lang w:val="en-US" w:eastAsia="zh-CN"/>
        </w:rPr>
        <w:t>4</w:t>
      </w:r>
      <w:r>
        <w:rPr>
          <w:rFonts w:hint="eastAsia" w:ascii="宋体" w:hAnsi="宋体" w:cs="宋体"/>
          <w:sz w:val="20"/>
          <w:szCs w:val="20"/>
          <w:lang w:eastAsia="zh-CN"/>
        </w:rPr>
        <w:t>）；临床医学概论2170006（</w:t>
      </w:r>
      <w:r>
        <w:rPr>
          <w:rFonts w:hint="eastAsia" w:ascii="宋体" w:hAnsi="宋体" w:cs="宋体"/>
          <w:sz w:val="20"/>
          <w:szCs w:val="20"/>
          <w:lang w:val="en-US" w:eastAsia="zh-CN"/>
        </w:rPr>
        <w:t>4</w:t>
      </w:r>
      <w:r>
        <w:rPr>
          <w:rFonts w:hint="eastAsia" w:ascii="宋体" w:hAnsi="宋体" w:cs="宋体"/>
          <w:sz w:val="20"/>
          <w:szCs w:val="20"/>
          <w:lang w:eastAsia="zh-CN"/>
        </w:rPr>
        <w:t>）；运动医学基础2170032（</w:t>
      </w:r>
      <w:r>
        <w:rPr>
          <w:rFonts w:hint="eastAsia" w:ascii="宋体" w:hAnsi="宋体" w:cs="宋体"/>
          <w:sz w:val="20"/>
          <w:szCs w:val="20"/>
          <w:lang w:val="en-US" w:eastAsia="zh-CN"/>
        </w:rPr>
        <w:t>4</w:t>
      </w:r>
      <w:r>
        <w:rPr>
          <w:rFonts w:hint="eastAsia" w:ascii="宋体" w:hAnsi="宋体" w:cs="宋体"/>
          <w:sz w:val="20"/>
          <w:szCs w:val="20"/>
          <w:lang w:eastAsia="zh-CN"/>
        </w:rPr>
        <w:t>）</w:t>
      </w:r>
      <w:r>
        <w:rPr>
          <w:rFonts w:hint="eastAsia"/>
          <w:b/>
          <w:bCs/>
          <w:color w:val="000000"/>
          <w:sz w:val="20"/>
          <w:szCs w:val="20"/>
          <w:lang w:eastAsia="zh-CN"/>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rPr>
        <w:t>本课程以人身保险行业的相关岗位职责和任务要求为基准，分八章介绍了保险医学相关的知识，具体包括：</w:t>
      </w:r>
      <w:r>
        <w:rPr>
          <w:rFonts w:hint="eastAsia"/>
          <w:color w:val="000000"/>
          <w:sz w:val="20"/>
          <w:szCs w:val="20"/>
          <w:lang w:val="en-US" w:eastAsia="zh-CN"/>
        </w:rPr>
        <w:t>绪论</w:t>
      </w:r>
      <w:r>
        <w:rPr>
          <w:rFonts w:hint="eastAsia"/>
          <w:color w:val="000000"/>
          <w:sz w:val="20"/>
          <w:szCs w:val="20"/>
        </w:rPr>
        <w:t>，疾病、衰老与健康，人体系统组成与生理功能，保险业务中免责条款常用的医学术语，体检在保险业务中的应用，常见疾病在保险业务中的应用，病历文书在保险业务中的应用，人身意外伤害、残疾、死亡鉴定。通过《保险医学</w:t>
      </w:r>
      <w:r>
        <w:rPr>
          <w:rFonts w:hint="eastAsia"/>
          <w:color w:val="000000"/>
          <w:sz w:val="20"/>
          <w:szCs w:val="20"/>
          <w:lang w:val="en-US" w:eastAsia="zh-CN"/>
        </w:rPr>
        <w:t>基础</w:t>
      </w:r>
      <w:r>
        <w:rPr>
          <w:rFonts w:hint="eastAsia"/>
          <w:color w:val="000000"/>
          <w:sz w:val="20"/>
          <w:szCs w:val="20"/>
        </w:rPr>
        <w:t>》课程的学习，学生具备保险医学的基本理论知识的能力，具备健康保险职业中所需的医学术语、体检指标、医学文书、伤残鉴定等综合医学知识。通过课程的学习，学生具备健康保险的专业技能，能够利用所学保险、医学知识解决健康保险实际工作中的风险选择与控制问题</w:t>
      </w:r>
      <w:r>
        <w:rPr>
          <w:rFonts w:hint="eastAsia"/>
          <w:color w:val="000000"/>
          <w:sz w:val="20"/>
          <w:szCs w:val="20"/>
          <w:lang w:eastAsia="zh-CN"/>
        </w:rPr>
        <w:t>，</w:t>
      </w:r>
      <w:r>
        <w:rPr>
          <w:rFonts w:hint="eastAsia"/>
          <w:color w:val="000000"/>
          <w:sz w:val="20"/>
          <w:szCs w:val="20"/>
        </w:rPr>
        <w:t>在健康保险实务中具备与医院、鉴定机构、司法机关等机构的职业沟通和协调能力、具备团队协作精神、保险职业诚信品格、肩负为保险业发展贡献自己力量的社会责任感。</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于健康服务与管理本科</w:t>
      </w:r>
      <w:r>
        <w:rPr>
          <w:color w:val="000000"/>
          <w:sz w:val="20"/>
          <w:szCs w:val="20"/>
        </w:rPr>
        <w:t>专业、</w:t>
      </w:r>
      <w:r>
        <w:rPr>
          <w:rFonts w:hint="eastAsia"/>
          <w:color w:val="000000"/>
          <w:sz w:val="20"/>
          <w:szCs w:val="20"/>
        </w:rPr>
        <w:t>二</w:t>
      </w:r>
      <w:r>
        <w:rPr>
          <w:color w:val="000000"/>
          <w:sz w:val="20"/>
          <w:szCs w:val="20"/>
        </w:rPr>
        <w:t>年级</w:t>
      </w:r>
      <w:r>
        <w:rPr>
          <w:rFonts w:hint="eastAsia"/>
          <w:color w:val="000000"/>
          <w:sz w:val="20"/>
          <w:szCs w:val="20"/>
        </w:rPr>
        <w:t>下学期开设，学生需要对</w:t>
      </w:r>
      <w:r>
        <w:rPr>
          <w:rFonts w:hint="eastAsia"/>
          <w:color w:val="000000"/>
          <w:sz w:val="20"/>
          <w:szCs w:val="20"/>
          <w:lang w:val="en-US" w:eastAsia="zh-CN"/>
        </w:rPr>
        <w:t>人体结构学、人体功能学、疾病学、临床医学、运动医学</w:t>
      </w:r>
      <w:r>
        <w:rPr>
          <w:rFonts w:hint="eastAsia"/>
          <w:color w:val="000000"/>
          <w:sz w:val="20"/>
          <w:szCs w:val="20"/>
        </w:rPr>
        <w:t>等知识有一定的基础</w:t>
      </w:r>
      <w:r>
        <w:rPr>
          <w:color w:val="000000"/>
          <w:sz w:val="20"/>
          <w:szCs w:val="20"/>
        </w:rPr>
        <w:t>。</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margin" w:tblpXSpec="center" w:tblpY="21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LO11：</w:t>
            </w:r>
            <w:r>
              <w:rPr>
                <w:rFonts w:hint="eastAsia" w:ascii="仿宋" w:hAnsi="仿宋" w:eastAsia="仿宋"/>
                <w:sz w:val="24"/>
                <w:szCs w:val="24"/>
              </w:rPr>
              <w:t>表达沟通 应用书面和语言形式，分析健康问题，拟定健康改善计划，并能精准表达，让服务对象乐意接受，形成良性互动。</w:t>
            </w:r>
          </w:p>
        </w:tc>
        <w:tc>
          <w:tcPr>
            <w:tcW w:w="727" w:type="dxa"/>
            <w:vAlign w:val="center"/>
          </w:tcPr>
          <w:p>
            <w:pPr>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LO21：</w:t>
            </w:r>
            <w:r>
              <w:rPr>
                <w:rFonts w:hint="eastAsia" w:ascii="仿宋" w:hAnsi="仿宋" w:eastAsia="仿宋"/>
                <w:sz w:val="24"/>
                <w:szCs w:val="24"/>
              </w:rPr>
              <w:t>自主学习 能结合专业知识和岗位技能需求，确定自己的学习目标，并主动地通过搜集信息、分析信息、讨论、实践、质疑、创造等方法来实现学习目标。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kern w:val="0"/>
                <w:sz w:val="24"/>
                <w:szCs w:val="24"/>
              </w:rPr>
            </w:pPr>
            <w:r>
              <w:rPr>
                <w:rFonts w:hint="eastAsia" w:ascii="仿宋" w:hAnsi="仿宋" w:eastAsia="仿宋" w:cs="宋体"/>
                <w:kern w:val="0"/>
                <w:sz w:val="24"/>
                <w:szCs w:val="24"/>
              </w:rPr>
              <w:t>LO311：医疗保</w:t>
            </w:r>
            <w:r>
              <w:rPr>
                <w:rFonts w:hint="eastAsia" w:ascii="仿宋" w:hAnsi="仿宋" w:eastAsia="仿宋"/>
                <w:sz w:val="24"/>
                <w:szCs w:val="24"/>
              </w:rPr>
              <w:t>健：掌握基本医疗保健知识和技能。</w:t>
            </w:r>
          </w:p>
        </w:tc>
        <w:tc>
          <w:tcPr>
            <w:tcW w:w="727" w:type="dxa"/>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LO312：</w:t>
            </w:r>
            <w:r>
              <w:rPr>
                <w:rFonts w:hint="eastAsia" w:ascii="仿宋" w:hAnsi="仿宋" w:eastAsia="仿宋"/>
                <w:sz w:val="24"/>
                <w:szCs w:val="24"/>
              </w:rPr>
              <w:t>健康评估：能全面评估服务对象的健康状态，具有健康监测、健康风险评估能力。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LO313：</w:t>
            </w:r>
            <w:r>
              <w:rPr>
                <w:rFonts w:hint="eastAsia" w:ascii="仿宋" w:hAnsi="仿宋" w:eastAsia="仿宋"/>
                <w:sz w:val="24"/>
                <w:szCs w:val="24"/>
              </w:rPr>
              <w:t>健康教育：能确定服务对象的健康需求，并采用合适的健康教育方法。</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sz w:val="24"/>
                <w:szCs w:val="24"/>
              </w:rPr>
            </w:pPr>
            <w:r>
              <w:rPr>
                <w:rFonts w:hint="eastAsia" w:ascii="仿宋" w:hAnsi="仿宋" w:eastAsia="仿宋" w:cs="宋体"/>
                <w:kern w:val="0"/>
                <w:sz w:val="24"/>
                <w:szCs w:val="24"/>
              </w:rPr>
              <w:t>LO314：</w:t>
            </w:r>
            <w:r>
              <w:rPr>
                <w:rFonts w:hint="eastAsia" w:ascii="仿宋" w:hAnsi="仿宋" w:eastAsia="仿宋"/>
                <w:sz w:val="24"/>
                <w:szCs w:val="24"/>
              </w:rPr>
              <w:t>健康促进：掌握慢性病管理相关知识，协助医生开展慢性病病人社区健康管理，包括健康干预方案的跟踪随访。</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LO315：</w:t>
            </w:r>
            <w:r>
              <w:rPr>
                <w:rFonts w:ascii="仿宋" w:hAnsi="仿宋" w:eastAsia="仿宋"/>
                <w:sz w:val="24"/>
                <w:szCs w:val="24"/>
              </w:rPr>
              <w:t>健康咨询</w:t>
            </w:r>
            <w:r>
              <w:rPr>
                <w:rFonts w:hint="eastAsia" w:ascii="仿宋" w:hAnsi="仿宋" w:eastAsia="仿宋"/>
                <w:sz w:val="24"/>
                <w:szCs w:val="24"/>
              </w:rPr>
              <w:t>：掌握健康保健专业知识，为服务对象提供健康咨询服务。</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kern w:val="0"/>
                <w:sz w:val="24"/>
                <w:szCs w:val="24"/>
              </w:rPr>
            </w:pPr>
            <w:r>
              <w:rPr>
                <w:rFonts w:hint="eastAsia" w:ascii="仿宋" w:hAnsi="仿宋" w:eastAsia="仿宋" w:cs="宋体"/>
                <w:kern w:val="0"/>
                <w:sz w:val="24"/>
                <w:szCs w:val="24"/>
              </w:rPr>
              <w:t>LO316：</w:t>
            </w:r>
            <w:r>
              <w:rPr>
                <w:rFonts w:hint="eastAsia" w:ascii="仿宋" w:hAnsi="仿宋" w:eastAsia="仿宋"/>
                <w:sz w:val="24"/>
                <w:szCs w:val="24"/>
              </w:rPr>
              <w:t>健康管理：掌握对个人或人群的健康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ascii="仿宋" w:hAnsi="仿宋" w:eastAsia="仿宋"/>
                <w:sz w:val="24"/>
                <w:szCs w:val="24"/>
              </w:rPr>
              <w:t>风险</w:t>
            </w:r>
            <w:r>
              <w:rPr>
                <w:rFonts w:hint="eastAsia" w:ascii="仿宋" w:hAnsi="仿宋" w:eastAsia="仿宋"/>
                <w:sz w:val="24"/>
                <w:szCs w:val="24"/>
              </w:rPr>
              <w:fldChar w:fldCharType="end"/>
            </w:r>
            <w:r>
              <w:rPr>
                <w:rFonts w:hint="eastAsia" w:ascii="仿宋" w:hAnsi="仿宋" w:eastAsia="仿宋"/>
                <w:sz w:val="24"/>
                <w:szCs w:val="24"/>
              </w:rPr>
              <w:t>因素进行全面管理的能力，开展健康管理服务。</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w:t>
            </w:r>
            <w:r>
              <w:rPr>
                <w:rFonts w:hint="eastAsia" w:ascii="仿宋" w:hAnsi="仿宋" w:eastAsia="仿宋"/>
                <w:sz w:val="24"/>
                <w:szCs w:val="24"/>
              </w:rPr>
              <w:t>尽责抗压：发扬雷锋精神，在学习和社会实践中遵守职业规范，具备职业道德素养。乐观豁达，能承受学习和生活压力。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w:t>
            </w:r>
            <w:r>
              <w:rPr>
                <w:rFonts w:hint="eastAsia" w:ascii="仿宋" w:hAnsi="仿宋" w:eastAsia="仿宋"/>
                <w:sz w:val="24"/>
                <w:szCs w:val="24"/>
              </w:rPr>
              <w:t>协同创新：具有积极的团队合作精神和创新创业意识，了解并灵活运用国家创新、创业相关政策，结合所学专业知识和技能，不断提出新设想。</w:t>
            </w:r>
            <w:r>
              <w:rPr>
                <w:rFonts w:ascii="仿宋" w:hAnsi="仿宋" w:eastAsia="仿宋"/>
                <w:sz w:val="24"/>
                <w:szCs w:val="24"/>
              </w:rPr>
              <w:t xml:space="preserve">  </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LO61：</w:t>
            </w:r>
            <w:r>
              <w:rPr>
                <w:rFonts w:hint="eastAsia" w:ascii="仿宋" w:hAnsi="仿宋" w:eastAsia="仿宋"/>
                <w:sz w:val="24"/>
                <w:szCs w:val="24"/>
              </w:rPr>
              <w:t>信息应用：熟练使用计算机，掌握常用办公软件。运用现代信息技术，开展健康评估和健康改善活动。</w:t>
            </w:r>
          </w:p>
        </w:tc>
        <w:tc>
          <w:tcPr>
            <w:tcW w:w="727"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LO71：</w:t>
            </w:r>
            <w:r>
              <w:rPr>
                <w:rFonts w:hint="eastAsia" w:ascii="仿宋" w:hAnsi="仿宋" w:eastAsia="仿宋"/>
                <w:sz w:val="24"/>
                <w:szCs w:val="24"/>
              </w:rPr>
              <w:t>服务关爱：富有爱心，懂得感恩，具备助人为乐的品质。具有服务企业、服务社会的意愿和行为能力。</w:t>
            </w:r>
          </w:p>
        </w:tc>
        <w:tc>
          <w:tcPr>
            <w:tcW w:w="727"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kern w:val="0"/>
                <w:sz w:val="24"/>
                <w:szCs w:val="24"/>
              </w:rPr>
            </w:pPr>
            <w:r>
              <w:rPr>
                <w:rFonts w:hint="eastAsia" w:ascii="仿宋" w:hAnsi="仿宋" w:eastAsia="仿宋" w:cs="宋体"/>
                <w:kern w:val="0"/>
                <w:sz w:val="24"/>
                <w:szCs w:val="24"/>
              </w:rPr>
              <w:t>LO81：</w:t>
            </w:r>
            <w:r>
              <w:rPr>
                <w:rFonts w:hint="eastAsia" w:ascii="仿宋" w:hAnsi="仿宋" w:eastAsia="仿宋"/>
                <w:sz w:val="24"/>
                <w:szCs w:val="24"/>
              </w:rPr>
              <w:t>国际视野：有国际竞争与合作意识。具有运用一门外语阅读相关文献和简单会话能力。有跨文化交流能力。</w:t>
            </w:r>
          </w:p>
        </w:tc>
        <w:tc>
          <w:tcPr>
            <w:tcW w:w="727" w:type="dxa"/>
            <w:vAlign w:val="center"/>
          </w:tcPr>
          <w:p>
            <w:pPr>
              <w:widowControl/>
              <w:jc w:val="center"/>
              <w:rPr>
                <w:rFonts w:ascii="仿宋" w:hAnsi="仿宋" w:eastAsia="仿宋" w:cs="宋体"/>
                <w:kern w:val="0"/>
                <w:sz w:val="24"/>
                <w:szCs w:val="20"/>
              </w:rPr>
            </w:pPr>
          </w:p>
        </w:tc>
      </w:tr>
    </w:tbl>
    <w:p>
      <w:pPr>
        <w:spacing w:line="360" w:lineRule="auto"/>
        <w:ind w:firstLine="600" w:firstLineChars="250"/>
        <w:rPr>
          <w:rFonts w:ascii="黑体" w:hAnsi="宋体" w:eastAsia="黑体"/>
          <w:sz w:val="24"/>
        </w:rPr>
      </w:pPr>
    </w:p>
    <w:p>
      <w:r>
        <w:rPr>
          <w:rFonts w:hint="eastAsia"/>
        </w:rPr>
        <w:t>备注：LO=</w:t>
      </w:r>
      <w:r>
        <w:t>learning outcomes</w:t>
      </w:r>
      <w:r>
        <w:rPr>
          <w:rFonts w:hint="eastAsia"/>
        </w:rPr>
        <w:t>（学习成果）</w:t>
      </w:r>
    </w:p>
    <w:p/>
    <w:p>
      <w:pPr>
        <w:spacing w:line="360" w:lineRule="auto"/>
        <w:ind w:firstLine="600" w:firstLineChars="25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247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2199"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76"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535" w:type="dxa"/>
            <w:shd w:val="clear" w:color="auto" w:fill="auto"/>
            <w:vAlign w:val="center"/>
          </w:tcPr>
          <w:p>
            <w:pP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w:t>
            </w:r>
          </w:p>
        </w:tc>
        <w:tc>
          <w:tcPr>
            <w:tcW w:w="1175"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LO11</w:t>
            </w:r>
          </w:p>
        </w:tc>
        <w:tc>
          <w:tcPr>
            <w:tcW w:w="2470" w:type="dxa"/>
            <w:shd w:val="clear" w:color="auto" w:fill="auto"/>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能够应用书面和语言形式，分析被保险人健康问题，并能精准表达保险责任和条例，让投保者乐意接受，减少保险责任纠纷。</w:t>
            </w:r>
          </w:p>
        </w:tc>
        <w:tc>
          <w:tcPr>
            <w:tcW w:w="2199" w:type="dxa"/>
            <w:shd w:val="clear" w:color="auto" w:fill="auto"/>
            <w:vAlign w:val="center"/>
          </w:tcPr>
          <w:p>
            <w:pPr>
              <w:jc w:val="center"/>
              <w:rPr>
                <w:rFonts w:hint="eastAsia"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案例分析</w:t>
            </w:r>
          </w:p>
          <w:p>
            <w:pPr>
              <w:jc w:val="center"/>
              <w:rPr>
                <w:rFonts w:hint="eastAsia" w:ascii="仿宋" w:hAnsi="仿宋" w:eastAsia="仿宋" w:cs="宋体"/>
                <w:kern w:val="0"/>
                <w:sz w:val="24"/>
                <w:szCs w:val="24"/>
                <w:lang w:val="en-US" w:eastAsia="zh-CN"/>
              </w:rPr>
            </w:pPr>
          </w:p>
        </w:tc>
        <w:tc>
          <w:tcPr>
            <w:tcW w:w="1276" w:type="dxa"/>
            <w:shd w:val="clear" w:color="auto" w:fill="auto"/>
            <w:vAlign w:val="center"/>
          </w:tcPr>
          <w:p>
            <w:pPr>
              <w:snapToGrid w:val="0"/>
              <w:rPr>
                <w:rFonts w:hint="eastAsia" w:ascii="仿宋" w:hAnsi="仿宋" w:eastAsia="仿宋"/>
                <w:bCs/>
                <w:sz w:val="24"/>
                <w:szCs w:val="24"/>
              </w:rPr>
            </w:pPr>
            <w:r>
              <w:rPr>
                <w:rFonts w:hint="eastAsia" w:ascii="仿宋" w:hAnsi="仿宋" w:eastAsia="仿宋"/>
                <w:bCs/>
                <w:sz w:val="24"/>
                <w:szCs w:val="24"/>
              </w:rPr>
              <w:t>理论考试</w:t>
            </w:r>
          </w:p>
          <w:p>
            <w:pPr>
              <w:snapToGrid w:val="0"/>
              <w:rPr>
                <w:rFonts w:hint="eastAsia" w:ascii="仿宋" w:hAnsi="仿宋" w:eastAsia="仿宋"/>
                <w:bCs/>
                <w:sz w:val="24"/>
                <w:szCs w:val="24"/>
              </w:rPr>
            </w:pPr>
            <w:r>
              <w:rPr>
                <w:rFonts w:hint="eastAsia" w:ascii="仿宋" w:hAnsi="仿宋" w:eastAsia="仿宋"/>
                <w:bCs/>
                <w:sz w:val="24"/>
                <w:szCs w:val="24"/>
              </w:rPr>
              <w:t>课堂表现</w:t>
            </w:r>
          </w:p>
          <w:p>
            <w:pPr>
              <w:snapToGrid w:val="0"/>
              <w:spacing w:line="288" w:lineRule="auto"/>
              <w:jc w:val="center"/>
              <w:rPr>
                <w:rFonts w:hint="eastAsia" w:ascii="宋体" w:hAnsi="宋体" w:eastAsia="宋体" w:cs="宋体"/>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35" w:type="dxa"/>
            <w:shd w:val="clear" w:color="auto" w:fill="auto"/>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2</w:t>
            </w:r>
          </w:p>
        </w:tc>
        <w:tc>
          <w:tcPr>
            <w:tcW w:w="1175"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LO21</w:t>
            </w:r>
          </w:p>
        </w:tc>
        <w:tc>
          <w:tcPr>
            <w:tcW w:w="2470" w:type="dxa"/>
            <w:shd w:val="clear" w:color="auto" w:fill="auto"/>
          </w:tcPr>
          <w:p>
            <w:pP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自主学习保险医学知识，能结合专业知识和人身保险核保核赔技能需求，确定自己的学习目标，并主动地通过搜集信息、分析信息、讨论、实践、质疑、创造等方法来学习保险医学知识</w:t>
            </w:r>
          </w:p>
        </w:tc>
        <w:tc>
          <w:tcPr>
            <w:tcW w:w="2199" w:type="dxa"/>
            <w:shd w:val="clear" w:color="auto" w:fill="auto"/>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自主学习</w:t>
            </w:r>
          </w:p>
        </w:tc>
        <w:tc>
          <w:tcPr>
            <w:tcW w:w="1276" w:type="dxa"/>
            <w:shd w:val="clear" w:color="auto" w:fill="auto"/>
            <w:vAlign w:val="center"/>
          </w:tcPr>
          <w:p>
            <w:pPr>
              <w:snapToGrid w:val="0"/>
              <w:spacing w:line="300" w:lineRule="exact"/>
              <w:jc w:val="both"/>
              <w:rPr>
                <w:rFonts w:ascii="仿宋" w:hAnsi="仿宋" w:eastAsia="仿宋"/>
                <w:bCs/>
                <w:sz w:val="24"/>
                <w:szCs w:val="24"/>
              </w:rPr>
            </w:pPr>
            <w:r>
              <w:rPr>
                <w:rFonts w:hint="eastAsia" w:ascii="仿宋" w:hAnsi="仿宋" w:eastAsia="仿宋"/>
                <w:bCs/>
                <w:sz w:val="24"/>
                <w:szCs w:val="24"/>
              </w:rPr>
              <w:t>口头评价</w:t>
            </w:r>
          </w:p>
          <w:p>
            <w:pPr>
              <w:rPr>
                <w:rFonts w:hint="eastAsia" w:ascii="仿宋" w:hAnsi="仿宋" w:eastAsia="仿宋" w:cs="宋体"/>
                <w:kern w:val="0"/>
                <w:sz w:val="24"/>
                <w:szCs w:val="24"/>
                <w:lang w:val="en-US" w:eastAsia="zh-CN"/>
              </w:rPr>
            </w:pPr>
            <w:r>
              <w:rPr>
                <w:rFonts w:hint="eastAsia" w:ascii="仿宋" w:hAnsi="仿宋" w:eastAsia="仿宋"/>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35" w:type="dxa"/>
            <w:shd w:val="clear" w:color="auto" w:fill="auto"/>
            <w:vAlign w:val="center"/>
          </w:tcPr>
          <w:p>
            <w:pPr>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3</w:t>
            </w:r>
          </w:p>
        </w:tc>
        <w:tc>
          <w:tcPr>
            <w:tcW w:w="1175"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LO312</w:t>
            </w:r>
          </w:p>
        </w:tc>
        <w:tc>
          <w:tcPr>
            <w:tcW w:w="2470"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sz w:val="24"/>
                <w:szCs w:val="24"/>
                <w:lang w:val="en-US" w:eastAsia="zh-CN"/>
              </w:rPr>
              <w:t>能够利用体检等相关保险医学知识对投保者进行</w:t>
            </w:r>
            <w:r>
              <w:rPr>
                <w:rFonts w:hint="eastAsia" w:ascii="仿宋" w:hAnsi="仿宋" w:eastAsia="仿宋"/>
                <w:sz w:val="24"/>
                <w:szCs w:val="24"/>
              </w:rPr>
              <w:t>健康评估</w:t>
            </w:r>
            <w:r>
              <w:rPr>
                <w:rFonts w:hint="eastAsia" w:ascii="仿宋" w:hAnsi="仿宋" w:eastAsia="仿宋"/>
                <w:sz w:val="24"/>
                <w:szCs w:val="24"/>
                <w:lang w:eastAsia="zh-CN"/>
              </w:rPr>
              <w:t>，</w:t>
            </w:r>
            <w:r>
              <w:rPr>
                <w:rFonts w:hint="eastAsia" w:ascii="仿宋" w:hAnsi="仿宋" w:eastAsia="仿宋"/>
                <w:sz w:val="24"/>
                <w:szCs w:val="24"/>
              </w:rPr>
              <w:t>能全面评估服务对象的健康状态，具有健康监测、健康风险评估能力。</w:t>
            </w:r>
          </w:p>
        </w:tc>
        <w:tc>
          <w:tcPr>
            <w:tcW w:w="2199" w:type="dxa"/>
            <w:shd w:val="clear" w:color="auto" w:fill="auto"/>
            <w:vAlign w:val="center"/>
          </w:tcPr>
          <w:p>
            <w:pPr>
              <w:jc w:val="center"/>
              <w:rPr>
                <w:rFonts w:hint="eastAsia"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案例分析</w:t>
            </w:r>
          </w:p>
          <w:p>
            <w:pPr>
              <w:rPr>
                <w:rFonts w:hint="eastAsia" w:ascii="仿宋" w:hAnsi="仿宋" w:eastAsia="仿宋" w:cs="宋体"/>
                <w:kern w:val="0"/>
                <w:sz w:val="24"/>
                <w:szCs w:val="24"/>
                <w:lang w:val="en-US" w:eastAsia="zh-CN"/>
              </w:rPr>
            </w:pPr>
          </w:p>
        </w:tc>
        <w:tc>
          <w:tcPr>
            <w:tcW w:w="1276" w:type="dxa"/>
            <w:shd w:val="clear" w:color="auto" w:fill="auto"/>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理论考试</w:t>
            </w:r>
          </w:p>
          <w:p>
            <w:pPr>
              <w:widowControl/>
              <w:jc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kern w:val="0"/>
                <w:sz w:val="24"/>
                <w:szCs w:val="24"/>
                <w:lang w:val="en-US" w:eastAsia="zh-CN"/>
              </w:rPr>
            </w:pPr>
          </w:p>
        </w:tc>
        <w:tc>
          <w:tcPr>
            <w:tcW w:w="1175" w:type="dxa"/>
            <w:shd w:val="clear" w:color="auto" w:fill="auto"/>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LO316</w:t>
            </w:r>
          </w:p>
        </w:tc>
        <w:tc>
          <w:tcPr>
            <w:tcW w:w="2470"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sz w:val="24"/>
                <w:szCs w:val="24"/>
                <w:lang w:val="en-US" w:eastAsia="zh-CN"/>
              </w:rPr>
              <w:t>通过学习保险医学知识，</w:t>
            </w:r>
            <w:r>
              <w:rPr>
                <w:rFonts w:hint="eastAsia" w:ascii="仿宋" w:hAnsi="仿宋" w:eastAsia="仿宋"/>
                <w:sz w:val="24"/>
                <w:szCs w:val="24"/>
              </w:rPr>
              <w:t>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ascii="仿宋" w:hAnsi="仿宋" w:eastAsia="仿宋"/>
                <w:sz w:val="24"/>
                <w:szCs w:val="24"/>
              </w:rPr>
              <w:t>风险</w:t>
            </w:r>
            <w:r>
              <w:rPr>
                <w:rFonts w:hint="eastAsia" w:ascii="仿宋" w:hAnsi="仿宋" w:eastAsia="仿宋"/>
                <w:sz w:val="24"/>
                <w:szCs w:val="24"/>
              </w:rPr>
              <w:fldChar w:fldCharType="end"/>
            </w:r>
            <w:r>
              <w:rPr>
                <w:rFonts w:hint="eastAsia" w:ascii="仿宋" w:hAnsi="仿宋" w:eastAsia="仿宋"/>
                <w:sz w:val="24"/>
                <w:szCs w:val="24"/>
              </w:rPr>
              <w:t>因素进行全面管理的能力，</w:t>
            </w:r>
            <w:r>
              <w:rPr>
                <w:rFonts w:hint="eastAsia" w:ascii="仿宋" w:hAnsi="仿宋" w:eastAsia="仿宋"/>
                <w:sz w:val="24"/>
                <w:szCs w:val="24"/>
                <w:lang w:val="en-US" w:eastAsia="zh-CN"/>
              </w:rPr>
              <w:t>针对服务对象</w:t>
            </w:r>
            <w:r>
              <w:rPr>
                <w:rFonts w:hint="eastAsia" w:ascii="仿宋" w:hAnsi="仿宋" w:eastAsia="仿宋"/>
                <w:sz w:val="24"/>
                <w:szCs w:val="24"/>
              </w:rPr>
              <w:t>开展健康管理服务</w:t>
            </w:r>
          </w:p>
        </w:tc>
        <w:tc>
          <w:tcPr>
            <w:tcW w:w="2199" w:type="dxa"/>
            <w:shd w:val="clear" w:color="auto" w:fill="auto"/>
            <w:vAlign w:val="center"/>
          </w:tcPr>
          <w:p>
            <w:pPr>
              <w:jc w:val="center"/>
              <w:rPr>
                <w:rFonts w:hint="eastAsia"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案例分析</w:t>
            </w:r>
          </w:p>
          <w:p>
            <w:pPr>
              <w:rPr>
                <w:rFonts w:hint="eastAsia" w:ascii="仿宋" w:hAnsi="仿宋" w:eastAsia="仿宋" w:cs="宋体"/>
                <w:kern w:val="0"/>
                <w:sz w:val="24"/>
                <w:szCs w:val="24"/>
                <w:lang w:val="en-US" w:eastAsia="zh-CN"/>
              </w:rPr>
            </w:pPr>
          </w:p>
        </w:tc>
        <w:tc>
          <w:tcPr>
            <w:tcW w:w="1276" w:type="dxa"/>
            <w:shd w:val="clear" w:color="auto" w:fill="auto"/>
            <w:vAlign w:val="center"/>
          </w:tcPr>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理论考试</w:t>
            </w:r>
          </w:p>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kern w:val="0"/>
                <w:sz w:val="24"/>
                <w:szCs w:val="24"/>
                <w:lang w:val="en-US" w:eastAsia="zh-CN"/>
              </w:rPr>
            </w:pPr>
          </w:p>
        </w:tc>
        <w:tc>
          <w:tcPr>
            <w:tcW w:w="1175" w:type="dxa"/>
            <w:shd w:val="clear" w:color="auto" w:fill="auto"/>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LO41</w:t>
            </w:r>
          </w:p>
        </w:tc>
        <w:tc>
          <w:tcPr>
            <w:tcW w:w="2470"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sz w:val="24"/>
                <w:szCs w:val="24"/>
                <w:lang w:val="en-US" w:eastAsia="zh-CN"/>
              </w:rPr>
              <w:t>在健康管理职责岗位上，</w:t>
            </w:r>
            <w:r>
              <w:rPr>
                <w:rFonts w:hint="eastAsia" w:ascii="仿宋" w:hAnsi="仿宋" w:eastAsia="仿宋"/>
                <w:sz w:val="24"/>
                <w:szCs w:val="24"/>
              </w:rPr>
              <w:t>尽责抗压</w:t>
            </w:r>
            <w:r>
              <w:rPr>
                <w:rFonts w:hint="eastAsia" w:ascii="仿宋" w:hAnsi="仿宋" w:eastAsia="仿宋"/>
                <w:sz w:val="24"/>
                <w:szCs w:val="24"/>
                <w:lang w:eastAsia="zh-CN"/>
              </w:rPr>
              <w:t>，</w:t>
            </w:r>
            <w:r>
              <w:rPr>
                <w:rFonts w:hint="eastAsia" w:ascii="仿宋" w:hAnsi="仿宋" w:eastAsia="仿宋"/>
                <w:sz w:val="24"/>
                <w:szCs w:val="24"/>
              </w:rPr>
              <w:t>发扬雷锋精神，在学习和社会实践中遵守职业规范，</w:t>
            </w:r>
            <w:r>
              <w:rPr>
                <w:rFonts w:hint="eastAsia" w:ascii="仿宋" w:hAnsi="仿宋" w:eastAsia="仿宋"/>
                <w:sz w:val="24"/>
                <w:szCs w:val="24"/>
                <w:lang w:val="en-US" w:eastAsia="zh-CN"/>
              </w:rPr>
              <w:t>承担社会责任和职业责任，</w:t>
            </w:r>
            <w:r>
              <w:rPr>
                <w:rFonts w:hint="eastAsia" w:ascii="仿宋" w:hAnsi="仿宋" w:eastAsia="仿宋"/>
                <w:sz w:val="24"/>
                <w:szCs w:val="24"/>
              </w:rPr>
              <w:t>具备职业道德素养。乐观豁达，能承受学习</w:t>
            </w:r>
            <w:r>
              <w:rPr>
                <w:rFonts w:hint="eastAsia" w:ascii="仿宋" w:hAnsi="仿宋" w:eastAsia="仿宋"/>
                <w:sz w:val="24"/>
                <w:szCs w:val="24"/>
                <w:lang w:eastAsia="zh-CN"/>
              </w:rPr>
              <w:t>、</w:t>
            </w:r>
            <w:r>
              <w:rPr>
                <w:rFonts w:hint="eastAsia" w:ascii="仿宋" w:hAnsi="仿宋" w:eastAsia="仿宋"/>
                <w:sz w:val="24"/>
                <w:szCs w:val="24"/>
              </w:rPr>
              <w:t>生活</w:t>
            </w:r>
            <w:r>
              <w:rPr>
                <w:rFonts w:hint="eastAsia" w:ascii="仿宋" w:hAnsi="仿宋" w:eastAsia="仿宋"/>
                <w:sz w:val="24"/>
                <w:szCs w:val="24"/>
                <w:lang w:eastAsia="zh-CN"/>
              </w:rPr>
              <w:t>、</w:t>
            </w:r>
            <w:r>
              <w:rPr>
                <w:rFonts w:hint="eastAsia" w:ascii="仿宋" w:hAnsi="仿宋" w:eastAsia="仿宋"/>
                <w:sz w:val="24"/>
                <w:szCs w:val="24"/>
                <w:lang w:val="en-US" w:eastAsia="zh-CN"/>
              </w:rPr>
              <w:t>岗位</w:t>
            </w:r>
            <w:r>
              <w:rPr>
                <w:rFonts w:hint="eastAsia" w:ascii="仿宋" w:hAnsi="仿宋" w:eastAsia="仿宋"/>
                <w:sz w:val="24"/>
                <w:szCs w:val="24"/>
              </w:rPr>
              <w:t>压力。</w:t>
            </w:r>
          </w:p>
        </w:tc>
        <w:tc>
          <w:tcPr>
            <w:tcW w:w="2199" w:type="dxa"/>
            <w:shd w:val="clear" w:color="auto" w:fill="auto"/>
            <w:vAlign w:val="center"/>
          </w:tcPr>
          <w:p>
            <w:pPr>
              <w:jc w:val="center"/>
              <w:rPr>
                <w:rFonts w:hint="eastAsia"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案例分析</w:t>
            </w:r>
          </w:p>
          <w:p>
            <w:pPr>
              <w:rPr>
                <w:rFonts w:hint="eastAsia" w:ascii="仿宋" w:hAnsi="仿宋" w:eastAsia="仿宋" w:cs="宋体"/>
                <w:kern w:val="0"/>
                <w:sz w:val="24"/>
                <w:szCs w:val="24"/>
                <w:lang w:val="en-US" w:eastAsia="zh-CN"/>
              </w:rPr>
            </w:pPr>
          </w:p>
        </w:tc>
        <w:tc>
          <w:tcPr>
            <w:tcW w:w="1276" w:type="dxa"/>
            <w:shd w:val="clear" w:color="auto" w:fill="auto"/>
            <w:vAlign w:val="center"/>
          </w:tcPr>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理论考试</w:t>
            </w:r>
          </w:p>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课堂表现</w:t>
            </w:r>
          </w:p>
          <w:p>
            <w:pP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35" w:type="dxa"/>
            <w:shd w:val="clear" w:color="auto" w:fill="auto"/>
          </w:tcPr>
          <w:p>
            <w:pPr>
              <w:rPr>
                <w:rFonts w:hint="eastAsia" w:ascii="仿宋" w:hAnsi="仿宋" w:eastAsia="仿宋" w:cs="宋体"/>
                <w:kern w:val="0"/>
                <w:sz w:val="24"/>
                <w:szCs w:val="24"/>
                <w:lang w:val="en-US" w:eastAsia="zh-CN"/>
              </w:rPr>
            </w:pPr>
          </w:p>
        </w:tc>
        <w:tc>
          <w:tcPr>
            <w:tcW w:w="1175" w:type="dxa"/>
            <w:shd w:val="clear" w:color="auto" w:fill="auto"/>
          </w:tcPr>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LO71</w:t>
            </w:r>
          </w:p>
        </w:tc>
        <w:tc>
          <w:tcPr>
            <w:tcW w:w="2470" w:type="dxa"/>
            <w:shd w:val="clear" w:color="auto" w:fill="auto"/>
            <w:vAlign w:val="center"/>
          </w:tcPr>
          <w:p>
            <w:pPr>
              <w:rPr>
                <w:rFonts w:hint="eastAsia" w:ascii="仿宋" w:hAnsi="仿宋" w:eastAsia="仿宋" w:cs="宋体"/>
                <w:kern w:val="0"/>
                <w:sz w:val="24"/>
                <w:szCs w:val="24"/>
                <w:lang w:val="en-US" w:eastAsia="zh-CN"/>
              </w:rPr>
            </w:pPr>
            <w:r>
              <w:rPr>
                <w:rFonts w:hint="eastAsia" w:ascii="仿宋" w:hAnsi="仿宋" w:eastAsia="仿宋"/>
                <w:sz w:val="24"/>
                <w:szCs w:val="24"/>
              </w:rPr>
              <w:t>富有爱心，懂得感恩，具备助人为乐的品质。</w:t>
            </w:r>
            <w:r>
              <w:rPr>
                <w:rFonts w:hint="eastAsia" w:ascii="仿宋" w:hAnsi="仿宋" w:eastAsia="仿宋"/>
                <w:sz w:val="24"/>
                <w:szCs w:val="24"/>
                <w:lang w:val="en-US" w:eastAsia="zh-CN"/>
              </w:rPr>
              <w:t>能够运用保险医学知识具有</w:t>
            </w:r>
            <w:r>
              <w:rPr>
                <w:rFonts w:hint="eastAsia" w:ascii="仿宋" w:hAnsi="仿宋" w:eastAsia="仿宋"/>
                <w:sz w:val="24"/>
                <w:szCs w:val="24"/>
              </w:rPr>
              <w:t>服务企业</w:t>
            </w:r>
            <w:r>
              <w:rPr>
                <w:rFonts w:hint="eastAsia" w:ascii="仿宋" w:hAnsi="仿宋" w:eastAsia="仿宋"/>
                <w:sz w:val="24"/>
                <w:szCs w:val="24"/>
                <w:lang w:val="en-US" w:eastAsia="zh-CN"/>
              </w:rPr>
              <w:t>和</w:t>
            </w:r>
            <w:r>
              <w:rPr>
                <w:rFonts w:hint="eastAsia" w:ascii="仿宋" w:hAnsi="仿宋" w:eastAsia="仿宋"/>
                <w:sz w:val="24"/>
                <w:szCs w:val="24"/>
              </w:rPr>
              <w:t>社会的意愿和行为能力</w:t>
            </w:r>
            <w:r>
              <w:rPr>
                <w:rFonts w:hint="eastAsia" w:ascii="仿宋" w:hAnsi="仿宋" w:eastAsia="仿宋"/>
                <w:sz w:val="24"/>
                <w:szCs w:val="24"/>
                <w:lang w:eastAsia="zh-CN"/>
              </w:rPr>
              <w:t>。</w:t>
            </w:r>
          </w:p>
        </w:tc>
        <w:tc>
          <w:tcPr>
            <w:tcW w:w="2199" w:type="dxa"/>
            <w:shd w:val="clear" w:color="auto" w:fill="auto"/>
            <w:vAlign w:val="center"/>
          </w:tcPr>
          <w:p>
            <w:pPr>
              <w:jc w:val="center"/>
              <w:rPr>
                <w:rFonts w:hint="eastAsia" w:ascii="仿宋" w:hAnsi="仿宋" w:eastAsia="仿宋" w:cs="宋体"/>
                <w:kern w:val="0"/>
                <w:sz w:val="24"/>
                <w:szCs w:val="24"/>
              </w:rPr>
            </w:pPr>
            <w:r>
              <w:rPr>
                <w:rFonts w:hint="eastAsia" w:ascii="仿宋" w:hAnsi="仿宋" w:eastAsia="仿宋" w:cs="宋体"/>
                <w:kern w:val="0"/>
                <w:sz w:val="24"/>
                <w:szCs w:val="24"/>
              </w:rPr>
              <w:t>理论讲授</w:t>
            </w:r>
          </w:p>
          <w:p>
            <w:pPr>
              <w:jc w:val="center"/>
              <w:rPr>
                <w:rFonts w:hint="eastAsia" w:ascii="仿宋" w:hAnsi="仿宋" w:eastAsia="仿宋" w:cs="宋体"/>
                <w:kern w:val="0"/>
                <w:sz w:val="24"/>
                <w:szCs w:val="24"/>
              </w:rPr>
            </w:pPr>
            <w:r>
              <w:rPr>
                <w:rFonts w:hint="eastAsia" w:ascii="仿宋" w:hAnsi="仿宋" w:eastAsia="仿宋" w:cs="宋体"/>
                <w:kern w:val="0"/>
                <w:sz w:val="24"/>
                <w:szCs w:val="24"/>
              </w:rPr>
              <w:t>讨论教学</w:t>
            </w:r>
          </w:p>
          <w:p>
            <w:pPr>
              <w:jc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案例分析</w:t>
            </w:r>
          </w:p>
        </w:tc>
        <w:tc>
          <w:tcPr>
            <w:tcW w:w="1276" w:type="dxa"/>
            <w:shd w:val="clear" w:color="auto" w:fill="auto"/>
            <w:vAlign w:val="center"/>
          </w:tcPr>
          <w:p>
            <w:pPr>
              <w:widowControl/>
              <w:jc w:val="both"/>
              <w:rPr>
                <w:rFonts w:hint="eastAsia" w:ascii="仿宋" w:hAnsi="仿宋" w:eastAsia="仿宋" w:cs="宋体"/>
                <w:kern w:val="0"/>
                <w:sz w:val="24"/>
                <w:szCs w:val="24"/>
              </w:rPr>
            </w:pPr>
            <w:r>
              <w:rPr>
                <w:rFonts w:hint="eastAsia" w:ascii="仿宋" w:hAnsi="仿宋" w:eastAsia="仿宋" w:cs="宋体"/>
                <w:kern w:val="0"/>
                <w:sz w:val="24"/>
                <w:szCs w:val="24"/>
              </w:rPr>
              <w:t>理论考试</w:t>
            </w:r>
          </w:p>
          <w:p>
            <w:pP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课堂表现</w:t>
            </w:r>
          </w:p>
          <w:p>
            <w:pPr>
              <w:rPr>
                <w:rFonts w:hint="eastAsia" w:ascii="仿宋" w:hAnsi="仿宋" w:eastAsia="仿宋" w:cs="宋体"/>
                <w:kern w:val="0"/>
                <w:sz w:val="24"/>
                <w:szCs w:val="24"/>
                <w:lang w:val="en-US" w:eastAsia="zh-CN" w:bidi="ar-SA"/>
              </w:rPr>
            </w:pPr>
            <w:r>
              <w:rPr>
                <w:rFonts w:hint="eastAsia" w:ascii="仿宋" w:hAnsi="仿宋" w:eastAsia="仿宋" w:cs="宋体"/>
                <w:kern w:val="0"/>
                <w:sz w:val="24"/>
                <w:szCs w:val="24"/>
                <w:lang w:val="en-US" w:eastAsia="zh-CN"/>
              </w:rPr>
              <w:t>观察评价</w:t>
            </w:r>
          </w:p>
        </w:tc>
      </w:tr>
    </w:tbl>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193"/>
        <w:gridCol w:w="1770"/>
        <w:gridCol w:w="1389"/>
        <w:gridCol w:w="1312"/>
        <w:gridCol w:w="418"/>
        <w:gridCol w:w="366"/>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341" w:type="dxa"/>
            <w:vAlign w:val="center"/>
          </w:tcPr>
          <w:p>
            <w:pPr>
              <w:snapToGrid w:val="0"/>
              <w:spacing w:line="288" w:lineRule="auto"/>
              <w:rPr>
                <w:rFonts w:ascii="宋体" w:hAnsi="Times New Roman"/>
                <w:b/>
                <w:color w:val="000000"/>
                <w:sz w:val="20"/>
                <w:szCs w:val="20"/>
                <w:highlight w:val="none"/>
              </w:rPr>
            </w:pPr>
            <w:r>
              <w:rPr>
                <w:rFonts w:hint="eastAsia" w:ascii="宋体" w:hAnsi="宋体"/>
                <w:b/>
                <w:color w:val="000000"/>
                <w:sz w:val="20"/>
                <w:szCs w:val="20"/>
                <w:highlight w:val="none"/>
              </w:rPr>
              <w:t>序号</w:t>
            </w:r>
          </w:p>
        </w:tc>
        <w:tc>
          <w:tcPr>
            <w:tcW w:w="1193" w:type="dxa"/>
            <w:vAlign w:val="center"/>
          </w:tcPr>
          <w:p>
            <w:pPr>
              <w:snapToGrid w:val="0"/>
              <w:spacing w:line="288" w:lineRule="auto"/>
              <w:rPr>
                <w:rFonts w:ascii="宋体" w:hAnsi="Times New Roman"/>
                <w:b/>
                <w:color w:val="000000"/>
                <w:sz w:val="20"/>
                <w:szCs w:val="20"/>
                <w:highlight w:val="none"/>
              </w:rPr>
            </w:pPr>
            <w:r>
              <w:rPr>
                <w:rFonts w:hint="eastAsia" w:ascii="宋体" w:hAnsi="宋体"/>
                <w:b/>
                <w:color w:val="000000"/>
                <w:sz w:val="20"/>
                <w:szCs w:val="20"/>
                <w:highlight w:val="none"/>
              </w:rPr>
              <w:t>单元名称</w:t>
            </w:r>
          </w:p>
        </w:tc>
        <w:tc>
          <w:tcPr>
            <w:tcW w:w="1770" w:type="dxa"/>
            <w:vAlign w:val="center"/>
          </w:tcPr>
          <w:p>
            <w:pPr>
              <w:snapToGrid w:val="0"/>
              <w:spacing w:line="288" w:lineRule="auto"/>
              <w:rPr>
                <w:rFonts w:ascii="宋体" w:hAnsi="Times New Roman"/>
                <w:b/>
                <w:color w:val="000000"/>
                <w:sz w:val="20"/>
                <w:szCs w:val="20"/>
                <w:highlight w:val="none"/>
              </w:rPr>
            </w:pPr>
            <w:r>
              <w:rPr>
                <w:rFonts w:hint="eastAsia" w:ascii="宋体" w:hAnsi="宋体"/>
                <w:b/>
                <w:color w:val="000000"/>
                <w:sz w:val="20"/>
                <w:szCs w:val="20"/>
                <w:highlight w:val="none"/>
              </w:rPr>
              <w:t>知识点</w:t>
            </w:r>
          </w:p>
        </w:tc>
        <w:tc>
          <w:tcPr>
            <w:tcW w:w="1389" w:type="dxa"/>
            <w:vAlign w:val="center"/>
          </w:tcPr>
          <w:p>
            <w:pPr>
              <w:snapToGrid w:val="0"/>
              <w:spacing w:line="288" w:lineRule="auto"/>
              <w:rPr>
                <w:rFonts w:ascii="宋体" w:hAnsi="Times New Roman"/>
                <w:b/>
                <w:color w:val="000000"/>
                <w:sz w:val="20"/>
                <w:szCs w:val="20"/>
                <w:highlight w:val="none"/>
              </w:rPr>
            </w:pPr>
            <w:r>
              <w:rPr>
                <w:rFonts w:hint="eastAsia" w:ascii="宋体" w:hAnsi="宋体"/>
                <w:b/>
                <w:color w:val="000000"/>
                <w:sz w:val="20"/>
                <w:szCs w:val="20"/>
                <w:highlight w:val="none"/>
              </w:rPr>
              <w:t>能力要求</w:t>
            </w:r>
          </w:p>
        </w:tc>
        <w:tc>
          <w:tcPr>
            <w:tcW w:w="1312" w:type="dxa"/>
            <w:vAlign w:val="center"/>
          </w:tcPr>
          <w:p>
            <w:pPr>
              <w:snapToGrid w:val="0"/>
              <w:spacing w:line="288" w:lineRule="auto"/>
              <w:rPr>
                <w:rFonts w:ascii="宋体" w:hAnsi="Times New Roman"/>
                <w:b/>
                <w:color w:val="000000"/>
                <w:sz w:val="20"/>
                <w:szCs w:val="20"/>
                <w:highlight w:val="none"/>
              </w:rPr>
            </w:pPr>
            <w:r>
              <w:rPr>
                <w:rFonts w:hint="eastAsia" w:ascii="宋体" w:hAnsi="宋体"/>
                <w:b/>
                <w:color w:val="000000"/>
                <w:sz w:val="20"/>
                <w:szCs w:val="20"/>
                <w:highlight w:val="none"/>
              </w:rPr>
              <w:t>教学难点</w:t>
            </w:r>
          </w:p>
        </w:tc>
        <w:tc>
          <w:tcPr>
            <w:tcW w:w="418" w:type="dxa"/>
            <w:vAlign w:val="center"/>
          </w:tcPr>
          <w:p>
            <w:pPr>
              <w:snapToGrid w:val="0"/>
              <w:spacing w:line="288" w:lineRule="auto"/>
              <w:rPr>
                <w:rFonts w:ascii="宋体"/>
                <w:b/>
                <w:color w:val="000000"/>
                <w:sz w:val="20"/>
                <w:szCs w:val="20"/>
                <w:highlight w:val="none"/>
              </w:rPr>
            </w:pPr>
            <w:r>
              <w:rPr>
                <w:rFonts w:hint="eastAsia" w:ascii="宋体" w:hAnsi="宋体"/>
                <w:b/>
                <w:color w:val="000000"/>
                <w:sz w:val="20"/>
                <w:szCs w:val="20"/>
                <w:highlight w:val="none"/>
              </w:rPr>
              <w:t>理论时数</w:t>
            </w:r>
          </w:p>
        </w:tc>
        <w:tc>
          <w:tcPr>
            <w:tcW w:w="366" w:type="dxa"/>
            <w:vAlign w:val="center"/>
          </w:tcPr>
          <w:p>
            <w:pPr>
              <w:snapToGrid w:val="0"/>
              <w:spacing w:line="288" w:lineRule="auto"/>
              <w:rPr>
                <w:rFonts w:ascii="宋体"/>
                <w:b/>
                <w:color w:val="000000"/>
                <w:sz w:val="20"/>
                <w:szCs w:val="20"/>
                <w:highlight w:val="none"/>
              </w:rPr>
            </w:pPr>
            <w:r>
              <w:rPr>
                <w:rFonts w:hint="eastAsia" w:ascii="宋体" w:hAnsi="宋体"/>
                <w:b/>
                <w:color w:val="000000"/>
                <w:sz w:val="20"/>
                <w:szCs w:val="20"/>
                <w:highlight w:val="none"/>
              </w:rPr>
              <w:t>实践时数</w:t>
            </w:r>
          </w:p>
        </w:tc>
        <w:tc>
          <w:tcPr>
            <w:tcW w:w="459" w:type="dxa"/>
            <w:vAlign w:val="center"/>
          </w:tcPr>
          <w:p>
            <w:pPr>
              <w:snapToGrid w:val="0"/>
              <w:spacing w:line="288" w:lineRule="auto"/>
              <w:rPr>
                <w:rFonts w:ascii="宋体"/>
                <w:b/>
                <w:color w:val="000000"/>
                <w:sz w:val="20"/>
                <w:szCs w:val="20"/>
                <w:highlight w:val="none"/>
              </w:rPr>
            </w:pPr>
            <w:r>
              <w:rPr>
                <w:rFonts w:hint="eastAsia" w:ascii="宋体" w:hAnsi="宋体"/>
                <w:b/>
                <w:color w:val="000000"/>
                <w:sz w:val="20"/>
                <w:szCs w:val="20"/>
                <w:highlight w:val="none"/>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color w:val="000000"/>
                <w:sz w:val="20"/>
                <w:szCs w:val="20"/>
                <w:highlight w:val="none"/>
              </w:rPr>
            </w:pPr>
            <w:r>
              <w:rPr>
                <w:rFonts w:ascii="宋体" w:hAnsi="宋体"/>
                <w:color w:val="000000"/>
                <w:sz w:val="20"/>
                <w:szCs w:val="20"/>
                <w:highlight w:val="none"/>
              </w:rPr>
              <w:t>1</w:t>
            </w:r>
          </w:p>
        </w:tc>
        <w:tc>
          <w:tcPr>
            <w:tcW w:w="1193" w:type="dxa"/>
            <w:vAlign w:val="center"/>
          </w:tcPr>
          <w:p>
            <w:pPr>
              <w:snapToGrid w:val="0"/>
              <w:spacing w:line="288" w:lineRule="auto"/>
              <w:rPr>
                <w:rFonts w:ascii="宋体"/>
                <w:color w:val="000000"/>
                <w:sz w:val="20"/>
                <w:szCs w:val="20"/>
                <w:highlight w:val="none"/>
              </w:rPr>
            </w:pPr>
            <w:r>
              <w:rPr>
                <w:rFonts w:hint="eastAsia" w:ascii="宋体"/>
                <w:color w:val="000000"/>
                <w:sz w:val="20"/>
                <w:szCs w:val="20"/>
                <w:highlight w:val="none"/>
              </w:rPr>
              <w:t>绪论</w:t>
            </w:r>
          </w:p>
        </w:tc>
        <w:tc>
          <w:tcPr>
            <w:tcW w:w="1770" w:type="dxa"/>
            <w:vAlign w:val="center"/>
          </w:tcPr>
          <w:p>
            <w:pPr>
              <w:snapToGrid w:val="0"/>
              <w:spacing w:line="280" w:lineRule="exact"/>
              <w:rPr>
                <w:rFonts w:hint="eastAsia" w:ascii="宋体" w:hAnsi="宋体"/>
                <w:bCs/>
                <w:sz w:val="20"/>
                <w:szCs w:val="20"/>
                <w:highlight w:val="none"/>
              </w:rPr>
            </w:pPr>
            <w:r>
              <w:rPr>
                <w:rFonts w:hint="eastAsia" w:ascii="宋体" w:hAnsi="宋体"/>
                <w:bCs/>
                <w:sz w:val="20"/>
                <w:szCs w:val="20"/>
                <w:highlight w:val="none"/>
                <w:lang w:val="en-US" w:eastAsia="zh-CN"/>
              </w:rPr>
              <w:t>1、知道</w:t>
            </w:r>
            <w:r>
              <w:rPr>
                <w:rFonts w:hint="eastAsia" w:ascii="宋体" w:hAnsi="宋体"/>
                <w:bCs/>
                <w:sz w:val="20"/>
                <w:szCs w:val="20"/>
                <w:highlight w:val="none"/>
              </w:rPr>
              <w:t>保险医学的起源与发展。</w:t>
            </w:r>
          </w:p>
          <w:p>
            <w:pPr>
              <w:snapToGrid w:val="0"/>
              <w:spacing w:line="280" w:lineRule="exact"/>
              <w:rPr>
                <w:rFonts w:hint="eastAsia" w:ascii="宋体" w:hAnsi="宋体"/>
                <w:bCs/>
                <w:sz w:val="20"/>
                <w:szCs w:val="20"/>
                <w:highlight w:val="none"/>
              </w:rPr>
            </w:pPr>
            <w:r>
              <w:rPr>
                <w:rFonts w:hint="eastAsia" w:ascii="宋体" w:hAnsi="宋体"/>
                <w:bCs/>
                <w:sz w:val="20"/>
                <w:szCs w:val="20"/>
                <w:highlight w:val="none"/>
                <w:lang w:val="en-US" w:eastAsia="zh-CN"/>
              </w:rPr>
              <w:t>2、理解</w:t>
            </w:r>
            <w:r>
              <w:rPr>
                <w:rFonts w:hint="eastAsia" w:ascii="宋体" w:hAnsi="宋体"/>
                <w:bCs/>
                <w:sz w:val="20"/>
                <w:szCs w:val="20"/>
                <w:highlight w:val="none"/>
              </w:rPr>
              <w:t>保险医学的概念</w:t>
            </w:r>
            <w:r>
              <w:rPr>
                <w:rFonts w:hint="eastAsia" w:ascii="宋体" w:hAnsi="宋体"/>
                <w:bCs/>
                <w:sz w:val="20"/>
                <w:szCs w:val="20"/>
                <w:highlight w:val="none"/>
                <w:lang w:eastAsia="zh-CN"/>
              </w:rPr>
              <w:t>、</w:t>
            </w:r>
            <w:r>
              <w:rPr>
                <w:rFonts w:hint="eastAsia" w:ascii="宋体" w:hAnsi="宋体"/>
                <w:bCs/>
                <w:sz w:val="20"/>
                <w:szCs w:val="20"/>
                <w:highlight w:val="none"/>
                <w:lang w:val="en-US" w:eastAsia="zh-CN"/>
              </w:rPr>
              <w:t>性质和特征</w:t>
            </w:r>
            <w:r>
              <w:rPr>
                <w:rFonts w:hint="eastAsia" w:ascii="宋体" w:hAnsi="宋体"/>
                <w:bCs/>
                <w:sz w:val="20"/>
                <w:szCs w:val="20"/>
                <w:highlight w:val="none"/>
              </w:rPr>
              <w:t>。</w:t>
            </w:r>
          </w:p>
          <w:p>
            <w:pPr>
              <w:snapToGrid w:val="0"/>
              <w:spacing w:line="280" w:lineRule="exact"/>
              <w:rPr>
                <w:rFonts w:hint="eastAsia" w:ascii="宋体" w:hAnsi="宋体"/>
                <w:bCs/>
                <w:sz w:val="20"/>
                <w:szCs w:val="20"/>
                <w:highlight w:val="none"/>
              </w:rPr>
            </w:pPr>
            <w:r>
              <w:rPr>
                <w:rFonts w:hint="eastAsia" w:ascii="宋体" w:hAnsi="宋体"/>
                <w:bCs/>
                <w:sz w:val="20"/>
                <w:szCs w:val="20"/>
                <w:highlight w:val="none"/>
                <w:lang w:val="en-US" w:eastAsia="zh-CN"/>
              </w:rPr>
              <w:t>3、运用</w:t>
            </w:r>
            <w:r>
              <w:rPr>
                <w:rFonts w:hint="eastAsia" w:ascii="宋体" w:hAnsi="宋体"/>
                <w:bCs/>
                <w:sz w:val="20"/>
                <w:szCs w:val="20"/>
                <w:highlight w:val="none"/>
              </w:rPr>
              <w:t>保险医学与临床医学的异同。</w:t>
            </w:r>
          </w:p>
          <w:p>
            <w:pPr>
              <w:snapToGrid w:val="0"/>
              <w:spacing w:line="280" w:lineRule="exact"/>
              <w:rPr>
                <w:rFonts w:hint="eastAsia" w:ascii="宋体" w:hAnsi="宋体"/>
                <w:bCs/>
                <w:sz w:val="20"/>
                <w:szCs w:val="20"/>
                <w:highlight w:val="none"/>
              </w:rPr>
            </w:pPr>
            <w:r>
              <w:rPr>
                <w:rFonts w:hint="eastAsia" w:ascii="宋体" w:hAnsi="宋体"/>
                <w:bCs/>
                <w:sz w:val="20"/>
                <w:szCs w:val="20"/>
                <w:highlight w:val="none"/>
                <w:lang w:val="en-US" w:eastAsia="zh-CN"/>
              </w:rPr>
              <w:t>4、</w:t>
            </w:r>
            <w:r>
              <w:rPr>
                <w:rFonts w:hint="eastAsia" w:ascii="宋体" w:hAnsi="宋体"/>
                <w:bCs/>
                <w:sz w:val="20"/>
                <w:szCs w:val="20"/>
                <w:highlight w:val="none"/>
              </w:rPr>
              <w:t>理解保险医学</w:t>
            </w:r>
            <w:r>
              <w:rPr>
                <w:rFonts w:hint="eastAsia" w:ascii="宋体" w:hAnsi="宋体"/>
                <w:bCs/>
                <w:sz w:val="20"/>
                <w:szCs w:val="20"/>
                <w:highlight w:val="none"/>
                <w:lang w:val="en-US" w:eastAsia="zh-CN"/>
              </w:rPr>
              <w:t>在保险业务中的作用</w:t>
            </w:r>
            <w:r>
              <w:rPr>
                <w:rFonts w:hint="eastAsia" w:ascii="宋体" w:hAnsi="宋体"/>
                <w:bCs/>
                <w:sz w:val="20"/>
                <w:szCs w:val="20"/>
                <w:highlight w:val="none"/>
              </w:rPr>
              <w:t>。</w:t>
            </w:r>
          </w:p>
          <w:p>
            <w:pPr>
              <w:snapToGrid w:val="0"/>
              <w:spacing w:line="280" w:lineRule="exact"/>
              <w:rPr>
                <w:rFonts w:ascii="宋体" w:hAnsi="宋体"/>
                <w:bCs/>
                <w:sz w:val="20"/>
                <w:szCs w:val="20"/>
                <w:highlight w:val="none"/>
              </w:rPr>
            </w:pPr>
          </w:p>
        </w:tc>
        <w:tc>
          <w:tcPr>
            <w:tcW w:w="1389" w:type="dxa"/>
          </w:tcPr>
          <w:p>
            <w:pPr>
              <w:snapToGrid w:val="0"/>
              <w:spacing w:line="288" w:lineRule="auto"/>
              <w:rPr>
                <w:rFonts w:ascii="宋体" w:hAnsi="Times New Roman"/>
                <w:color w:val="000000"/>
                <w:sz w:val="20"/>
                <w:szCs w:val="20"/>
                <w:highlight w:val="none"/>
              </w:rPr>
            </w:pPr>
            <w:r>
              <w:rPr>
                <w:rFonts w:hint="eastAsia" w:ascii="宋体" w:hAnsi="Times New Roman"/>
                <w:color w:val="000000"/>
                <w:sz w:val="20"/>
                <w:szCs w:val="20"/>
                <w:highlight w:val="none"/>
                <w:lang w:val="en-US" w:eastAsia="zh-CN"/>
              </w:rPr>
              <w:t>掌握</w:t>
            </w:r>
            <w:r>
              <w:rPr>
                <w:rFonts w:hint="eastAsia" w:ascii="宋体" w:hAnsi="Times New Roman"/>
                <w:color w:val="000000"/>
                <w:sz w:val="20"/>
                <w:szCs w:val="20"/>
                <w:highlight w:val="none"/>
              </w:rPr>
              <w:t>保险医学在人身保险经营各环节中的重要作用</w:t>
            </w:r>
            <w:r>
              <w:rPr>
                <w:rFonts w:hint="eastAsia" w:ascii="宋体" w:hAnsi="Times New Roman"/>
                <w:color w:val="000000"/>
                <w:sz w:val="20"/>
                <w:szCs w:val="20"/>
                <w:highlight w:val="none"/>
                <w:lang w:eastAsia="zh-CN"/>
              </w:rPr>
              <w:t>，</w:t>
            </w:r>
            <w:r>
              <w:rPr>
                <w:rFonts w:hint="eastAsia" w:ascii="宋体" w:hAnsi="Times New Roman"/>
                <w:color w:val="000000"/>
                <w:sz w:val="20"/>
                <w:szCs w:val="20"/>
                <w:highlight w:val="none"/>
              </w:rPr>
              <w:t>对保险医学这门学科有较全面的了解，深刻认识保险医学在保险领域的重要作用，从而体会学好该课程的积极意义。</w:t>
            </w:r>
          </w:p>
        </w:tc>
        <w:tc>
          <w:tcPr>
            <w:tcW w:w="1312" w:type="dxa"/>
          </w:tcPr>
          <w:p>
            <w:pPr>
              <w:snapToGrid w:val="0"/>
              <w:spacing w:line="288" w:lineRule="auto"/>
              <w:rPr>
                <w:rFonts w:ascii="宋体" w:hAnsi="Times New Roman"/>
                <w:color w:val="000000"/>
                <w:sz w:val="20"/>
                <w:szCs w:val="20"/>
                <w:highlight w:val="none"/>
              </w:rPr>
            </w:pPr>
            <w:r>
              <w:rPr>
                <w:rFonts w:hint="eastAsia" w:ascii="宋体" w:hAnsi="宋体"/>
                <w:bCs/>
                <w:sz w:val="20"/>
                <w:szCs w:val="20"/>
                <w:highlight w:val="none"/>
              </w:rPr>
              <w:t>保险医学与临床医学的异同</w:t>
            </w:r>
          </w:p>
        </w:tc>
        <w:tc>
          <w:tcPr>
            <w:tcW w:w="418" w:type="dxa"/>
            <w:vAlign w:val="center"/>
          </w:tcPr>
          <w:p>
            <w:pPr>
              <w:snapToGrid w:val="0"/>
              <w:spacing w:line="288" w:lineRule="auto"/>
              <w:rPr>
                <w:rFonts w:hint="eastAsia" w:ascii="宋体" w:eastAsia="宋体"/>
                <w:color w:val="000000"/>
                <w:sz w:val="20"/>
                <w:szCs w:val="20"/>
                <w:highlight w:val="none"/>
                <w:lang w:val="en-US" w:eastAsia="zh-CN"/>
              </w:rPr>
            </w:pPr>
            <w:r>
              <w:rPr>
                <w:rFonts w:hint="eastAsia" w:ascii="宋体"/>
                <w:color w:val="000000"/>
                <w:sz w:val="20"/>
                <w:szCs w:val="20"/>
                <w:highlight w:val="none"/>
                <w:lang w:val="en-US" w:eastAsia="zh-CN"/>
              </w:rPr>
              <w:t>2</w:t>
            </w:r>
          </w:p>
        </w:tc>
        <w:tc>
          <w:tcPr>
            <w:tcW w:w="366" w:type="dxa"/>
            <w:vAlign w:val="center"/>
          </w:tcPr>
          <w:p>
            <w:pPr>
              <w:snapToGrid w:val="0"/>
              <w:spacing w:line="288" w:lineRule="auto"/>
              <w:rPr>
                <w:rFonts w:hint="eastAsia" w:ascii="宋体" w:eastAsia="宋体"/>
                <w:color w:val="000000"/>
                <w:sz w:val="20"/>
                <w:szCs w:val="20"/>
                <w:highlight w:val="none"/>
                <w:lang w:val="en-US" w:eastAsia="zh-CN"/>
              </w:rPr>
            </w:pPr>
            <w:r>
              <w:rPr>
                <w:rFonts w:hint="eastAsia" w:ascii="宋体"/>
                <w:color w:val="000000"/>
                <w:sz w:val="20"/>
                <w:szCs w:val="20"/>
                <w:highlight w:val="none"/>
                <w:lang w:val="en-US" w:eastAsia="zh-CN"/>
              </w:rPr>
              <w:t>0</w:t>
            </w:r>
          </w:p>
        </w:tc>
        <w:tc>
          <w:tcPr>
            <w:tcW w:w="459" w:type="dxa"/>
            <w:vAlign w:val="center"/>
          </w:tcPr>
          <w:p>
            <w:pPr>
              <w:snapToGrid w:val="0"/>
              <w:spacing w:line="288" w:lineRule="auto"/>
              <w:rPr>
                <w:rFonts w:hint="eastAsia" w:ascii="宋体" w:eastAsia="宋体"/>
                <w:color w:val="000000"/>
                <w:sz w:val="20"/>
                <w:szCs w:val="20"/>
                <w:highlight w:val="none"/>
                <w:lang w:val="en-US" w:eastAsia="zh-CN"/>
              </w:rPr>
            </w:pPr>
            <w:r>
              <w:rPr>
                <w:rFonts w:hint="eastAsia" w:ascii="宋体"/>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2</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疾病、衰老与健康</w:t>
            </w:r>
          </w:p>
        </w:tc>
        <w:tc>
          <w:tcPr>
            <w:tcW w:w="1770" w:type="dxa"/>
          </w:tcPr>
          <w:p>
            <w:pPr>
              <w:numPr>
                <w:ilvl w:val="0"/>
                <w:numId w:val="0"/>
              </w:num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1、知道疾病的定义、发生原因、基本特征、转归、发生频度与危险测度、负担。</w:t>
            </w:r>
          </w:p>
          <w:p>
            <w:pPr>
              <w:numPr>
                <w:ilvl w:val="0"/>
                <w:numId w:val="0"/>
              </w:numPr>
              <w:snapToGrid w:val="0"/>
              <w:spacing w:line="288" w:lineRule="auto"/>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2、知道</w:t>
            </w:r>
            <w:r>
              <w:rPr>
                <w:rFonts w:hint="eastAsia" w:ascii="宋体" w:hAnsi="宋体"/>
                <w:color w:val="000000"/>
                <w:sz w:val="20"/>
                <w:szCs w:val="20"/>
                <w:highlight w:val="none"/>
              </w:rPr>
              <w:t>健康</w:t>
            </w:r>
            <w:r>
              <w:rPr>
                <w:rFonts w:hint="eastAsia" w:ascii="宋体" w:hAnsi="宋体"/>
                <w:color w:val="000000"/>
                <w:sz w:val="20"/>
                <w:szCs w:val="20"/>
                <w:highlight w:val="none"/>
                <w:lang w:val="en-US" w:eastAsia="zh-CN"/>
              </w:rPr>
              <w:t>的概念及</w:t>
            </w:r>
            <w:r>
              <w:rPr>
                <w:rFonts w:hint="eastAsia" w:ascii="宋体" w:hAnsi="宋体"/>
                <w:color w:val="000000"/>
                <w:sz w:val="20"/>
                <w:szCs w:val="20"/>
                <w:highlight w:val="none"/>
              </w:rPr>
              <w:t>影响因素。</w:t>
            </w:r>
          </w:p>
          <w:p>
            <w:pPr>
              <w:numPr>
                <w:ilvl w:val="0"/>
                <w:numId w:val="0"/>
              </w:numPr>
              <w:snapToGrid w:val="0"/>
              <w:spacing w:line="288" w:lineRule="auto"/>
              <w:rPr>
                <w:rFonts w:hint="eastAsia" w:ascii="宋体" w:hAnsi="宋体"/>
                <w:color w:val="000000"/>
                <w:sz w:val="20"/>
                <w:szCs w:val="20"/>
                <w:highlight w:val="none"/>
              </w:rPr>
            </w:pPr>
            <w:r>
              <w:rPr>
                <w:rFonts w:hint="eastAsia" w:ascii="宋体" w:hAnsi="宋体"/>
                <w:color w:val="000000"/>
                <w:sz w:val="20"/>
                <w:szCs w:val="20"/>
                <w:highlight w:val="none"/>
                <w:lang w:val="en-US" w:eastAsia="zh-CN"/>
              </w:rPr>
              <w:t>3、运用</w:t>
            </w:r>
            <w:r>
              <w:rPr>
                <w:rFonts w:hint="eastAsia" w:ascii="宋体" w:hAnsi="宋体"/>
                <w:color w:val="000000"/>
                <w:sz w:val="20"/>
                <w:szCs w:val="20"/>
                <w:highlight w:val="none"/>
              </w:rPr>
              <w:t>健康管理</w:t>
            </w:r>
            <w:r>
              <w:rPr>
                <w:rFonts w:hint="eastAsia" w:ascii="宋体" w:hAnsi="宋体"/>
                <w:color w:val="000000"/>
                <w:sz w:val="20"/>
                <w:szCs w:val="20"/>
                <w:highlight w:val="none"/>
                <w:lang w:val="en-US" w:eastAsia="zh-CN"/>
              </w:rPr>
              <w:t>的概念</w:t>
            </w:r>
            <w:r>
              <w:rPr>
                <w:rFonts w:hint="eastAsia" w:ascii="宋体" w:hAnsi="宋体"/>
                <w:color w:val="000000"/>
                <w:sz w:val="20"/>
                <w:szCs w:val="20"/>
                <w:highlight w:val="none"/>
              </w:rPr>
              <w:t>、主要内容及在保险业务中的应用。</w:t>
            </w:r>
          </w:p>
          <w:p>
            <w:pPr>
              <w:numPr>
                <w:ilvl w:val="0"/>
                <w:numId w:val="0"/>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4、理解衰老的原因和</w:t>
            </w:r>
            <w:r>
              <w:rPr>
                <w:rFonts w:hint="eastAsia" w:ascii="宋体" w:hAnsi="宋体"/>
                <w:color w:val="000000"/>
                <w:sz w:val="20"/>
                <w:szCs w:val="20"/>
                <w:highlight w:val="none"/>
              </w:rPr>
              <w:t>寿命的影响因素。</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了解疾病的定义、疾病发生的原因，熟悉健康的概念及其影响因素，掌握健康管理的概念、主要内容及其在保险业务中的应用，能够运用相关知识处理保险业务中的实际问题。</w:t>
            </w:r>
          </w:p>
        </w:tc>
        <w:tc>
          <w:tcPr>
            <w:tcW w:w="1312" w:type="dxa"/>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健康管理定义、主要内容及在保险业务中的应用</w:t>
            </w:r>
          </w:p>
        </w:tc>
        <w:tc>
          <w:tcPr>
            <w:tcW w:w="418"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1</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3</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人体系统组成与生理功能</w:t>
            </w:r>
          </w:p>
        </w:tc>
        <w:tc>
          <w:tcPr>
            <w:tcW w:w="1770" w:type="dxa"/>
          </w:tcPr>
          <w:p>
            <w:pPr>
              <w:numPr>
                <w:ilvl w:val="0"/>
                <w:numId w:val="1"/>
              </w:numPr>
              <w:snapToGrid w:val="0"/>
              <w:spacing w:line="288" w:lineRule="auto"/>
              <w:rPr>
                <w:rFonts w:hint="eastAsia"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理解运动系统</w:t>
            </w:r>
          </w:p>
          <w:p>
            <w:pPr>
              <w:numPr>
                <w:ilvl w:val="0"/>
                <w:numId w:val="1"/>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运用内脏系统</w:t>
            </w:r>
          </w:p>
          <w:p>
            <w:pPr>
              <w:numPr>
                <w:ilvl w:val="0"/>
                <w:numId w:val="1"/>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运用脉管系统</w:t>
            </w:r>
          </w:p>
          <w:p>
            <w:pPr>
              <w:numPr>
                <w:ilvl w:val="0"/>
                <w:numId w:val="1"/>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知道感觉器</w:t>
            </w:r>
          </w:p>
          <w:p>
            <w:pPr>
              <w:numPr>
                <w:ilvl w:val="0"/>
                <w:numId w:val="1"/>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理解神经系统</w:t>
            </w:r>
          </w:p>
          <w:p>
            <w:pPr>
              <w:numPr>
                <w:ilvl w:val="0"/>
                <w:numId w:val="1"/>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知道内分泌系统</w:t>
            </w:r>
          </w:p>
        </w:tc>
        <w:tc>
          <w:tcPr>
            <w:tcW w:w="1389" w:type="dxa"/>
          </w:tcPr>
          <w:p>
            <w:pPr>
              <w:snapToGrid w:val="0"/>
              <w:spacing w:line="288" w:lineRule="auto"/>
              <w:rPr>
                <w:rFonts w:hint="eastAsia" w:ascii="宋体" w:hAnsi="宋体" w:eastAsia="宋体"/>
                <w:color w:val="000000"/>
                <w:sz w:val="20"/>
                <w:szCs w:val="20"/>
                <w:highlight w:val="none"/>
                <w:lang w:eastAsia="zh-CN"/>
              </w:rPr>
            </w:pPr>
            <w:r>
              <w:rPr>
                <w:rFonts w:hint="eastAsia" w:ascii="宋体" w:hAnsi="宋体"/>
                <w:color w:val="000000"/>
                <w:sz w:val="20"/>
                <w:szCs w:val="20"/>
                <w:highlight w:val="none"/>
                <w:lang w:val="en-US" w:eastAsia="zh-CN"/>
              </w:rPr>
              <w:t>掌握人体骨骼形态结构名称、心脏结构名称及其保险应用，</w:t>
            </w:r>
            <w:r>
              <w:rPr>
                <w:rFonts w:hint="eastAsia" w:ascii="宋体" w:hAnsi="宋体"/>
                <w:color w:val="000000"/>
                <w:sz w:val="20"/>
                <w:szCs w:val="20"/>
                <w:highlight w:val="none"/>
              </w:rPr>
              <w:t>内脏系统、脉管系统</w:t>
            </w:r>
            <w:r>
              <w:rPr>
                <w:rFonts w:hint="eastAsia" w:ascii="宋体" w:hAnsi="宋体"/>
                <w:color w:val="000000"/>
                <w:sz w:val="20"/>
                <w:szCs w:val="20"/>
                <w:highlight w:val="none"/>
                <w:lang w:eastAsia="zh-CN"/>
              </w:rPr>
              <w:t>、</w:t>
            </w:r>
            <w:r>
              <w:rPr>
                <w:rFonts w:hint="eastAsia" w:ascii="宋体" w:hAnsi="宋体"/>
                <w:color w:val="000000"/>
                <w:sz w:val="20"/>
                <w:szCs w:val="20"/>
                <w:highlight w:val="none"/>
                <w:lang w:val="en-US" w:eastAsia="zh-CN"/>
              </w:rPr>
              <w:t>神经系统的</w:t>
            </w:r>
            <w:r>
              <w:rPr>
                <w:rFonts w:hint="eastAsia" w:ascii="宋体" w:hAnsi="宋体"/>
                <w:color w:val="000000"/>
                <w:sz w:val="20"/>
                <w:szCs w:val="20"/>
                <w:highlight w:val="none"/>
              </w:rPr>
              <w:t>的组成与生理功能</w:t>
            </w:r>
            <w:r>
              <w:rPr>
                <w:rFonts w:hint="eastAsia" w:ascii="宋体" w:hAnsi="宋体"/>
                <w:color w:val="000000"/>
                <w:sz w:val="20"/>
                <w:szCs w:val="20"/>
                <w:highlight w:val="none"/>
                <w:lang w:eastAsia="zh-CN"/>
              </w:rPr>
              <w:t>。</w:t>
            </w:r>
          </w:p>
        </w:tc>
        <w:tc>
          <w:tcPr>
            <w:tcW w:w="1312"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运用人体系统的组成和生理功能处理保险实务问题，如核保、除外责任。</w:t>
            </w:r>
          </w:p>
        </w:tc>
        <w:tc>
          <w:tcPr>
            <w:tcW w:w="418"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0</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4</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保险业务中免责条款常用的医学术语</w:t>
            </w:r>
          </w:p>
        </w:tc>
        <w:tc>
          <w:tcPr>
            <w:tcW w:w="1770" w:type="dxa"/>
          </w:tcPr>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知道和理解先天性疾病的定义、病因及其预防</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知道遗传性疾病的特征和分类，运用诊断和预防。</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知道地方病的特征、分类、应用及流行规律</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运用职业病的定义、诊断</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理解法定传染病</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知道矫形与整形</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理解精神病</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能够掌握保险业务中面这条款中涉及的疾病名称、定义，免责疾病在保险业务中的应用以及免责疾病的预防。</w:t>
            </w:r>
          </w:p>
        </w:tc>
        <w:tc>
          <w:tcPr>
            <w:tcW w:w="1312" w:type="dxa"/>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免责疾病在保险业务中的应用</w:t>
            </w:r>
          </w:p>
        </w:tc>
        <w:tc>
          <w:tcPr>
            <w:tcW w:w="418"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4</w:t>
            </w:r>
          </w:p>
        </w:tc>
        <w:tc>
          <w:tcPr>
            <w:tcW w:w="459"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5</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体检在保险业务中的应用</w:t>
            </w:r>
          </w:p>
        </w:tc>
        <w:tc>
          <w:tcPr>
            <w:tcW w:w="1770" w:type="dxa"/>
          </w:tcPr>
          <w:p>
            <w:pPr>
              <w:numPr>
                <w:ilvl w:val="0"/>
                <w:numId w:val="3"/>
              </w:numPr>
              <w:snapToGrid w:val="0"/>
              <w:spacing w:line="288" w:lineRule="auto"/>
              <w:rPr>
                <w:rFonts w:hint="eastAsia"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理解体检在保险业务中的应用</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理解运用保险业务中的体格检查</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理解血常规在保险业务中的应用</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理解尿常规在保险业务中的应用</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理解血糖在保险业务中的应用</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理解血脂在保险业务中的应用</w:t>
            </w:r>
          </w:p>
          <w:p>
            <w:pPr>
              <w:numPr>
                <w:ilvl w:val="0"/>
                <w:numId w:val="3"/>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理解肝功能在保险业务中的应用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理解肾功能在保险业务中的应用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理解病毒标志物在保险业务中的应用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理解病理检验在保险业务中的应用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理解超声检查在保险业务中的应用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理解放射检查在保险业务中的应用</w:t>
            </w:r>
          </w:p>
          <w:p>
            <w:pPr>
              <w:numPr>
                <w:ilvl w:val="0"/>
                <w:numId w:val="2"/>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理解心电图检查在保险业务中的应用</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了解和运用保险实务中产检的体检项目的设定及结果判断，培养正确的风险思维模式。</w:t>
            </w:r>
          </w:p>
        </w:tc>
        <w:tc>
          <w:tcPr>
            <w:tcW w:w="1312"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体格检查、尿常规、心电图。核保判读体检结果。</w:t>
            </w:r>
          </w:p>
        </w:tc>
        <w:tc>
          <w:tcPr>
            <w:tcW w:w="418"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5</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6</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常见疾病在保险业务中的应用</w:t>
            </w:r>
          </w:p>
        </w:tc>
        <w:tc>
          <w:tcPr>
            <w:tcW w:w="1770" w:type="dxa"/>
          </w:tcPr>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呼吸系统疾病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消化系统疾病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循环系统疾病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泌尿系统疾病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代谢类疾病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神经系统疾病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妇科疾病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道路交通事故常见损伤疾病</w:t>
            </w:r>
          </w:p>
          <w:p>
            <w:pPr>
              <w:numPr>
                <w:ilvl w:val="0"/>
                <w:numId w:val="4"/>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其他系统疾病</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能够运用常见疾病的概念、临床表现、诊断、预后等相关知识，进行核保风险分析和运用，准备识别和评定疾病风险，掌握各种疾病的保险责任认定。</w:t>
            </w:r>
          </w:p>
        </w:tc>
        <w:tc>
          <w:tcPr>
            <w:tcW w:w="1312" w:type="dxa"/>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识别和评定疾病风险，各种疾病的保险责任认定</w:t>
            </w:r>
          </w:p>
        </w:tc>
        <w:tc>
          <w:tcPr>
            <w:tcW w:w="418"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366"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rPr>
              <w:t>7</w:t>
            </w:r>
          </w:p>
        </w:tc>
        <w:tc>
          <w:tcPr>
            <w:tcW w:w="1193"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病例文书在保险业务中的应用</w:t>
            </w:r>
          </w:p>
        </w:tc>
        <w:tc>
          <w:tcPr>
            <w:tcW w:w="1770" w:type="dxa"/>
          </w:tcPr>
          <w:p>
            <w:pPr>
              <w:numPr>
                <w:ilvl w:val="0"/>
                <w:numId w:val="5"/>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病例的组成与内容</w:t>
            </w:r>
          </w:p>
          <w:p>
            <w:pPr>
              <w:numPr>
                <w:ilvl w:val="0"/>
                <w:numId w:val="5"/>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保险业务使用病历要求</w:t>
            </w:r>
          </w:p>
          <w:p>
            <w:pPr>
              <w:numPr>
                <w:ilvl w:val="0"/>
                <w:numId w:val="5"/>
              </w:num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病例在保险业务中的作用与使用要点</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掌握病历的类型与使用要点，善于利用病历信息开展保险核保核赔合作</w:t>
            </w:r>
          </w:p>
        </w:tc>
        <w:tc>
          <w:tcPr>
            <w:tcW w:w="1312" w:type="dxa"/>
          </w:tcPr>
          <w:p>
            <w:pPr>
              <w:snapToGrid w:val="0"/>
              <w:spacing w:line="288" w:lineRule="auto"/>
              <w:rPr>
                <w:rFonts w:ascii="宋体" w:hAnsi="宋体"/>
                <w:color w:val="000000"/>
                <w:sz w:val="20"/>
                <w:szCs w:val="20"/>
                <w:highlight w:val="none"/>
              </w:rPr>
            </w:pPr>
            <w:r>
              <w:rPr>
                <w:rFonts w:hint="eastAsia" w:ascii="宋体" w:hAnsi="宋体"/>
                <w:color w:val="000000"/>
                <w:sz w:val="20"/>
                <w:szCs w:val="20"/>
                <w:highlight w:val="none"/>
                <w:lang w:val="en-US" w:eastAsia="zh-CN"/>
              </w:rPr>
              <w:t>利用病历信息开展保险核保核赔合作</w:t>
            </w:r>
          </w:p>
        </w:tc>
        <w:tc>
          <w:tcPr>
            <w:tcW w:w="418"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1"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8</w:t>
            </w:r>
          </w:p>
        </w:tc>
        <w:tc>
          <w:tcPr>
            <w:tcW w:w="1193" w:type="dxa"/>
            <w:vAlign w:val="center"/>
          </w:tcPr>
          <w:p>
            <w:p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人身意外伤害、残疾、死亡鉴定</w:t>
            </w:r>
          </w:p>
        </w:tc>
        <w:tc>
          <w:tcPr>
            <w:tcW w:w="1770" w:type="dxa"/>
          </w:tcPr>
          <w:p>
            <w:pPr>
              <w:numPr>
                <w:ilvl w:val="0"/>
                <w:numId w:val="6"/>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人身意外伤害、残疾、死亡鉴定的概述</w:t>
            </w:r>
          </w:p>
          <w:p>
            <w:pPr>
              <w:numPr>
                <w:ilvl w:val="0"/>
                <w:numId w:val="6"/>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人身意外伤害的客观评定及伤害后有影响的常见因素</w:t>
            </w:r>
          </w:p>
          <w:p>
            <w:pPr>
              <w:numPr>
                <w:ilvl w:val="0"/>
                <w:numId w:val="6"/>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残疾鉴定</w:t>
            </w:r>
          </w:p>
          <w:p>
            <w:pPr>
              <w:numPr>
                <w:ilvl w:val="0"/>
                <w:numId w:val="6"/>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与伤残有关的鉴定</w:t>
            </w:r>
          </w:p>
          <w:p>
            <w:pPr>
              <w:numPr>
                <w:ilvl w:val="0"/>
                <w:numId w:val="6"/>
              </w:numPr>
              <w:snapToGrid w:val="0"/>
              <w:spacing w:line="288" w:lineRule="auto"/>
              <w:rPr>
                <w:rFonts w:hint="default" w:ascii="宋体" w:hAnsi="宋体"/>
                <w:color w:val="000000"/>
                <w:sz w:val="20"/>
                <w:szCs w:val="20"/>
                <w:highlight w:val="none"/>
                <w:lang w:val="en-US" w:eastAsia="zh-CN"/>
              </w:rPr>
            </w:pPr>
            <w:r>
              <w:rPr>
                <w:rFonts w:hint="eastAsia" w:ascii="宋体" w:hAnsi="宋体"/>
                <w:color w:val="000000"/>
                <w:sz w:val="20"/>
                <w:szCs w:val="20"/>
                <w:highlight w:val="none"/>
                <w:lang w:val="en-US" w:eastAsia="zh-CN"/>
              </w:rPr>
              <w:t>司法鉴定程序和鉴定报告</w:t>
            </w:r>
          </w:p>
        </w:tc>
        <w:tc>
          <w:tcPr>
            <w:tcW w:w="1389"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能够运用人身伤害、残疾鉴定方法处理保险领域内的核保核赔问题。</w:t>
            </w:r>
          </w:p>
        </w:tc>
        <w:tc>
          <w:tcPr>
            <w:tcW w:w="1312" w:type="dxa"/>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保险领域最常用的人身伤害残疾的鉴定方法以及意外导致人身伤害发生后对残疾形成产生影响的因素</w:t>
            </w:r>
          </w:p>
        </w:tc>
        <w:tc>
          <w:tcPr>
            <w:tcW w:w="418"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366" w:type="dxa"/>
            <w:vAlign w:val="center"/>
          </w:tcPr>
          <w:p>
            <w:pPr>
              <w:snapToGrid w:val="0"/>
              <w:spacing w:line="288" w:lineRule="auto"/>
              <w:rPr>
                <w:rFonts w:hint="eastAsia"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2</w:t>
            </w:r>
          </w:p>
        </w:tc>
        <w:tc>
          <w:tcPr>
            <w:tcW w:w="459" w:type="dxa"/>
            <w:vAlign w:val="center"/>
          </w:tcPr>
          <w:p>
            <w:pPr>
              <w:snapToGrid w:val="0"/>
              <w:spacing w:line="288" w:lineRule="auto"/>
              <w:rPr>
                <w:rFonts w:hint="default" w:ascii="宋体" w:hAnsi="宋体" w:eastAsia="宋体"/>
                <w:color w:val="000000"/>
                <w:sz w:val="20"/>
                <w:szCs w:val="20"/>
                <w:highlight w:val="none"/>
                <w:lang w:val="en-US" w:eastAsia="zh-CN"/>
              </w:rPr>
            </w:pPr>
            <w:r>
              <w:rPr>
                <w:rFonts w:hint="eastAsia" w:ascii="宋体" w:hAnsi="宋体"/>
                <w:color w:val="000000"/>
                <w:sz w:val="20"/>
                <w:szCs w:val="20"/>
                <w:highlight w:val="none"/>
                <w:lang w:val="en-US" w:eastAsia="zh-CN"/>
              </w:rPr>
              <w:t>4</w:t>
            </w:r>
          </w:p>
        </w:tc>
      </w:tr>
    </w:tbl>
    <w:p>
      <w:pPr>
        <w:snapToGrid w:val="0"/>
        <w:spacing w:line="288" w:lineRule="auto"/>
        <w:ind w:right="26"/>
        <w:rPr>
          <w:sz w:val="20"/>
          <w:szCs w:val="20"/>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sz w:val="20"/>
                <w:szCs w:val="20"/>
                <w:lang w:val="en-US" w:eastAsia="zh-CN"/>
              </w:rPr>
            </w:pPr>
            <w:r>
              <w:rPr>
                <w:rFonts w:hint="eastAsia" w:ascii="宋体" w:hAnsi="宋体"/>
                <w:sz w:val="20"/>
                <w:szCs w:val="20"/>
                <w:lang w:val="en-US" w:eastAsia="zh-CN"/>
              </w:rPr>
              <w:t>健康因素分析</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对实际健康案例进行分析影响因素，学会对健康进行管理和指导</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sz w:val="20"/>
                <w:szCs w:val="20"/>
                <w:lang w:val="en-US" w:eastAsia="zh-CN"/>
              </w:rPr>
            </w:pPr>
            <w:r>
              <w:rPr>
                <w:rFonts w:hint="eastAsia" w:ascii="宋体" w:hAnsi="宋体"/>
                <w:sz w:val="20"/>
                <w:szCs w:val="20"/>
                <w:lang w:val="en-US" w:eastAsia="zh-CN"/>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心血管系统疾病中首先的除外责任与核赔</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CN"/>
              </w:rPr>
            </w:pPr>
            <w:r>
              <w:rPr>
                <w:rFonts w:hint="eastAsia" w:ascii="宋体"/>
                <w:szCs w:val="21"/>
              </w:rPr>
              <w:t>学会</w:t>
            </w:r>
            <w:r>
              <w:rPr>
                <w:rFonts w:hint="eastAsia" w:ascii="宋体"/>
                <w:szCs w:val="21"/>
                <w:lang w:val="en-US" w:eastAsia="zh-CN"/>
              </w:rPr>
              <w:t>分析疾病是否为保险实务的除外责任及核赔</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eastAsia"/>
                <w:sz w:val="20"/>
                <w:szCs w:val="20"/>
              </w:rPr>
            </w:pPr>
            <w:r>
              <w:rPr>
                <w:rFonts w:hint="eastAsia" w:ascii="宋体" w:hAnsi="宋体"/>
                <w:sz w:val="20"/>
                <w:szCs w:val="20"/>
                <w:lang w:val="en-US" w:eastAsia="zh-CN"/>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免责条款适用实验1</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先天性疾病、遗传性疾病在保险业务的中免责条款，核保核赔</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eastAsia"/>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免责条款适用实验2</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地方病、职业病、矫形和整形、精神病投保、核赔</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default" w:eastAsia="宋体"/>
                <w:sz w:val="20"/>
                <w:szCs w:val="20"/>
                <w:lang w:val="en-US" w:eastAsia="zh-CN"/>
              </w:rPr>
            </w:pPr>
            <w:r>
              <w:rPr>
                <w:rFonts w:hint="eastAsia"/>
                <w:sz w:val="20"/>
                <w:szCs w:val="20"/>
                <w:lang w:val="en-US" w:eastAsia="zh-CN"/>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5</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s="Times New Roman"/>
                <w:kern w:val="2"/>
                <w:sz w:val="20"/>
                <w:szCs w:val="20"/>
                <w:lang w:val="en-US" w:eastAsia="zh-CN" w:bidi="ar-SA"/>
              </w:rPr>
            </w:pPr>
            <w:r>
              <w:rPr>
                <w:rFonts w:hint="eastAsia" w:ascii="宋体" w:hAnsi="宋体"/>
                <w:sz w:val="20"/>
                <w:szCs w:val="20"/>
                <w:lang w:val="en-US" w:eastAsia="zh-CN"/>
              </w:rPr>
              <w:t>体格检查保险业务应用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体重指数检查、血压检查，应用体格检查给出核保思路</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Times New Roman"/>
                <w:kern w:val="2"/>
                <w:sz w:val="20"/>
                <w:szCs w:val="20"/>
                <w:lang w:val="en-US" w:eastAsia="zh-CN" w:bidi="ar-SA"/>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Times New Roman"/>
                <w:kern w:val="2"/>
                <w:sz w:val="20"/>
                <w:szCs w:val="20"/>
                <w:lang w:val="en-US" w:eastAsia="zh-CN" w:bidi="ar-SA"/>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sz w:val="20"/>
                <w:szCs w:val="20"/>
                <w:lang w:val="en-US" w:eastAsia="zh-CN"/>
              </w:rPr>
            </w:pPr>
            <w:r>
              <w:rPr>
                <w:rFonts w:hint="eastAsia" w:ascii="宋体" w:hAnsi="宋体"/>
                <w:sz w:val="20"/>
                <w:szCs w:val="20"/>
                <w:lang w:val="en-US" w:eastAsia="zh-CN"/>
              </w:rPr>
              <w:t>6</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eastAsia="宋体" w:cs="Times New Roman"/>
                <w:kern w:val="2"/>
                <w:sz w:val="20"/>
                <w:szCs w:val="20"/>
                <w:lang w:val="en-US" w:eastAsia="zh-CN" w:bidi="ar-SA"/>
              </w:rPr>
            </w:pPr>
            <w:r>
              <w:rPr>
                <w:rFonts w:hint="eastAsia" w:ascii="宋体" w:hAnsi="宋体"/>
                <w:sz w:val="20"/>
                <w:szCs w:val="20"/>
                <w:lang w:val="en-US" w:eastAsia="zh-CN"/>
              </w:rPr>
              <w:t>常见疾病的核保应用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eastAsia="宋体" w:cs="Times New Roman"/>
                <w:kern w:val="2"/>
                <w:sz w:val="20"/>
                <w:szCs w:val="20"/>
                <w:lang w:val="en-US" w:eastAsia="zh-CN" w:bidi="ar-SA"/>
              </w:rPr>
            </w:pPr>
            <w:r>
              <w:rPr>
                <w:rFonts w:hint="eastAsia" w:ascii="宋体" w:hAnsi="宋体"/>
                <w:sz w:val="20"/>
                <w:szCs w:val="20"/>
                <w:lang w:eastAsia="zh-Hans"/>
              </w:rPr>
              <w:t>设计一个</w:t>
            </w:r>
            <w:r>
              <w:rPr>
                <w:rFonts w:hint="eastAsia" w:ascii="宋体" w:hAnsi="宋体"/>
                <w:sz w:val="20"/>
                <w:szCs w:val="20"/>
                <w:lang w:val="en-US" w:eastAsia="zh-CN"/>
              </w:rPr>
              <w:t>常见疾病核保应用指南</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7</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病历在保险业务中的使用</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eastAsia="宋体"/>
                <w:sz w:val="20"/>
                <w:szCs w:val="20"/>
                <w:lang w:val="en-US" w:eastAsia="zh-CN"/>
              </w:rPr>
            </w:pPr>
            <w:r>
              <w:rPr>
                <w:rFonts w:hint="eastAsia" w:ascii="宋体" w:hAnsi="宋体"/>
                <w:sz w:val="20"/>
                <w:szCs w:val="20"/>
                <w:lang w:val="en-US" w:eastAsia="zh-CN"/>
              </w:rPr>
              <w:t>病历在人身承保中的应用</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eastAsia"/>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8</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人身意外伤害鉴定</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使用鉴定程序进行保险业务分析</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宋体" w:hAnsi="宋体"/>
                <w:sz w:val="20"/>
                <w:szCs w:val="20"/>
                <w:lang w:val="en-US" w:eastAsia="zh-CN"/>
              </w:rPr>
            </w:pPr>
            <w:r>
              <w:rPr>
                <w:rFonts w:hint="eastAsia" w:ascii="宋体" w:hAnsi="宋体"/>
                <w:sz w:val="20"/>
                <w:szCs w:val="20"/>
                <w:lang w:val="en-US" w:eastAsia="zh-CN"/>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hint="eastAsia"/>
                <w:sz w:val="20"/>
                <w:szCs w:val="20"/>
              </w:rPr>
            </w:pPr>
            <w:r>
              <w:rPr>
                <w:rFonts w:hint="eastAsia"/>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1"/>
              </w:rPr>
            </w:pPr>
            <w:r>
              <w:rPr>
                <w:rFonts w:hint="eastAsia" w:ascii="宋体" w:hAnsi="宋体"/>
                <w:bCs/>
                <w:color w:val="000000"/>
                <w:szCs w:val="21"/>
              </w:rPr>
              <w:t>总评构成（1+</w:t>
            </w:r>
            <w:r>
              <w:rPr>
                <w:rFonts w:ascii="宋体" w:hAnsi="宋体"/>
                <w:bCs/>
                <w:color w:val="000000"/>
                <w:szCs w:val="21"/>
              </w:rPr>
              <w:t>X</w:t>
            </w:r>
            <w:r>
              <w:rPr>
                <w:rFonts w:hint="eastAsia" w:ascii="宋体" w:hAnsi="宋体"/>
                <w:bCs/>
                <w:color w:val="000000"/>
                <w:szCs w:val="21"/>
              </w:rPr>
              <w:t>）</w:t>
            </w:r>
          </w:p>
        </w:tc>
        <w:tc>
          <w:tcPr>
            <w:tcW w:w="510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评价方式</w:t>
            </w:r>
          </w:p>
        </w:tc>
        <w:tc>
          <w:tcPr>
            <w:tcW w:w="1843" w:type="dxa"/>
            <w:shd w:val="clear" w:color="auto" w:fill="auto"/>
          </w:tcPr>
          <w:p>
            <w:pPr>
              <w:snapToGrid w:val="0"/>
              <w:spacing w:beforeLines="50"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sz w:val="20"/>
                <w:szCs w:val="20"/>
              </w:rPr>
              <w:t>期末</w:t>
            </w:r>
            <w:r>
              <w:rPr>
                <w:rFonts w:ascii="宋体" w:hAnsi="宋体"/>
                <w:sz w:val="20"/>
                <w:szCs w:val="20"/>
              </w:rPr>
              <w:t>闭卷</w:t>
            </w:r>
            <w:r>
              <w:rPr>
                <w:rFonts w:hint="eastAsia" w:ascii="宋体" w:hAnsi="宋体"/>
                <w:sz w:val="20"/>
                <w:szCs w:val="20"/>
              </w:rPr>
              <w:t>考试</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Lines="50" w:afterLines="50"/>
              <w:jc w:val="center"/>
              <w:rPr>
                <w:rFonts w:hint="eastAsia" w:ascii="宋体" w:hAnsi="宋体" w:eastAsia="宋体"/>
                <w:bCs/>
                <w:color w:val="000000"/>
                <w:sz w:val="20"/>
                <w:szCs w:val="20"/>
                <w:lang w:eastAsia="zh-CN"/>
              </w:rPr>
            </w:pPr>
            <w:r>
              <w:rPr>
                <w:rFonts w:hint="eastAsia" w:ascii="宋体" w:hAnsi="宋体"/>
                <w:bCs/>
                <w:color w:val="000000"/>
                <w:sz w:val="20"/>
                <w:szCs w:val="20"/>
                <w:lang w:val="en-US" w:eastAsia="zh-CN"/>
              </w:rPr>
              <w:t>实验报告</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课堂表现</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Lines="50" w:afterLines="50"/>
              <w:jc w:val="center"/>
              <w:rPr>
                <w:rFonts w:hint="eastAsia" w:ascii="宋体" w:hAnsi="宋体" w:eastAsia="宋体"/>
                <w:bCs/>
                <w:color w:val="000000"/>
                <w:sz w:val="20"/>
                <w:szCs w:val="20"/>
                <w:lang w:eastAsia="zh-CN"/>
              </w:rPr>
            </w:pPr>
            <w:r>
              <w:rPr>
                <w:rFonts w:ascii="宋体" w:hAnsi="宋体"/>
                <w:bCs/>
                <w:color w:val="000000"/>
                <w:sz w:val="20"/>
                <w:szCs w:val="20"/>
              </w:rPr>
              <w:t>期中闭卷测试</w:t>
            </w:r>
            <w:r>
              <w:rPr>
                <w:rFonts w:hint="eastAsia" w:ascii="宋体" w:hAnsi="宋体"/>
                <w:bCs/>
                <w:color w:val="000000"/>
                <w:sz w:val="20"/>
                <w:szCs w:val="20"/>
                <w:lang w:eastAsia="zh-CN"/>
              </w:rPr>
              <w:t>（</w:t>
            </w:r>
            <w:r>
              <w:rPr>
                <w:rFonts w:hint="eastAsia" w:ascii="宋体" w:hAnsi="宋体"/>
                <w:bCs/>
                <w:color w:val="000000"/>
                <w:sz w:val="20"/>
                <w:szCs w:val="20"/>
                <w:lang w:val="en-US" w:eastAsia="zh-CN"/>
              </w:rPr>
              <w:t>随堂</w:t>
            </w:r>
            <w:r>
              <w:rPr>
                <w:rFonts w:hint="eastAsia" w:ascii="宋体" w:hAnsi="宋体"/>
                <w:bCs/>
                <w:color w:val="000000"/>
                <w:sz w:val="20"/>
                <w:szCs w:val="20"/>
                <w:lang w:eastAsia="zh-CN"/>
              </w:rPr>
              <w:t>）</w:t>
            </w:r>
          </w:p>
        </w:tc>
        <w:tc>
          <w:tcPr>
            <w:tcW w:w="1843" w:type="dxa"/>
            <w:shd w:val="clear" w:color="auto" w:fill="auto"/>
          </w:tcPr>
          <w:p>
            <w:pPr>
              <w:snapToGrid w:val="0"/>
              <w:spacing w:beforeLines="50" w:afterLines="50"/>
              <w:jc w:val="center"/>
              <w:rPr>
                <w:rFonts w:ascii="宋体" w:hAnsi="宋体"/>
                <w:bCs/>
                <w:color w:val="000000"/>
                <w:sz w:val="20"/>
                <w:szCs w:val="20"/>
              </w:rPr>
            </w:pPr>
            <w:r>
              <w:rPr>
                <w:rFonts w:hint="eastAsia" w:ascii="宋体" w:hAnsi="宋体"/>
                <w:bCs/>
                <w:color w:val="000000"/>
                <w:sz w:val="20"/>
                <w:szCs w:val="20"/>
              </w:rPr>
              <w:t>20%</w:t>
            </w:r>
          </w:p>
        </w:tc>
      </w:tr>
    </w:tbl>
    <w:p>
      <w:pPr>
        <w:snapToGrid w:val="0"/>
        <w:spacing w:before="120" w:after="120" w:line="288" w:lineRule="auto"/>
        <w:rPr>
          <w:rFonts w:ascii="宋体" w:hAnsi="宋体"/>
          <w:sz w:val="20"/>
          <w:szCs w:val="20"/>
        </w:rPr>
      </w:pPr>
    </w:p>
    <w:p>
      <w:pPr>
        <w:snapToGrid w:val="0"/>
        <w:spacing w:line="288" w:lineRule="auto"/>
        <w:ind w:firstLine="840" w:firstLineChars="300"/>
        <w:rPr>
          <w:sz w:val="28"/>
          <w:szCs w:val="28"/>
        </w:rPr>
      </w:pPr>
    </w:p>
    <w:p>
      <w:pPr>
        <w:snapToGrid w:val="0"/>
        <w:spacing w:line="288" w:lineRule="auto"/>
        <w:rPr>
          <w:sz w:val="28"/>
          <w:szCs w:val="28"/>
        </w:rPr>
      </w:pPr>
      <w:r>
        <w:rPr>
          <w:rFonts w:hint="eastAsia"/>
          <w:sz w:val="28"/>
          <w:szCs w:val="28"/>
        </w:rPr>
        <w:t>撰写人：</w:t>
      </w:r>
      <w:r>
        <w:rPr>
          <w:rFonts w:ascii="仿宋" w:hAnsi="仿宋" w:eastAsia="仿宋"/>
          <w:color w:val="000000"/>
          <w:position w:val="-20"/>
          <w:sz w:val="28"/>
          <w:szCs w:val="28"/>
        </w:rPr>
        <w:drawing>
          <wp:inline distT="0" distB="0" distL="0" distR="0">
            <wp:extent cx="817880" cy="281940"/>
            <wp:effectExtent l="0" t="0" r="7620" b="10160"/>
            <wp:docPr id="3" name="图片 0" descr="微信图片_2021092317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微信图片_20210923172408.jpg"/>
                    <pic:cNvPicPr>
                      <a:picLocks noChangeAspect="1"/>
                    </pic:cNvPicPr>
                  </pic:nvPicPr>
                  <pic:blipFill>
                    <a:blip r:embed="rId4" cstate="print"/>
                    <a:srcRect l="6656" t="21416" r="9539" b="22125"/>
                    <a:stretch>
                      <a:fillRect/>
                    </a:stretch>
                  </pic:blipFill>
                  <pic:spPr>
                    <a:xfrm>
                      <a:off x="0" y="0"/>
                      <a:ext cx="818188" cy="282216"/>
                    </a:xfrm>
                    <a:prstGeom prst="rect">
                      <a:avLst/>
                    </a:prstGeom>
                    <a:noFill/>
                    <a:ln w="9525">
                      <a:noFill/>
                    </a:ln>
                  </pic:spPr>
                </pic:pic>
              </a:graphicData>
            </a:graphic>
          </wp:inline>
        </w:drawing>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709930" cy="286385"/>
            <wp:effectExtent l="0" t="0" r="13970" b="18415"/>
            <wp:docPr id="2" name="图片 2" descr="9ca522878c9e1cbc4e48b78c7e31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a522878c9e1cbc4e48b78c7e31db1"/>
                    <pic:cNvPicPr>
                      <a:picLocks noChangeAspect="1"/>
                    </pic:cNvPicPr>
                  </pic:nvPicPr>
                  <pic:blipFill>
                    <a:blip r:embed="rId5"/>
                    <a:stretch>
                      <a:fillRect/>
                    </a:stretch>
                  </pic:blipFill>
                  <pic:spPr>
                    <a:xfrm>
                      <a:off x="0" y="0"/>
                      <a:ext cx="709930" cy="286385"/>
                    </a:xfrm>
                    <a:prstGeom prst="rect">
                      <a:avLst/>
                    </a:prstGeom>
                  </pic:spPr>
                </pic:pic>
              </a:graphicData>
            </a:graphic>
          </wp:inline>
        </w:drawing>
      </w:r>
    </w:p>
    <w:p>
      <w:r>
        <w:rPr>
          <w:rFonts w:hint="eastAsia"/>
          <w:sz w:val="28"/>
          <w:szCs w:val="28"/>
        </w:rPr>
        <w:t xml:space="preserve">审核时间： </w:t>
      </w:r>
      <w:r>
        <w:rPr>
          <w:rFonts w:hint="eastAsia"/>
          <w:sz w:val="28"/>
          <w:szCs w:val="28"/>
          <w:lang w:val="en-US" w:eastAsia="zh-CN"/>
        </w:rPr>
        <w:t>2022-2-18</w:t>
      </w:r>
      <w:bookmarkStart w:id="1" w:name="_GoBack"/>
      <w:bookmarkEnd w:id="1"/>
      <w:r>
        <w:rPr>
          <w:rFonts w:hint="eastAsia"/>
          <w:sz w:val="28"/>
          <w:szCs w:val="28"/>
        </w:rPr>
        <w:t xml:space="preserve">      </w:t>
      </w:r>
      <w:r>
        <w:rPr>
          <w:sz w:val="28"/>
          <w:szCs w:val="28"/>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18163"/>
    <w:multiLevelType w:val="singleLevel"/>
    <w:tmpl w:val="88718163"/>
    <w:lvl w:ilvl="0" w:tentative="0">
      <w:start w:val="1"/>
      <w:numFmt w:val="decimal"/>
      <w:suff w:val="nothing"/>
      <w:lvlText w:val="%1、"/>
      <w:lvlJc w:val="left"/>
    </w:lvl>
  </w:abstractNum>
  <w:abstractNum w:abstractNumId="1">
    <w:nsid w:val="9722B192"/>
    <w:multiLevelType w:val="singleLevel"/>
    <w:tmpl w:val="9722B192"/>
    <w:lvl w:ilvl="0" w:tentative="0">
      <w:start w:val="1"/>
      <w:numFmt w:val="decimal"/>
      <w:suff w:val="nothing"/>
      <w:lvlText w:val="%1、"/>
      <w:lvlJc w:val="left"/>
    </w:lvl>
  </w:abstractNum>
  <w:abstractNum w:abstractNumId="2">
    <w:nsid w:val="9B6B96E6"/>
    <w:multiLevelType w:val="singleLevel"/>
    <w:tmpl w:val="9B6B96E6"/>
    <w:lvl w:ilvl="0" w:tentative="0">
      <w:start w:val="1"/>
      <w:numFmt w:val="decimal"/>
      <w:suff w:val="nothing"/>
      <w:lvlText w:val="%1、"/>
      <w:lvlJc w:val="left"/>
    </w:lvl>
  </w:abstractNum>
  <w:abstractNum w:abstractNumId="3">
    <w:nsid w:val="B93B56D9"/>
    <w:multiLevelType w:val="singleLevel"/>
    <w:tmpl w:val="B93B56D9"/>
    <w:lvl w:ilvl="0" w:tentative="0">
      <w:start w:val="1"/>
      <w:numFmt w:val="decimal"/>
      <w:suff w:val="nothing"/>
      <w:lvlText w:val="%1、"/>
      <w:lvlJc w:val="left"/>
    </w:lvl>
  </w:abstractNum>
  <w:abstractNum w:abstractNumId="4">
    <w:nsid w:val="26BD5DC8"/>
    <w:multiLevelType w:val="singleLevel"/>
    <w:tmpl w:val="26BD5DC8"/>
    <w:lvl w:ilvl="0" w:tentative="0">
      <w:start w:val="1"/>
      <w:numFmt w:val="decimal"/>
      <w:suff w:val="nothing"/>
      <w:lvlText w:val="%1、"/>
      <w:lvlJc w:val="left"/>
    </w:lvl>
  </w:abstractNum>
  <w:abstractNum w:abstractNumId="5">
    <w:nsid w:val="6BB3B309"/>
    <w:multiLevelType w:val="singleLevel"/>
    <w:tmpl w:val="6BB3B309"/>
    <w:lvl w:ilvl="0" w:tentative="0">
      <w:start w:val="1"/>
      <w:numFmt w:val="decimal"/>
      <w:suff w:val="nothing"/>
      <w:lvlText w:val="%1、"/>
      <w:lvlJc w:val="left"/>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B76A5"/>
    <w:rsid w:val="000B7D6B"/>
    <w:rsid w:val="000D6A6C"/>
    <w:rsid w:val="001072BC"/>
    <w:rsid w:val="00151E4D"/>
    <w:rsid w:val="001C6935"/>
    <w:rsid w:val="00202394"/>
    <w:rsid w:val="00237FCC"/>
    <w:rsid w:val="00256B39"/>
    <w:rsid w:val="0026033C"/>
    <w:rsid w:val="002E3721"/>
    <w:rsid w:val="00313BBA"/>
    <w:rsid w:val="0032602E"/>
    <w:rsid w:val="003367AE"/>
    <w:rsid w:val="00364BC5"/>
    <w:rsid w:val="003B1258"/>
    <w:rsid w:val="004100B0"/>
    <w:rsid w:val="004A0685"/>
    <w:rsid w:val="004A2CD3"/>
    <w:rsid w:val="004A7316"/>
    <w:rsid w:val="005467DC"/>
    <w:rsid w:val="00553D03"/>
    <w:rsid w:val="005B2B6D"/>
    <w:rsid w:val="005B4B4E"/>
    <w:rsid w:val="00624FE1"/>
    <w:rsid w:val="00632723"/>
    <w:rsid w:val="00693A50"/>
    <w:rsid w:val="007208D6"/>
    <w:rsid w:val="007B3FBB"/>
    <w:rsid w:val="008B397C"/>
    <w:rsid w:val="008B47F4"/>
    <w:rsid w:val="008F62BC"/>
    <w:rsid w:val="00900019"/>
    <w:rsid w:val="00973A85"/>
    <w:rsid w:val="0099063E"/>
    <w:rsid w:val="009F35E0"/>
    <w:rsid w:val="00A769B1"/>
    <w:rsid w:val="00A837D5"/>
    <w:rsid w:val="00AC4C45"/>
    <w:rsid w:val="00B46F21"/>
    <w:rsid w:val="00B511A5"/>
    <w:rsid w:val="00B736A7"/>
    <w:rsid w:val="00B7651F"/>
    <w:rsid w:val="00BD4D24"/>
    <w:rsid w:val="00BF6BE1"/>
    <w:rsid w:val="00C56E09"/>
    <w:rsid w:val="00C84026"/>
    <w:rsid w:val="00C91B1B"/>
    <w:rsid w:val="00C9445B"/>
    <w:rsid w:val="00CF096B"/>
    <w:rsid w:val="00D71AA4"/>
    <w:rsid w:val="00D84AB2"/>
    <w:rsid w:val="00DA1EE3"/>
    <w:rsid w:val="00E16D11"/>
    <w:rsid w:val="00E16D30"/>
    <w:rsid w:val="00E33169"/>
    <w:rsid w:val="00E47B31"/>
    <w:rsid w:val="00E57F26"/>
    <w:rsid w:val="00E67040"/>
    <w:rsid w:val="00E70904"/>
    <w:rsid w:val="00EF44B1"/>
    <w:rsid w:val="00F35AA0"/>
    <w:rsid w:val="00F37C54"/>
    <w:rsid w:val="00F65B07"/>
    <w:rsid w:val="00FC2111"/>
    <w:rsid w:val="016E63C2"/>
    <w:rsid w:val="024B0C39"/>
    <w:rsid w:val="07230DA0"/>
    <w:rsid w:val="0772782E"/>
    <w:rsid w:val="0A8128A6"/>
    <w:rsid w:val="0BF32A1B"/>
    <w:rsid w:val="0F5C4BEB"/>
    <w:rsid w:val="105125B3"/>
    <w:rsid w:val="10BD2C22"/>
    <w:rsid w:val="128D541B"/>
    <w:rsid w:val="13E115A9"/>
    <w:rsid w:val="200E4E8E"/>
    <w:rsid w:val="22987C80"/>
    <w:rsid w:val="24192CCC"/>
    <w:rsid w:val="29034A42"/>
    <w:rsid w:val="35565893"/>
    <w:rsid w:val="39A66CD4"/>
    <w:rsid w:val="3CD52CE1"/>
    <w:rsid w:val="3D022563"/>
    <w:rsid w:val="410F2E6A"/>
    <w:rsid w:val="4430136C"/>
    <w:rsid w:val="4AB0382B"/>
    <w:rsid w:val="4BB35A41"/>
    <w:rsid w:val="53133EB0"/>
    <w:rsid w:val="569868B5"/>
    <w:rsid w:val="584F0B25"/>
    <w:rsid w:val="5F3D3161"/>
    <w:rsid w:val="611F6817"/>
    <w:rsid w:val="625C595B"/>
    <w:rsid w:val="64382D81"/>
    <w:rsid w:val="64FFE1C9"/>
    <w:rsid w:val="66CA1754"/>
    <w:rsid w:val="689336EA"/>
    <w:rsid w:val="6CA82DC8"/>
    <w:rsid w:val="6F1E65D4"/>
    <w:rsid w:val="6F266C86"/>
    <w:rsid w:val="6F5042C2"/>
    <w:rsid w:val="6F525989"/>
    <w:rsid w:val="74316312"/>
    <w:rsid w:val="780F13C8"/>
    <w:rsid w:val="78437AC4"/>
    <w:rsid w:val="78712BB0"/>
    <w:rsid w:val="7C385448"/>
    <w:rsid w:val="7CB3663D"/>
    <w:rsid w:val="7CFF97D2"/>
    <w:rsid w:val="B7D37D71"/>
    <w:rsid w:val="D6FEB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kern w:val="2"/>
      <w:sz w:val="18"/>
      <w:szCs w:val="18"/>
    </w:rPr>
  </w:style>
  <w:style w:type="character" w:customStyle="1" w:styleId="12">
    <w:name w:val="jlqj4b"/>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487</Words>
  <Characters>2782</Characters>
  <Lines>23</Lines>
  <Paragraphs>6</Paragraphs>
  <TotalTime>0</TotalTime>
  <ScaleCrop>false</ScaleCrop>
  <LinksUpToDate>false</LinksUpToDate>
  <CharactersWithSpaces>3263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2022-02-24T06:59:00Z</dcterms:created>
  <dc:creator>juvg</dc:creator>
  <cp:lastModifiedBy>姚美芳</cp:lastModifiedBy>
  <dcterms:modified xsi:type="dcterms:W3CDTF">2022-02-28T02:45:13Z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4872A8ECE06142388D5A5DAD1C9AC01D</vt:lpwstr>
  </property>
</Properties>
</file>