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37ADDF">
      <w:pPr>
        <w:jc w:val="center"/>
        <w:rPr>
          <w:rFonts w:ascii="黑体" w:hAnsi="黑体" w:eastAsia="黑体"/>
          <w:bCs/>
          <w:sz w:val="32"/>
          <w:szCs w:val="32"/>
        </w:rPr>
      </w:pPr>
      <w:r>
        <w:rPr>
          <w:rFonts w:hint="eastAsia" w:ascii="黑体" w:hAnsi="黑体" w:eastAsia="黑体"/>
          <w:bCs/>
          <w:sz w:val="32"/>
          <w:szCs w:val="32"/>
        </w:rPr>
        <w:t>《</w:t>
      </w:r>
      <w:r>
        <w:rPr>
          <w:rFonts w:hint="eastAsia" w:ascii="黑体" w:hAnsi="黑体" w:eastAsia="黑体"/>
          <w:b/>
          <w:sz w:val="32"/>
          <w:szCs w:val="32"/>
        </w:rPr>
        <w:t>护理管理学</w:t>
      </w:r>
      <w:r>
        <w:rPr>
          <w:rFonts w:hint="eastAsia" w:ascii="黑体" w:hAnsi="黑体" w:eastAsia="黑体"/>
          <w:bCs/>
          <w:sz w:val="32"/>
          <w:szCs w:val="32"/>
        </w:rPr>
        <w:t>》本科课程教学大纲</w:t>
      </w:r>
    </w:p>
    <w:p w14:paraId="54E339FF">
      <w:pPr>
        <w:jc w:val="left"/>
        <w:rPr>
          <w:rFonts w:hint="eastAsia" w:ascii="黑体" w:hAnsi="黑体" w:eastAsia="黑体"/>
          <w:bCs/>
          <w:sz w:val="32"/>
          <w:szCs w:val="32"/>
        </w:rPr>
      </w:pPr>
      <w:r>
        <w:rPr>
          <w:rFonts w:hint="eastAsia" w:ascii="黑体" w:hAnsi="黑体" w:eastAsia="黑体"/>
          <w:bCs/>
          <w:sz w:val="32"/>
          <w:szCs w:val="32"/>
        </w:rPr>
        <w:t>一、课程基本信息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76586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1331BC29">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41EEABC4">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护理管理学</w:t>
            </w:r>
          </w:p>
        </w:tc>
      </w:tr>
      <w:tr w14:paraId="6B581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14D31360">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5E827C20">
            <w:pPr>
              <w:widowControl w:val="0"/>
              <w:jc w:val="left"/>
              <w:rPr>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Nursing Management</w:t>
            </w:r>
          </w:p>
        </w:tc>
      </w:tr>
      <w:tr w14:paraId="19189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5F35E7BD">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282E7C9D">
            <w:pPr>
              <w:widowControl w:val="0"/>
              <w:jc w:val="left"/>
              <w:rPr>
                <w:rFonts w:asciiTheme="minorEastAsia" w:hAnsiTheme="minorEastAsia" w:eastAsiaTheme="minorEastAsia" w:cstheme="minorEastAsia"/>
                <w:color w:val="000000" w:themeColor="text1"/>
                <w:sz w:val="21"/>
                <w:szCs w:val="21"/>
                <w14:textFill>
                  <w14:solidFill>
                    <w14:schemeClr w14:val="tx1"/>
                  </w14:solidFill>
                </w14:textFill>
              </w:rPr>
            </w:pPr>
            <w:r>
              <w:rPr>
                <w:rFonts w:asciiTheme="minorEastAsia" w:hAnsiTheme="minorEastAsia" w:eastAsiaTheme="minorEastAsia" w:cstheme="minorEastAsia"/>
                <w:color w:val="000000" w:themeColor="text1"/>
                <w:sz w:val="21"/>
                <w:szCs w:val="21"/>
                <w14:textFill>
                  <w14:solidFill>
                    <w14:schemeClr w14:val="tx1"/>
                  </w14:solidFill>
                </w14:textFill>
              </w:rPr>
              <w:t>2070029</w:t>
            </w:r>
          </w:p>
        </w:tc>
        <w:tc>
          <w:tcPr>
            <w:tcW w:w="2126" w:type="dxa"/>
            <w:gridSpan w:val="2"/>
            <w:vAlign w:val="center"/>
          </w:tcPr>
          <w:p w14:paraId="1488101D">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149DED33">
            <w:pPr>
              <w:widowControl w:val="0"/>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w:t>
            </w:r>
          </w:p>
        </w:tc>
      </w:tr>
      <w:tr w14:paraId="3C111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335E9554">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688D4675">
            <w:pPr>
              <w:widowControl w:val="0"/>
              <w:jc w:val="left"/>
              <w:rPr>
                <w:rFonts w:asciiTheme="minorEastAsia" w:hAnsiTheme="minorEastAsia" w:eastAsiaTheme="minorEastAsia" w:cstheme="minorEastAsia"/>
                <w:color w:val="000000" w:themeColor="text1"/>
                <w:sz w:val="21"/>
                <w:szCs w:val="21"/>
                <w14:textFill>
                  <w14:solidFill>
                    <w14:schemeClr w14:val="tx1"/>
                  </w14:solidFill>
                </w14:textFill>
              </w:rPr>
            </w:pPr>
            <w:r>
              <w:rPr>
                <w:rFonts w:asciiTheme="minorEastAsia" w:hAnsiTheme="minorEastAsia" w:eastAsiaTheme="minorEastAsia" w:cstheme="minorEastAsia"/>
                <w:color w:val="000000" w:themeColor="text1"/>
                <w:sz w:val="21"/>
                <w:szCs w:val="21"/>
                <w14:textFill>
                  <w14:solidFill>
                    <w14:schemeClr w14:val="tx1"/>
                  </w14:solidFill>
                </w14:textFill>
              </w:rPr>
              <w:t>32</w:t>
            </w:r>
          </w:p>
        </w:tc>
        <w:tc>
          <w:tcPr>
            <w:tcW w:w="1272" w:type="dxa"/>
            <w:vAlign w:val="center"/>
          </w:tcPr>
          <w:p w14:paraId="57930FC3">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6B43339F">
            <w:pPr>
              <w:widowControl w:val="0"/>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32</w:t>
            </w:r>
          </w:p>
        </w:tc>
        <w:tc>
          <w:tcPr>
            <w:tcW w:w="1413" w:type="dxa"/>
            <w:gridSpan w:val="2"/>
            <w:vAlign w:val="center"/>
          </w:tcPr>
          <w:p w14:paraId="1695FEC3">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1FF0A0B5">
            <w:pPr>
              <w:widowControl w:val="0"/>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0</w:t>
            </w:r>
          </w:p>
        </w:tc>
      </w:tr>
      <w:tr w14:paraId="7D3E2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120E5F5C">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3F52C6C4">
            <w:pPr>
              <w:widowControl w:val="0"/>
              <w:jc w:val="left"/>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健康管理学院</w:t>
            </w:r>
          </w:p>
        </w:tc>
        <w:tc>
          <w:tcPr>
            <w:tcW w:w="2126" w:type="dxa"/>
            <w:gridSpan w:val="2"/>
            <w:vAlign w:val="center"/>
          </w:tcPr>
          <w:p w14:paraId="441A4EC5">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2ED23614">
            <w:pPr>
              <w:widowControl w:val="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护理学二年级</w:t>
            </w:r>
          </w:p>
        </w:tc>
      </w:tr>
      <w:tr w14:paraId="71A78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23606849">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2B37DDCC">
            <w:pPr>
              <w:widowControl w:val="0"/>
              <w:jc w:val="left"/>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专业选修课</w:t>
            </w:r>
          </w:p>
        </w:tc>
        <w:tc>
          <w:tcPr>
            <w:tcW w:w="2126" w:type="dxa"/>
            <w:gridSpan w:val="2"/>
            <w:vAlign w:val="center"/>
          </w:tcPr>
          <w:p w14:paraId="1A59118B">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52ABE852">
            <w:pPr>
              <w:widowControl w:val="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考查</w:t>
            </w:r>
          </w:p>
        </w:tc>
      </w:tr>
      <w:tr w14:paraId="6D902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6550B8B7">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64DACFD3">
            <w:pPr>
              <w:widowControl w:val="0"/>
              <w:jc w:val="left"/>
              <w:rPr>
                <w:rFonts w:ascii="Times New Roman" w:hAnsi="Times New Roman"/>
                <w:color w:val="000000" w:themeColor="text1"/>
                <w:sz w:val="21"/>
                <w:szCs w:val="21"/>
                <w14:textFill>
                  <w14:solidFill>
                    <w14:schemeClr w14:val="tx1"/>
                  </w14:solidFill>
                </w14:textFill>
              </w:rPr>
            </w:pPr>
            <w:r>
              <w:rPr>
                <w:rFonts w:hint="eastAsia"/>
                <w:color w:val="000000"/>
                <w:sz w:val="21"/>
                <w:szCs w:val="21"/>
              </w:rPr>
              <w:t>《护理管理学》主编</w:t>
            </w:r>
            <w:r>
              <w:rPr>
                <w:color w:val="000000"/>
                <w:sz w:val="21"/>
                <w:szCs w:val="21"/>
              </w:rPr>
              <w:t>吴欣娟、王艳梅</w:t>
            </w:r>
            <w:r>
              <w:rPr>
                <w:rFonts w:hint="eastAsia"/>
                <w:color w:val="000000"/>
                <w:sz w:val="21"/>
                <w:szCs w:val="21"/>
                <w:lang w:val="en-US" w:eastAsia="zh-CN"/>
              </w:rPr>
              <w:t>I</w:t>
            </w:r>
            <w:r>
              <w:rPr>
                <w:rFonts w:hint="default"/>
                <w:color w:val="000000"/>
                <w:sz w:val="21"/>
                <w:szCs w:val="21"/>
                <w:lang w:val="en-US"/>
              </w:rPr>
              <w:t>SBN</w:t>
            </w:r>
            <w:r>
              <w:rPr>
                <w:color w:val="000000"/>
                <w:sz w:val="21"/>
                <w:szCs w:val="21"/>
              </w:rPr>
              <w:t>9787117328678 人民卫生出版社 第五版</w:t>
            </w:r>
          </w:p>
        </w:tc>
        <w:tc>
          <w:tcPr>
            <w:tcW w:w="1413" w:type="dxa"/>
            <w:gridSpan w:val="2"/>
            <w:vAlign w:val="center"/>
          </w:tcPr>
          <w:p w14:paraId="2A444260">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15BC3012">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036E3F2D">
            <w:pPr>
              <w:widowControl w:val="0"/>
              <w:ind w:left="0" w:leftChars="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14:paraId="1A80A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14:paraId="2AB70277">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3D60B189">
            <w:pPr>
              <w:pStyle w:val="17"/>
              <w:widowControl w:val="0"/>
              <w:jc w:val="both"/>
            </w:pPr>
            <w:r>
              <w:t>人体解剖学2</w:t>
            </w:r>
            <w:r>
              <w:rPr>
                <w:rFonts w:hint="eastAsia"/>
                <w:lang w:val="en-US" w:eastAsia="zh-CN"/>
              </w:rPr>
              <w:t>0</w:t>
            </w:r>
            <w:r>
              <w:t>70001（6）</w:t>
            </w:r>
            <w:r>
              <w:rPr>
                <w:rFonts w:hint="eastAsia"/>
              </w:rPr>
              <w:t>，</w:t>
            </w:r>
            <w:r>
              <w:t>组织胚胎学</w:t>
            </w:r>
            <w:r>
              <w:rPr>
                <w:rFonts w:hint="eastAsia"/>
                <w:lang w:val="en-US" w:eastAsia="zh-CN"/>
              </w:rPr>
              <w:t>0</w:t>
            </w:r>
            <w:r>
              <w:t>170002（2）</w:t>
            </w:r>
            <w:r>
              <w:rPr>
                <w:rFonts w:hint="eastAsia"/>
              </w:rPr>
              <w:t>，护士人文修养</w:t>
            </w:r>
            <w:r>
              <w:t>2170077（1）</w:t>
            </w:r>
          </w:p>
        </w:tc>
      </w:tr>
      <w:tr w14:paraId="4F19C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124" w:hRule="atLeast"/>
        </w:trPr>
        <w:tc>
          <w:tcPr>
            <w:tcW w:w="1691" w:type="dxa"/>
            <w:tcBorders>
              <w:left w:val="single" w:color="auto" w:sz="12" w:space="0"/>
            </w:tcBorders>
            <w:shd w:val="clear" w:color="auto" w:fill="auto"/>
            <w:vAlign w:val="center"/>
          </w:tcPr>
          <w:p w14:paraId="7946FB68">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7F60A708">
            <w:pPr>
              <w:widowControl w:val="0"/>
              <w:spacing w:line="360" w:lineRule="exact"/>
              <w:ind w:left="-80" w:firstLine="426" w:firstLineChars="203"/>
              <w:jc w:val="both"/>
              <w:rPr>
                <w:color w:val="000000"/>
                <w:sz w:val="21"/>
                <w:szCs w:val="21"/>
              </w:rPr>
            </w:pPr>
            <w:r>
              <w:rPr>
                <w:rFonts w:hint="eastAsia"/>
                <w:color w:val="000000"/>
                <w:sz w:val="21"/>
                <w:szCs w:val="21"/>
              </w:rPr>
              <w:t>《护理管理学》是将管理学理论和方法应用于护理实践并逐步发展起来的一门应用学科。通过教学，使学生系统地掌握管理的基本知识、基本原理以及管理方法和技术，熟悉医院护理管理系统的基本结构和运作过程，注意培养学生的计划、组织协调、沟通等基本能力，并注重培养学生提出问题、分析问题和解决护理管理问题的综合能力，是一门促进学生综合能力全面提高的重要的护理学人文社会科学课程。通过学习管理的理论和方法，结合护理管理实践讨论学习，培养学生的管理意识及分析问题和解决护理管理实际问题的综合能力，提升学生的护理职业素养，以实现对服务对象实施整体护理及健康管理，保证和提高医院护理质量的目的，同时为学习和发展现代护理管理及今后担负起护理事业的管理工作打好基础。</w:t>
            </w:r>
          </w:p>
        </w:tc>
      </w:tr>
      <w:tr w14:paraId="614BF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300" w:hRule="atLeast"/>
        </w:trPr>
        <w:tc>
          <w:tcPr>
            <w:tcW w:w="1691" w:type="dxa"/>
            <w:tcBorders>
              <w:left w:val="single" w:color="auto" w:sz="12" w:space="0"/>
              <w:bottom w:val="double" w:color="auto" w:sz="4" w:space="0"/>
            </w:tcBorders>
            <w:shd w:val="clear" w:color="auto" w:fill="auto"/>
            <w:vAlign w:val="center"/>
          </w:tcPr>
          <w:p w14:paraId="695FE2D4">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7F50A376">
            <w:pPr>
              <w:widowControl w:val="0"/>
              <w:snapToGrid w:val="0"/>
              <w:spacing w:line="288" w:lineRule="auto"/>
              <w:ind w:firstLine="420" w:firstLineChars="200"/>
              <w:jc w:val="both"/>
              <w:rPr>
                <w:color w:val="000000"/>
                <w:sz w:val="21"/>
                <w:szCs w:val="21"/>
              </w:rPr>
            </w:pPr>
            <w:r>
              <w:rPr>
                <w:rFonts w:hint="eastAsia"/>
                <w:color w:val="000000"/>
                <w:sz w:val="21"/>
                <w:szCs w:val="21"/>
              </w:rPr>
              <w:t>本课程适合护理学专业二年级本科学生授课，要求学生具有护理管理的基本知识、原理以及管理方法和技术。培养学生具有初步的护管理能力，会运用批判性思维来看待已有研究成果，运用科学思维方式分析、设计临床护理和护理管理工作过程。</w:t>
            </w:r>
          </w:p>
        </w:tc>
      </w:tr>
      <w:tr w14:paraId="57479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14:paraId="3A9546A0">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6E241C50">
            <w:pPr>
              <w:widowControl w:val="0"/>
              <w:jc w:val="both"/>
              <w:rPr>
                <w:rFonts w:ascii="黑体" w:hAnsi="黑体" w:eastAsia="黑体"/>
                <w:color w:val="000000" w:themeColor="text1"/>
                <w:sz w:val="21"/>
                <w:szCs w:val="21"/>
                <w14:textFill>
                  <w14:solidFill>
                    <w14:schemeClr w14:val="tx1"/>
                  </w14:solidFill>
                </w14:textFill>
              </w:rPr>
            </w:pPr>
            <w:r>
              <w:rPr>
                <w:lang w:eastAsia="zh-CN"/>
              </w:rPr>
              <w:drawing>
                <wp:inline distT="0" distB="0" distL="114300" distR="114300">
                  <wp:extent cx="724535" cy="352425"/>
                  <wp:effectExtent l="0" t="0" r="18415" b="9525"/>
                  <wp:docPr id="12" name="图片 12" descr="006ecbe870e15b71da4793d3858ca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006ecbe870e15b71da4793d3858ca49"/>
                          <pic:cNvPicPr>
                            <a:picLocks noChangeAspect="1"/>
                          </pic:cNvPicPr>
                        </pic:nvPicPr>
                        <pic:blipFill>
                          <a:blip r:embed="rId5" cstate="print"/>
                          <a:stretch>
                            <a:fillRect/>
                          </a:stretch>
                        </pic:blipFill>
                        <pic:spPr>
                          <a:xfrm>
                            <a:off x="0" y="0"/>
                            <a:ext cx="724535" cy="352425"/>
                          </a:xfrm>
                          <a:prstGeom prst="rect">
                            <a:avLst/>
                          </a:prstGeom>
                        </pic:spPr>
                      </pic:pic>
                    </a:graphicData>
                  </a:graphic>
                </wp:inline>
              </w:drawing>
            </w:r>
          </w:p>
        </w:tc>
        <w:tc>
          <w:tcPr>
            <w:tcW w:w="1425" w:type="dxa"/>
            <w:gridSpan w:val="2"/>
            <w:tcBorders>
              <w:top w:val="double" w:color="auto" w:sz="4" w:space="0"/>
            </w:tcBorders>
            <w:vAlign w:val="center"/>
          </w:tcPr>
          <w:p w14:paraId="572B8AFA">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0565D98C">
            <w:pPr>
              <w:widowControl w:val="0"/>
              <w:jc w:val="center"/>
              <w:rPr>
                <w:rFonts w:hint="eastAsia" w:ascii="Times New Roman" w:hAnsi="Times New Roman" w:eastAsia="宋体"/>
                <w:color w:val="000000"/>
                <w:sz w:val="21"/>
                <w:szCs w:val="21"/>
                <w:lang w:eastAsia="zh-CN"/>
              </w:rPr>
            </w:pPr>
            <w:r>
              <w:rPr>
                <w:rFonts w:hint="eastAsia" w:ascii="Times New Roman" w:hAnsi="Times New Roman"/>
                <w:color w:val="000000"/>
                <w:sz w:val="21"/>
                <w:szCs w:val="21"/>
                <w:lang w:val="en-US" w:eastAsia="zh-CN"/>
              </w:rPr>
              <w:t>2025.1.12</w:t>
            </w:r>
          </w:p>
        </w:tc>
      </w:tr>
      <w:tr w14:paraId="6C3BD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2317259C">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2FBCD1A9">
            <w:pPr>
              <w:widowControl w:val="0"/>
              <w:jc w:val="left"/>
              <w:rPr>
                <w:rFonts w:ascii="黑体" w:hAnsi="黑体" w:eastAsia="黑体"/>
                <w:color w:val="000000" w:themeColor="text1"/>
                <w:sz w:val="21"/>
                <w:szCs w:val="21"/>
                <w14:textFill>
                  <w14:solidFill>
                    <w14:schemeClr w14:val="tx1"/>
                  </w14:solidFill>
                </w14:textFill>
              </w:rPr>
            </w:pPr>
            <w:r>
              <w:rPr>
                <w:rFonts w:ascii="黑体" w:hAnsi="黑体" w:eastAsia="黑体"/>
                <w:color w:val="000000"/>
                <w:position w:val="-20"/>
                <w:szCs w:val="21"/>
              </w:rPr>
              <w:drawing>
                <wp:inline distT="0" distB="0" distL="114300" distR="114300">
                  <wp:extent cx="609600" cy="276225"/>
                  <wp:effectExtent l="0" t="0" r="0" b="13335"/>
                  <wp:docPr id="2" name="图片 2" descr="WechatIMG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echatIMG294"/>
                          <pic:cNvPicPr>
                            <a:picLocks noChangeAspect="1"/>
                          </pic:cNvPicPr>
                        </pic:nvPicPr>
                        <pic:blipFill>
                          <a:blip r:embed="rId6"/>
                          <a:stretch>
                            <a:fillRect/>
                          </a:stretch>
                        </pic:blipFill>
                        <pic:spPr>
                          <a:xfrm>
                            <a:off x="0" y="0"/>
                            <a:ext cx="609600" cy="276225"/>
                          </a:xfrm>
                          <a:prstGeom prst="rect">
                            <a:avLst/>
                          </a:prstGeom>
                        </pic:spPr>
                      </pic:pic>
                    </a:graphicData>
                  </a:graphic>
                </wp:inline>
              </w:drawing>
            </w:r>
          </w:p>
        </w:tc>
        <w:tc>
          <w:tcPr>
            <w:tcW w:w="1425" w:type="dxa"/>
            <w:gridSpan w:val="2"/>
            <w:vAlign w:val="center"/>
          </w:tcPr>
          <w:p w14:paraId="5031E71A">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5692E94E">
            <w:pPr>
              <w:widowControl w:val="0"/>
              <w:jc w:val="center"/>
              <w:rPr>
                <w:rFonts w:ascii="Times New Roman" w:hAnsi="Times New Roman"/>
                <w:color w:val="000000"/>
                <w:sz w:val="21"/>
                <w:szCs w:val="21"/>
              </w:rPr>
            </w:pPr>
            <w:r>
              <w:rPr>
                <w:rFonts w:hint="default" w:ascii="Times New Roman" w:hAnsi="Times New Roman"/>
                <w:color w:val="000000"/>
                <w:sz w:val="21"/>
                <w:szCs w:val="21"/>
                <w:lang w:val="en-US"/>
              </w:rPr>
              <w:t>202</w:t>
            </w:r>
            <w:r>
              <w:rPr>
                <w:rFonts w:hint="eastAsia" w:ascii="Times New Roman" w:hAnsi="Times New Roman"/>
                <w:color w:val="000000"/>
                <w:sz w:val="21"/>
                <w:szCs w:val="21"/>
                <w:lang w:val="en-US" w:eastAsia="zh-CN"/>
              </w:rPr>
              <w:t>5.2.19</w:t>
            </w:r>
          </w:p>
        </w:tc>
      </w:tr>
      <w:tr w14:paraId="0ACA6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38D668B5">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534F1833">
            <w:pPr>
              <w:widowControl w:val="0"/>
              <w:jc w:val="both"/>
              <w:rPr>
                <w:rFonts w:ascii="黑体" w:hAnsi="黑体" w:eastAsia="黑体"/>
                <w:color w:val="000000" w:themeColor="text1"/>
                <w:sz w:val="21"/>
                <w:szCs w:val="21"/>
                <w14:textFill>
                  <w14:solidFill>
                    <w14:schemeClr w14:val="tx1"/>
                  </w14:solidFill>
                </w14:textFill>
              </w:rPr>
            </w:pPr>
            <w:r>
              <w:drawing>
                <wp:inline distT="0" distB="0" distL="0" distR="0">
                  <wp:extent cx="790575" cy="361950"/>
                  <wp:effectExtent l="0" t="0" r="9525" b="0"/>
                  <wp:docPr id="4" name="图片 1"/>
                  <wp:cNvGraphicFramePr/>
                  <a:graphic xmlns:a="http://schemas.openxmlformats.org/drawingml/2006/main">
                    <a:graphicData uri="http://schemas.openxmlformats.org/drawingml/2006/picture">
                      <pic:pic xmlns:pic="http://schemas.openxmlformats.org/drawingml/2006/picture">
                        <pic:nvPicPr>
                          <pic:cNvPr id="4" name="图片 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790575" cy="361950"/>
                          </a:xfrm>
                          <a:prstGeom prst="rect">
                            <a:avLst/>
                          </a:prstGeom>
                          <a:noFill/>
                          <a:ln>
                            <a:noFill/>
                          </a:ln>
                        </pic:spPr>
                      </pic:pic>
                    </a:graphicData>
                  </a:graphic>
                </wp:inline>
              </w:drawing>
            </w:r>
          </w:p>
        </w:tc>
        <w:tc>
          <w:tcPr>
            <w:tcW w:w="1425" w:type="dxa"/>
            <w:gridSpan w:val="2"/>
            <w:tcBorders>
              <w:bottom w:val="single" w:color="auto" w:sz="12" w:space="0"/>
            </w:tcBorders>
            <w:vAlign w:val="center"/>
          </w:tcPr>
          <w:p w14:paraId="62E19E5D">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1E32A6F0">
            <w:pPr>
              <w:widowControl w:val="0"/>
              <w:jc w:val="center"/>
              <w:rPr>
                <w:rFonts w:ascii="Times New Roman" w:hAnsi="Times New Roman"/>
                <w:color w:val="000000"/>
                <w:sz w:val="21"/>
                <w:szCs w:val="21"/>
              </w:rPr>
            </w:pPr>
            <w:r>
              <w:rPr>
                <w:rFonts w:hint="default" w:ascii="Times New Roman" w:hAnsi="Times New Roman"/>
                <w:color w:val="000000"/>
                <w:sz w:val="21"/>
                <w:szCs w:val="21"/>
                <w:lang w:val="en-US"/>
              </w:rPr>
              <w:t>202</w:t>
            </w:r>
            <w:r>
              <w:rPr>
                <w:rFonts w:hint="eastAsia" w:ascii="Times New Roman" w:hAnsi="Times New Roman"/>
                <w:color w:val="000000"/>
                <w:sz w:val="21"/>
                <w:szCs w:val="21"/>
                <w:lang w:val="en-US" w:eastAsia="zh-CN"/>
              </w:rPr>
              <w:t>5.2.19</w:t>
            </w:r>
            <w:bookmarkStart w:id="4" w:name="_GoBack"/>
            <w:bookmarkEnd w:id="4"/>
          </w:p>
        </w:tc>
      </w:tr>
    </w:tbl>
    <w:p w14:paraId="07FC0589">
      <w:pPr>
        <w:spacing w:line="100" w:lineRule="exact"/>
        <w:rPr>
          <w:rFonts w:ascii="Arial" w:hAnsi="Arial" w:eastAsia="黑体"/>
        </w:rPr>
      </w:pPr>
      <w:r>
        <w:br w:type="page"/>
      </w:r>
    </w:p>
    <w:p w14:paraId="5B443A62">
      <w:pPr>
        <w:pStyle w:val="19"/>
        <w:spacing w:before="326" w:beforeLines="100" w:line="360" w:lineRule="auto"/>
        <w:rPr>
          <w:rFonts w:ascii="黑体" w:hAnsi="宋体"/>
        </w:rPr>
      </w:pPr>
      <w:r>
        <w:rPr>
          <w:rFonts w:hint="eastAsia" w:ascii="黑体" w:hAnsi="宋体"/>
        </w:rPr>
        <w:t>二、课程目标与毕业要求</w:t>
      </w:r>
    </w:p>
    <w:p w14:paraId="2896030E">
      <w:pPr>
        <w:pStyle w:val="20"/>
        <w:spacing w:before="81" w:after="163"/>
      </w:pPr>
      <w:r>
        <w:rPr>
          <w:rFonts w:hint="eastAsia"/>
        </w:rPr>
        <w:t xml:space="preserve">（一）课程目标 </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58739B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vAlign w:val="center"/>
          </w:tcPr>
          <w:p w14:paraId="70C89CCD">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14:paraId="765BA174">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14:paraId="1C736CD7">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5AB0B9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19FCC3B1">
            <w:pPr>
              <w:snapToGrid w:val="0"/>
              <w:jc w:val="center"/>
            </w:pPr>
            <w:r>
              <w:rPr>
                <w:rFonts w:hint="eastAsia" w:ascii="黑体" w:hAnsi="黑体" w:eastAsia="黑体"/>
                <w:bCs/>
                <w:color w:val="000000"/>
                <w:sz w:val="21"/>
                <w:szCs w:val="18"/>
              </w:rPr>
              <w:t>知识目标</w:t>
            </w:r>
          </w:p>
        </w:tc>
        <w:tc>
          <w:tcPr>
            <w:tcW w:w="764" w:type="dxa"/>
            <w:shd w:val="clear" w:color="auto" w:fill="auto"/>
            <w:vAlign w:val="center"/>
          </w:tcPr>
          <w:p w14:paraId="09A23C73">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vAlign w:val="center"/>
          </w:tcPr>
          <w:p w14:paraId="597C8556">
            <w:pPr>
              <w:pStyle w:val="17"/>
              <w:jc w:val="left"/>
              <w:rPr>
                <w:rFonts w:ascii="宋体" w:hAnsi="宋体"/>
              </w:rPr>
            </w:pPr>
            <w:r>
              <w:rPr>
                <w:rFonts w:hint="eastAsia"/>
              </w:rPr>
              <w:t>理解管理的基本知识、基本原理及管理方法和技术。能知道管理的过程、组织实施的方法及步骤。</w:t>
            </w:r>
          </w:p>
        </w:tc>
      </w:tr>
      <w:tr w14:paraId="562ABD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0C39000B">
            <w:pPr>
              <w:pStyle w:val="17"/>
              <w:rPr>
                <w:bCs/>
              </w:rPr>
            </w:pPr>
          </w:p>
        </w:tc>
        <w:tc>
          <w:tcPr>
            <w:tcW w:w="764" w:type="dxa"/>
            <w:shd w:val="clear" w:color="auto" w:fill="auto"/>
            <w:vAlign w:val="center"/>
          </w:tcPr>
          <w:p w14:paraId="1C797534">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306" w:type="dxa"/>
            <w:vAlign w:val="center"/>
          </w:tcPr>
          <w:p w14:paraId="1C850FC7">
            <w:pPr>
              <w:pStyle w:val="17"/>
              <w:jc w:val="left"/>
              <w:rPr>
                <w:rFonts w:ascii="宋体" w:hAnsi="宋体"/>
              </w:rPr>
            </w:pPr>
            <w:r>
              <w:rPr>
                <w:rFonts w:hint="eastAsia"/>
              </w:rPr>
              <w:t>能理解护理管理活动中的沟通方法与技巧，冲突处理的策略和技巧。</w:t>
            </w:r>
          </w:p>
        </w:tc>
      </w:tr>
      <w:tr w14:paraId="68995C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3904288E">
            <w:pPr>
              <w:snapToGrid w:val="0"/>
              <w:jc w:val="center"/>
            </w:pPr>
            <w:r>
              <w:rPr>
                <w:rFonts w:hint="eastAsia" w:ascii="黑体" w:hAnsi="黑体" w:eastAsia="黑体"/>
                <w:bCs/>
                <w:color w:val="000000"/>
                <w:sz w:val="21"/>
                <w:szCs w:val="18"/>
              </w:rPr>
              <w:t>技能目标</w:t>
            </w:r>
          </w:p>
        </w:tc>
        <w:tc>
          <w:tcPr>
            <w:tcW w:w="764" w:type="dxa"/>
            <w:shd w:val="clear" w:color="auto" w:fill="auto"/>
            <w:vAlign w:val="center"/>
          </w:tcPr>
          <w:p w14:paraId="38D69E1A">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306" w:type="dxa"/>
            <w:vAlign w:val="center"/>
          </w:tcPr>
          <w:p w14:paraId="4F645921">
            <w:pPr>
              <w:pStyle w:val="17"/>
              <w:jc w:val="left"/>
              <w:rPr>
                <w:rFonts w:ascii="宋体" w:hAnsi="宋体"/>
              </w:rPr>
            </w:pPr>
            <w:r>
              <w:rPr>
                <w:rFonts w:hint="eastAsia"/>
              </w:rPr>
              <w:t>具有质量控制意识，具备利用控制方法开展护理风险管理、安全管理和成本管理能力。</w:t>
            </w:r>
          </w:p>
        </w:tc>
      </w:tr>
      <w:tr w14:paraId="1C9B0C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40714E71">
            <w:pPr>
              <w:pStyle w:val="17"/>
              <w:rPr>
                <w:rFonts w:ascii="宋体" w:hAnsi="宋体"/>
              </w:rPr>
            </w:pPr>
          </w:p>
        </w:tc>
        <w:tc>
          <w:tcPr>
            <w:tcW w:w="764" w:type="dxa"/>
            <w:shd w:val="clear" w:color="auto" w:fill="auto"/>
            <w:vAlign w:val="center"/>
          </w:tcPr>
          <w:p w14:paraId="7CC5A789">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306" w:type="dxa"/>
            <w:vAlign w:val="center"/>
          </w:tcPr>
          <w:p w14:paraId="6CDA517A">
            <w:pPr>
              <w:pStyle w:val="17"/>
              <w:jc w:val="left"/>
              <w:rPr>
                <w:rFonts w:ascii="宋体" w:hAnsi="宋体"/>
                <w:bCs/>
              </w:rPr>
            </w:pPr>
            <w:r>
              <w:rPr>
                <w:rFonts w:hint="eastAsia"/>
              </w:rPr>
              <w:t>会运用批判性思维来看待已有研究成果，运用科学思维方式分析、设计临床护理和护理管理工作过程，有序高效做好临床护理和护理管理工作。</w:t>
            </w:r>
          </w:p>
        </w:tc>
      </w:tr>
      <w:tr w14:paraId="0C411C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Align w:val="center"/>
          </w:tcPr>
          <w:p w14:paraId="71DC9548">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75D93F49">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14:paraId="4A3FCDEF">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306" w:type="dxa"/>
            <w:vAlign w:val="center"/>
          </w:tcPr>
          <w:p w14:paraId="0A8D00C2">
            <w:pPr>
              <w:pStyle w:val="17"/>
              <w:jc w:val="left"/>
              <w:rPr>
                <w:rFonts w:ascii="宋体" w:hAnsi="宋体"/>
                <w:bCs/>
              </w:rPr>
            </w:pPr>
            <w:r>
              <w:rPr>
                <w:rFonts w:hint="eastAsia"/>
              </w:rPr>
              <w:t>诚信尽责，为人诚实，信守承诺，勤奋努力，精益求精，勇于担责。具有科学精神、慎独修养、严谨求实的工作态度和符合职业道德标准的职业行为。</w:t>
            </w:r>
          </w:p>
        </w:tc>
      </w:tr>
    </w:tbl>
    <w:p w14:paraId="045B8A31">
      <w:pPr>
        <w:pStyle w:val="20"/>
        <w:spacing w:before="163" w:beforeLines="50" w:after="163"/>
      </w:pPr>
      <w:r>
        <w:rPr>
          <w:rFonts w:hint="eastAsia"/>
        </w:rPr>
        <w:t>（二）课程支撑的毕业要求</w:t>
      </w:r>
    </w:p>
    <w:tbl>
      <w:tblPr>
        <w:tblStyle w:val="10"/>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76"/>
      </w:tblGrid>
      <w:tr w14:paraId="0E770C39">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48AE28C9">
            <w:pPr>
              <w:pStyle w:val="17"/>
              <w:widowControl w:val="0"/>
              <w:jc w:val="left"/>
              <w:rPr>
                <w:rFonts w:ascii="宋体" w:hAnsi="宋体"/>
              </w:rPr>
            </w:pPr>
            <w:r>
              <w:rPr>
                <w:rFonts w:hint="eastAsia" w:ascii="宋体" w:hAnsi="宋体"/>
              </w:rPr>
              <w:t>LO1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08AE7F0B">
            <w:pPr>
              <w:pStyle w:val="17"/>
              <w:widowControl w:val="0"/>
              <w:jc w:val="left"/>
              <w:rPr>
                <w:rFonts w:ascii="宋体" w:hAnsi="宋体"/>
              </w:rPr>
            </w:pPr>
            <w:r>
              <w:rPr>
                <w:rFonts w:hint="eastAsia" w:ascii="宋体" w:hAnsi="宋体"/>
              </w:rPr>
              <w:t>④诚信尽责，为人诚实，信守承诺，勤奋努力，精益求精，勇于担责。</w:t>
            </w:r>
          </w:p>
        </w:tc>
      </w:tr>
      <w:tr w14:paraId="7FF0B924">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5951978C">
            <w:pPr>
              <w:pStyle w:val="17"/>
              <w:widowControl w:val="0"/>
              <w:jc w:val="left"/>
              <w:rPr>
                <w:rFonts w:ascii="宋体" w:hAnsi="宋体"/>
              </w:rPr>
            </w:pPr>
            <w:r>
              <w:rPr>
                <w:rFonts w:ascii="宋体" w:hAnsi="宋体"/>
              </w:rPr>
              <w:t>LO2专业能力：具有人文科学素养，具备从事护理工作或专业的理论知识、实践能力。</w:t>
            </w:r>
          </w:p>
          <w:p w14:paraId="51ED5C92">
            <w:pPr>
              <w:pStyle w:val="17"/>
              <w:widowControl w:val="0"/>
              <w:numPr>
                <w:ilvl w:val="0"/>
                <w:numId w:val="1"/>
              </w:numPr>
              <w:jc w:val="left"/>
              <w:rPr>
                <w:rFonts w:ascii="宋体" w:hAnsi="宋体"/>
              </w:rPr>
            </w:pPr>
            <w:r>
              <w:rPr>
                <w:rFonts w:hint="eastAsia" w:ascii="宋体" w:hAnsi="宋体"/>
              </w:rPr>
              <w:t xml:space="preserve">具有专业所需的人文科学素养。 </w:t>
            </w:r>
          </w:p>
        </w:tc>
      </w:tr>
      <w:tr w14:paraId="79F7EDFF">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21A710C9">
            <w:pPr>
              <w:pStyle w:val="17"/>
              <w:widowControl w:val="0"/>
              <w:jc w:val="left"/>
              <w:rPr>
                <w:rFonts w:ascii="宋体" w:hAnsi="宋体"/>
              </w:rPr>
            </w:pPr>
            <w:r>
              <w:rPr>
                <w:rFonts w:ascii="宋体" w:hAnsi="宋体"/>
              </w:rPr>
              <w:t>LO3表达沟通：理解他人的观点，尊重他人的价值观，能在不同场合用书面或口头形式进行有效沟通。</w:t>
            </w:r>
          </w:p>
          <w:p w14:paraId="3DE985B1">
            <w:pPr>
              <w:pStyle w:val="17"/>
              <w:widowControl w:val="0"/>
              <w:jc w:val="left"/>
              <w:rPr>
                <w:rFonts w:ascii="宋体" w:hAnsi="宋体"/>
                <w:bCs/>
              </w:rPr>
            </w:pPr>
            <w:r>
              <w:rPr>
                <w:rFonts w:hint="eastAsia" w:ascii="宋体" w:hAnsi="宋体"/>
              </w:rPr>
              <w:t>②应用书面或口头形式，阐释自己的观点，有效沟通。</w:t>
            </w:r>
          </w:p>
        </w:tc>
      </w:tr>
      <w:tr w14:paraId="694202D7">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7820A0CC">
            <w:pPr>
              <w:pStyle w:val="17"/>
              <w:widowControl w:val="0"/>
              <w:jc w:val="left"/>
              <w:rPr>
                <w:rFonts w:ascii="宋体" w:hAnsi="宋体"/>
              </w:rPr>
            </w:pPr>
            <w:r>
              <w:rPr>
                <w:rFonts w:ascii="宋体" w:hAnsi="宋体"/>
              </w:rPr>
              <w:t>LO6协同创新：同群体保持良好的合作关系，做集体中的积极成员，善于自我管理和团队管理；善于从多个维度思考问题，利用自己的知识与实践来提出新设想。</w:t>
            </w:r>
          </w:p>
          <w:p w14:paraId="189BDD3C">
            <w:pPr>
              <w:pStyle w:val="17"/>
              <w:widowControl w:val="0"/>
              <w:numPr>
                <w:ilvl w:val="0"/>
                <w:numId w:val="1"/>
              </w:numPr>
              <w:jc w:val="left"/>
              <w:rPr>
                <w:rFonts w:ascii="宋体" w:hAnsi="宋体"/>
              </w:rPr>
            </w:pPr>
            <w:r>
              <w:rPr>
                <w:rFonts w:hint="eastAsia" w:ascii="宋体" w:hAnsi="宋体"/>
              </w:rPr>
              <w:t>能用创新的方法或者多种方法解决复杂问题或真实问题。</w:t>
            </w:r>
          </w:p>
          <w:p w14:paraId="297EC6F9">
            <w:pPr>
              <w:pStyle w:val="17"/>
              <w:widowControl w:val="0"/>
              <w:jc w:val="left"/>
              <w:rPr>
                <w:rFonts w:ascii="宋体" w:hAnsi="宋体"/>
                <w:highlight w:val="yellow"/>
              </w:rPr>
            </w:pPr>
          </w:p>
        </w:tc>
      </w:tr>
    </w:tbl>
    <w:p w14:paraId="06CD8FE2">
      <w:pPr>
        <w:pStyle w:val="20"/>
        <w:spacing w:before="163" w:beforeLines="50" w:after="163"/>
      </w:pPr>
      <w:r>
        <w:rPr>
          <w:rFonts w:hint="eastAsia"/>
        </w:rPr>
        <w:t>（三）毕业要求与课程目标的关系</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405F2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59" w:type="dxa"/>
            <w:tcBorders>
              <w:top w:val="single" w:color="auto" w:sz="12" w:space="0"/>
              <w:left w:val="single" w:color="auto" w:sz="12" w:space="0"/>
              <w:right w:val="single" w:color="auto" w:sz="4" w:space="0"/>
            </w:tcBorders>
            <w:shd w:val="clear" w:color="auto" w:fill="auto"/>
            <w:vAlign w:val="center"/>
          </w:tcPr>
          <w:p w14:paraId="6ED20D95">
            <w:pPr>
              <w:pStyle w:val="16"/>
              <w:rPr>
                <w:szCs w:val="16"/>
              </w:rPr>
            </w:pPr>
            <w:r>
              <w:rPr>
                <w:rFonts w:hint="eastAsia" w:ascii="黑体" w:hAnsi="黑体"/>
                <w:szCs w:val="18"/>
              </w:rPr>
              <w:t>毕业要求</w:t>
            </w:r>
          </w:p>
        </w:tc>
        <w:tc>
          <w:tcPr>
            <w:tcW w:w="775" w:type="dxa"/>
            <w:tcBorders>
              <w:top w:val="single" w:color="auto" w:sz="12" w:space="0"/>
              <w:left w:val="single" w:color="auto" w:sz="4" w:space="0"/>
            </w:tcBorders>
            <w:vAlign w:val="center"/>
          </w:tcPr>
          <w:p w14:paraId="69A9F584">
            <w:pPr>
              <w:pStyle w:val="16"/>
              <w:rPr>
                <w:szCs w:val="16"/>
              </w:rPr>
            </w:pPr>
            <w:r>
              <w:rPr>
                <w:rFonts w:hint="eastAsia"/>
                <w:szCs w:val="16"/>
              </w:rPr>
              <w:t>指标点</w:t>
            </w:r>
          </w:p>
        </w:tc>
        <w:tc>
          <w:tcPr>
            <w:tcW w:w="775" w:type="dxa"/>
            <w:tcBorders>
              <w:top w:val="single" w:color="auto" w:sz="12" w:space="0"/>
              <w:right w:val="double" w:color="auto" w:sz="4" w:space="0"/>
            </w:tcBorders>
            <w:shd w:val="clear" w:color="auto" w:fill="auto"/>
            <w:vAlign w:val="center"/>
          </w:tcPr>
          <w:p w14:paraId="19294EAE">
            <w:pPr>
              <w:pStyle w:val="16"/>
              <w:rPr>
                <w:szCs w:val="16"/>
              </w:rPr>
            </w:pPr>
            <w:r>
              <w:rPr>
                <w:rFonts w:hint="eastAsia"/>
                <w:szCs w:val="16"/>
              </w:rPr>
              <w:t>支撑度</w:t>
            </w:r>
          </w:p>
        </w:tc>
        <w:tc>
          <w:tcPr>
            <w:tcW w:w="4651" w:type="dxa"/>
            <w:tcBorders>
              <w:top w:val="single" w:color="auto" w:sz="12" w:space="0"/>
            </w:tcBorders>
            <w:vAlign w:val="center"/>
          </w:tcPr>
          <w:p w14:paraId="1F3D6F27">
            <w:pPr>
              <w:pStyle w:val="16"/>
              <w:rPr>
                <w:szCs w:val="16"/>
              </w:rPr>
            </w:pPr>
            <w:r>
              <w:rPr>
                <w:rFonts w:hint="eastAsia"/>
                <w:szCs w:val="16"/>
              </w:rPr>
              <w:t>课程目标</w:t>
            </w:r>
          </w:p>
        </w:tc>
        <w:tc>
          <w:tcPr>
            <w:tcW w:w="1316" w:type="dxa"/>
            <w:tcBorders>
              <w:top w:val="single" w:color="auto" w:sz="12" w:space="0"/>
              <w:right w:val="single" w:color="auto" w:sz="12" w:space="0"/>
            </w:tcBorders>
            <w:vAlign w:val="center"/>
          </w:tcPr>
          <w:p w14:paraId="39BD9C40">
            <w:pPr>
              <w:pStyle w:val="16"/>
              <w:rPr>
                <w:szCs w:val="16"/>
              </w:rPr>
            </w:pPr>
            <w:r>
              <w:rPr>
                <w:rFonts w:hint="eastAsia"/>
                <w:szCs w:val="16"/>
              </w:rPr>
              <w:t>对指标点的贡献度</w:t>
            </w:r>
          </w:p>
        </w:tc>
      </w:tr>
      <w:tr w14:paraId="2BFFE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right w:val="single" w:color="auto" w:sz="4" w:space="0"/>
            </w:tcBorders>
            <w:shd w:val="clear" w:color="auto" w:fill="auto"/>
            <w:vAlign w:val="center"/>
          </w:tcPr>
          <w:p w14:paraId="65163E81">
            <w:pPr>
              <w:pStyle w:val="17"/>
              <w:rPr>
                <w:highlight w:val="none"/>
              </w:rPr>
            </w:pPr>
            <w:r>
              <w:rPr>
                <w:highlight w:val="none"/>
              </w:rPr>
              <w:t>L01</w:t>
            </w:r>
          </w:p>
        </w:tc>
        <w:tc>
          <w:tcPr>
            <w:tcW w:w="775" w:type="dxa"/>
            <w:tcBorders>
              <w:left w:val="single" w:color="auto" w:sz="4" w:space="0"/>
            </w:tcBorders>
            <w:vAlign w:val="center"/>
          </w:tcPr>
          <w:p w14:paraId="48D482D5">
            <w:pPr>
              <w:pStyle w:val="17"/>
              <w:rPr>
                <w:highlight w:val="none"/>
              </w:rPr>
            </w:pPr>
            <w:r>
              <w:rPr>
                <w:rFonts w:hint="eastAsia"/>
                <w:highlight w:val="none"/>
              </w:rPr>
              <w:t>④</w:t>
            </w:r>
          </w:p>
        </w:tc>
        <w:tc>
          <w:tcPr>
            <w:tcW w:w="775" w:type="dxa"/>
            <w:tcBorders>
              <w:right w:val="double" w:color="auto" w:sz="4" w:space="0"/>
            </w:tcBorders>
            <w:shd w:val="clear" w:color="auto" w:fill="auto"/>
            <w:vAlign w:val="center"/>
          </w:tcPr>
          <w:p w14:paraId="0BC56702">
            <w:pPr>
              <w:pStyle w:val="17"/>
              <w:rPr>
                <w:highlight w:val="none"/>
              </w:rPr>
            </w:pPr>
            <w:r>
              <w:rPr>
                <w:highlight w:val="none"/>
              </w:rPr>
              <w:t>M</w:t>
            </w:r>
          </w:p>
        </w:tc>
        <w:tc>
          <w:tcPr>
            <w:tcW w:w="4651" w:type="dxa"/>
            <w:vAlign w:val="center"/>
          </w:tcPr>
          <w:p w14:paraId="49C40BB6">
            <w:pPr>
              <w:pStyle w:val="17"/>
              <w:jc w:val="left"/>
              <w:rPr>
                <w:highlight w:val="none"/>
              </w:rPr>
            </w:pPr>
            <w:r>
              <w:rPr>
                <w:highlight w:val="none"/>
              </w:rPr>
              <w:t>5.</w:t>
            </w:r>
            <w:r>
              <w:rPr>
                <w:rFonts w:hint="eastAsia"/>
                <w:highlight w:val="none"/>
              </w:rPr>
              <w:t>诚信尽责，为人诚实，信守承诺，勤奋努力，精益求精，勇于担责。具有科学精神、慎独修养、严谨求实的工作态度和符合职业道德标准的职业行为。</w:t>
            </w:r>
          </w:p>
        </w:tc>
        <w:tc>
          <w:tcPr>
            <w:tcW w:w="1316" w:type="dxa"/>
            <w:tcBorders>
              <w:right w:val="single" w:color="auto" w:sz="12" w:space="0"/>
            </w:tcBorders>
            <w:vAlign w:val="center"/>
          </w:tcPr>
          <w:p w14:paraId="7502ACD4">
            <w:pPr>
              <w:pStyle w:val="17"/>
              <w:rPr>
                <w:highlight w:val="none"/>
              </w:rPr>
            </w:pPr>
            <w:r>
              <w:rPr>
                <w:highlight w:val="none"/>
              </w:rPr>
              <w:t>100</w:t>
            </w:r>
            <w:r>
              <w:rPr>
                <w:rFonts w:hint="eastAsia"/>
                <w:highlight w:val="none"/>
              </w:rPr>
              <w:t>%</w:t>
            </w:r>
          </w:p>
        </w:tc>
      </w:tr>
      <w:tr w14:paraId="5449D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restart"/>
            <w:tcBorders>
              <w:left w:val="single" w:color="auto" w:sz="12" w:space="0"/>
              <w:right w:val="single" w:color="auto" w:sz="4" w:space="0"/>
            </w:tcBorders>
            <w:shd w:val="clear" w:color="auto" w:fill="auto"/>
            <w:vAlign w:val="center"/>
          </w:tcPr>
          <w:p w14:paraId="7B572E19">
            <w:pPr>
              <w:pStyle w:val="17"/>
              <w:rPr>
                <w:highlight w:val="none"/>
              </w:rPr>
            </w:pPr>
            <w:r>
              <w:rPr>
                <w:rFonts w:hint="eastAsia"/>
                <w:highlight w:val="none"/>
              </w:rPr>
              <w:t>L</w:t>
            </w:r>
            <w:r>
              <w:rPr>
                <w:highlight w:val="none"/>
              </w:rPr>
              <w:t>02</w:t>
            </w:r>
          </w:p>
        </w:tc>
        <w:tc>
          <w:tcPr>
            <w:tcW w:w="775" w:type="dxa"/>
            <w:vMerge w:val="restart"/>
            <w:tcBorders>
              <w:left w:val="single" w:color="auto" w:sz="4" w:space="0"/>
            </w:tcBorders>
            <w:vAlign w:val="center"/>
          </w:tcPr>
          <w:p w14:paraId="69300BD7">
            <w:pPr>
              <w:pStyle w:val="17"/>
              <w:rPr>
                <w:highlight w:val="none"/>
              </w:rPr>
            </w:pPr>
            <w:r>
              <w:rPr>
                <w:rFonts w:hint="eastAsia"/>
                <w:highlight w:val="none"/>
              </w:rPr>
              <w:t>①</w:t>
            </w:r>
          </w:p>
        </w:tc>
        <w:tc>
          <w:tcPr>
            <w:tcW w:w="775" w:type="dxa"/>
            <w:vMerge w:val="restart"/>
            <w:tcBorders>
              <w:right w:val="double" w:color="auto" w:sz="4" w:space="0"/>
            </w:tcBorders>
            <w:shd w:val="clear" w:color="auto" w:fill="auto"/>
            <w:vAlign w:val="center"/>
          </w:tcPr>
          <w:p w14:paraId="7AA80D47">
            <w:pPr>
              <w:pStyle w:val="17"/>
              <w:rPr>
                <w:highlight w:val="none"/>
              </w:rPr>
            </w:pPr>
            <w:r>
              <w:rPr>
                <w:highlight w:val="none"/>
              </w:rPr>
              <w:t>H</w:t>
            </w:r>
          </w:p>
        </w:tc>
        <w:tc>
          <w:tcPr>
            <w:tcW w:w="4651" w:type="dxa"/>
            <w:vAlign w:val="center"/>
          </w:tcPr>
          <w:p w14:paraId="0085FAC9">
            <w:pPr>
              <w:pStyle w:val="17"/>
              <w:jc w:val="left"/>
              <w:rPr>
                <w:bCs/>
                <w:highlight w:val="none"/>
              </w:rPr>
            </w:pPr>
            <w:r>
              <w:rPr>
                <w:rFonts w:hint="eastAsia"/>
                <w:highlight w:val="none"/>
              </w:rPr>
              <w:t>1</w:t>
            </w:r>
            <w:r>
              <w:rPr>
                <w:highlight w:val="none"/>
              </w:rPr>
              <w:t>.</w:t>
            </w:r>
            <w:r>
              <w:rPr>
                <w:rFonts w:hint="eastAsia"/>
                <w:highlight w:val="none"/>
              </w:rPr>
              <w:t>理解管理的基本知识、基本原理及管理方法和技术。能知道管理的过程、组织实施的方法及步骤。</w:t>
            </w:r>
          </w:p>
        </w:tc>
        <w:tc>
          <w:tcPr>
            <w:tcW w:w="1316" w:type="dxa"/>
            <w:tcBorders>
              <w:right w:val="single" w:color="auto" w:sz="12" w:space="0"/>
            </w:tcBorders>
            <w:vAlign w:val="center"/>
          </w:tcPr>
          <w:p w14:paraId="0F3C30D6">
            <w:pPr>
              <w:pStyle w:val="17"/>
              <w:rPr>
                <w:highlight w:val="none"/>
              </w:rPr>
            </w:pPr>
            <w:r>
              <w:rPr>
                <w:highlight w:val="none"/>
              </w:rPr>
              <w:t>60</w:t>
            </w:r>
            <w:r>
              <w:rPr>
                <w:rFonts w:hint="eastAsia"/>
                <w:highlight w:val="none"/>
              </w:rPr>
              <w:t>%</w:t>
            </w:r>
          </w:p>
        </w:tc>
      </w:tr>
      <w:tr w14:paraId="03B73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14:paraId="7A826D81">
            <w:pPr>
              <w:pStyle w:val="17"/>
              <w:rPr>
                <w:highlight w:val="none"/>
              </w:rPr>
            </w:pPr>
          </w:p>
        </w:tc>
        <w:tc>
          <w:tcPr>
            <w:tcW w:w="775" w:type="dxa"/>
            <w:vMerge w:val="continue"/>
            <w:tcBorders>
              <w:left w:val="single" w:color="auto" w:sz="4" w:space="0"/>
            </w:tcBorders>
            <w:vAlign w:val="center"/>
          </w:tcPr>
          <w:p w14:paraId="16E582CF">
            <w:pPr>
              <w:pStyle w:val="17"/>
              <w:rPr>
                <w:highlight w:val="none"/>
              </w:rPr>
            </w:pPr>
          </w:p>
        </w:tc>
        <w:tc>
          <w:tcPr>
            <w:tcW w:w="775" w:type="dxa"/>
            <w:vMerge w:val="continue"/>
            <w:tcBorders>
              <w:right w:val="double" w:color="auto" w:sz="4" w:space="0"/>
            </w:tcBorders>
            <w:shd w:val="clear" w:color="auto" w:fill="auto"/>
            <w:vAlign w:val="center"/>
          </w:tcPr>
          <w:p w14:paraId="6BFD6531">
            <w:pPr>
              <w:pStyle w:val="17"/>
              <w:rPr>
                <w:highlight w:val="none"/>
              </w:rPr>
            </w:pPr>
          </w:p>
        </w:tc>
        <w:tc>
          <w:tcPr>
            <w:tcW w:w="4651" w:type="dxa"/>
            <w:vAlign w:val="center"/>
          </w:tcPr>
          <w:p w14:paraId="3DDDF29B">
            <w:pPr>
              <w:pStyle w:val="17"/>
              <w:jc w:val="left"/>
              <w:rPr>
                <w:highlight w:val="none"/>
              </w:rPr>
            </w:pPr>
            <w:r>
              <w:rPr>
                <w:highlight w:val="none"/>
              </w:rPr>
              <w:t>3.</w:t>
            </w:r>
            <w:r>
              <w:rPr>
                <w:rFonts w:hint="eastAsia"/>
                <w:highlight w:val="none"/>
              </w:rPr>
              <w:t>具有质量控制意识，具备利用控制方法开展护理风险管理、安全管理和成本管理能力。</w:t>
            </w:r>
          </w:p>
        </w:tc>
        <w:tc>
          <w:tcPr>
            <w:tcW w:w="1316" w:type="dxa"/>
            <w:tcBorders>
              <w:right w:val="single" w:color="auto" w:sz="12" w:space="0"/>
            </w:tcBorders>
            <w:vAlign w:val="center"/>
          </w:tcPr>
          <w:p w14:paraId="0DB09102">
            <w:pPr>
              <w:pStyle w:val="17"/>
              <w:rPr>
                <w:highlight w:val="none"/>
              </w:rPr>
            </w:pPr>
            <w:r>
              <w:rPr>
                <w:highlight w:val="none"/>
              </w:rPr>
              <w:t>40</w:t>
            </w:r>
            <w:r>
              <w:rPr>
                <w:rFonts w:hint="eastAsia"/>
                <w:highlight w:val="none"/>
              </w:rPr>
              <w:t>%</w:t>
            </w:r>
          </w:p>
        </w:tc>
      </w:tr>
      <w:tr w14:paraId="28DFA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right w:val="single" w:color="auto" w:sz="4" w:space="0"/>
            </w:tcBorders>
            <w:shd w:val="clear" w:color="auto" w:fill="auto"/>
          </w:tcPr>
          <w:p w14:paraId="65EFD21B">
            <w:pPr>
              <w:pStyle w:val="17"/>
              <w:rPr>
                <w:highlight w:val="none"/>
              </w:rPr>
            </w:pPr>
            <w:r>
              <w:rPr>
                <w:rFonts w:hint="eastAsia"/>
                <w:highlight w:val="none"/>
              </w:rPr>
              <w:t>L</w:t>
            </w:r>
            <w:r>
              <w:rPr>
                <w:highlight w:val="none"/>
              </w:rPr>
              <w:t>03</w:t>
            </w:r>
          </w:p>
        </w:tc>
        <w:tc>
          <w:tcPr>
            <w:tcW w:w="775" w:type="dxa"/>
            <w:tcBorders>
              <w:left w:val="single" w:color="auto" w:sz="4" w:space="0"/>
            </w:tcBorders>
            <w:vAlign w:val="center"/>
          </w:tcPr>
          <w:p w14:paraId="39978F37">
            <w:pPr>
              <w:pStyle w:val="17"/>
              <w:widowControl w:val="0"/>
              <w:numPr>
                <w:ilvl w:val="0"/>
                <w:numId w:val="1"/>
              </w:numPr>
              <w:jc w:val="both"/>
              <w:rPr>
                <w:highlight w:val="none"/>
              </w:rPr>
            </w:pPr>
          </w:p>
        </w:tc>
        <w:tc>
          <w:tcPr>
            <w:tcW w:w="775" w:type="dxa"/>
            <w:tcBorders>
              <w:right w:val="double" w:color="auto" w:sz="4" w:space="0"/>
            </w:tcBorders>
            <w:shd w:val="clear" w:color="auto" w:fill="auto"/>
            <w:vAlign w:val="center"/>
          </w:tcPr>
          <w:p w14:paraId="0F774A41">
            <w:pPr>
              <w:pStyle w:val="17"/>
              <w:rPr>
                <w:highlight w:val="none"/>
              </w:rPr>
            </w:pPr>
            <w:r>
              <w:rPr>
                <w:highlight w:val="none"/>
              </w:rPr>
              <w:t>M</w:t>
            </w:r>
          </w:p>
        </w:tc>
        <w:tc>
          <w:tcPr>
            <w:tcW w:w="4651" w:type="dxa"/>
            <w:vAlign w:val="center"/>
          </w:tcPr>
          <w:p w14:paraId="7F403150">
            <w:pPr>
              <w:pStyle w:val="17"/>
              <w:jc w:val="left"/>
              <w:rPr>
                <w:highlight w:val="none"/>
              </w:rPr>
            </w:pPr>
            <w:r>
              <w:rPr>
                <w:highlight w:val="none"/>
              </w:rPr>
              <w:t>2.</w:t>
            </w:r>
            <w:r>
              <w:rPr>
                <w:rFonts w:hint="eastAsia"/>
                <w:highlight w:val="none"/>
              </w:rPr>
              <w:t>能理解护理管理活动中的沟通方法与技巧，冲突处理的策略和技巧。。</w:t>
            </w:r>
          </w:p>
        </w:tc>
        <w:tc>
          <w:tcPr>
            <w:tcW w:w="1316" w:type="dxa"/>
            <w:tcBorders>
              <w:right w:val="single" w:color="auto" w:sz="12" w:space="0"/>
            </w:tcBorders>
            <w:vAlign w:val="center"/>
          </w:tcPr>
          <w:p w14:paraId="751716EB">
            <w:pPr>
              <w:pStyle w:val="17"/>
              <w:rPr>
                <w:highlight w:val="none"/>
              </w:rPr>
            </w:pPr>
            <w:r>
              <w:rPr>
                <w:rFonts w:hint="eastAsia"/>
                <w:highlight w:val="none"/>
              </w:rPr>
              <w:t>1</w:t>
            </w:r>
            <w:r>
              <w:rPr>
                <w:highlight w:val="none"/>
              </w:rPr>
              <w:t>00</w:t>
            </w:r>
            <w:r>
              <w:rPr>
                <w:rFonts w:hint="eastAsia"/>
                <w:highlight w:val="none"/>
              </w:rPr>
              <w:t>%</w:t>
            </w:r>
          </w:p>
        </w:tc>
      </w:tr>
      <w:tr w14:paraId="49D6B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bottom w:val="single" w:color="auto" w:sz="12" w:space="0"/>
              <w:right w:val="single" w:color="auto" w:sz="4" w:space="0"/>
            </w:tcBorders>
            <w:shd w:val="clear" w:color="auto" w:fill="auto"/>
          </w:tcPr>
          <w:p w14:paraId="4DCCF1C4">
            <w:pPr>
              <w:pStyle w:val="17"/>
              <w:rPr>
                <w:highlight w:val="none"/>
              </w:rPr>
            </w:pPr>
            <w:r>
              <w:rPr>
                <w:rFonts w:hint="eastAsia"/>
                <w:highlight w:val="none"/>
              </w:rPr>
              <w:t>L</w:t>
            </w:r>
            <w:r>
              <w:rPr>
                <w:highlight w:val="none"/>
              </w:rPr>
              <w:t>06</w:t>
            </w:r>
          </w:p>
        </w:tc>
        <w:tc>
          <w:tcPr>
            <w:tcW w:w="775" w:type="dxa"/>
            <w:tcBorders>
              <w:left w:val="single" w:color="auto" w:sz="4" w:space="0"/>
              <w:bottom w:val="single" w:color="auto" w:sz="12" w:space="0"/>
            </w:tcBorders>
            <w:vAlign w:val="center"/>
          </w:tcPr>
          <w:p w14:paraId="49EF3C64">
            <w:pPr>
              <w:pStyle w:val="17"/>
              <w:widowControl w:val="0"/>
              <w:numPr>
                <w:ilvl w:val="0"/>
                <w:numId w:val="1"/>
              </w:numPr>
              <w:jc w:val="both"/>
              <w:rPr>
                <w:highlight w:val="none"/>
              </w:rPr>
            </w:pPr>
          </w:p>
        </w:tc>
        <w:tc>
          <w:tcPr>
            <w:tcW w:w="775" w:type="dxa"/>
            <w:tcBorders>
              <w:bottom w:val="single" w:color="auto" w:sz="12" w:space="0"/>
              <w:right w:val="double" w:color="auto" w:sz="4" w:space="0"/>
            </w:tcBorders>
            <w:shd w:val="clear" w:color="auto" w:fill="auto"/>
            <w:vAlign w:val="center"/>
          </w:tcPr>
          <w:p w14:paraId="37CA7781">
            <w:pPr>
              <w:pStyle w:val="17"/>
              <w:rPr>
                <w:highlight w:val="none"/>
              </w:rPr>
            </w:pPr>
            <w:r>
              <w:rPr>
                <w:highlight w:val="none"/>
              </w:rPr>
              <w:t>L</w:t>
            </w:r>
          </w:p>
        </w:tc>
        <w:tc>
          <w:tcPr>
            <w:tcW w:w="4651" w:type="dxa"/>
            <w:tcBorders>
              <w:bottom w:val="single" w:color="auto" w:sz="12" w:space="0"/>
            </w:tcBorders>
            <w:vAlign w:val="center"/>
          </w:tcPr>
          <w:p w14:paraId="072FF957">
            <w:pPr>
              <w:pStyle w:val="17"/>
              <w:jc w:val="left"/>
              <w:rPr>
                <w:highlight w:val="none"/>
              </w:rPr>
            </w:pPr>
            <w:r>
              <w:rPr>
                <w:highlight w:val="none"/>
              </w:rPr>
              <w:t>4.</w:t>
            </w:r>
            <w:r>
              <w:rPr>
                <w:rFonts w:hint="eastAsia"/>
                <w:highlight w:val="none"/>
              </w:rPr>
              <w:t>会运用批判性思维来看待已有研究成果，运用科学思维方式分析、设计临床护理和护理管理工作过程，有序高效做好临床护理和护理管理工作。</w:t>
            </w:r>
          </w:p>
        </w:tc>
        <w:tc>
          <w:tcPr>
            <w:tcW w:w="1316" w:type="dxa"/>
            <w:tcBorders>
              <w:bottom w:val="single" w:color="auto" w:sz="12" w:space="0"/>
              <w:right w:val="single" w:color="auto" w:sz="12" w:space="0"/>
            </w:tcBorders>
            <w:vAlign w:val="center"/>
          </w:tcPr>
          <w:p w14:paraId="60980D5E">
            <w:pPr>
              <w:pStyle w:val="17"/>
              <w:rPr>
                <w:highlight w:val="none"/>
              </w:rPr>
            </w:pPr>
            <w:r>
              <w:rPr>
                <w:rFonts w:hint="eastAsia"/>
                <w:highlight w:val="none"/>
              </w:rPr>
              <w:t>1</w:t>
            </w:r>
            <w:r>
              <w:rPr>
                <w:highlight w:val="none"/>
              </w:rPr>
              <w:t>00</w:t>
            </w:r>
            <w:r>
              <w:rPr>
                <w:rFonts w:hint="eastAsia"/>
                <w:highlight w:val="none"/>
              </w:rPr>
              <w:t>%</w:t>
            </w:r>
          </w:p>
        </w:tc>
      </w:tr>
    </w:tbl>
    <w:p w14:paraId="53FAE065">
      <w:pPr>
        <w:pStyle w:val="19"/>
        <w:spacing w:before="326" w:beforeLines="100" w:line="360" w:lineRule="auto"/>
        <w:rPr>
          <w:rFonts w:ascii="黑体" w:hAnsi="宋体"/>
          <w:highlight w:val="none"/>
        </w:rPr>
      </w:pPr>
      <w:r>
        <w:rPr>
          <w:rFonts w:hint="eastAsia" w:ascii="黑体" w:hAnsi="宋体"/>
          <w:highlight w:val="none"/>
        </w:rPr>
        <w:t>三、</w:t>
      </w:r>
      <w:r>
        <w:rPr>
          <w:rFonts w:ascii="黑体" w:hAnsi="宋体"/>
          <w:highlight w:val="none"/>
        </w:rPr>
        <w:t>课程内容</w:t>
      </w:r>
      <w:r>
        <w:rPr>
          <w:rFonts w:hint="eastAsia" w:ascii="黑体" w:hAnsi="宋体"/>
          <w:highlight w:val="none"/>
        </w:rPr>
        <w:t>与教学设计</w:t>
      </w:r>
    </w:p>
    <w:p w14:paraId="16461031">
      <w:pPr>
        <w:pStyle w:val="20"/>
        <w:spacing w:before="81" w:after="163"/>
      </w:pPr>
      <w:r>
        <w:rPr>
          <w:rFonts w:hint="eastAsia"/>
        </w:rPr>
        <w:t>（一）各教学单元预期学习成果与教学内容</w:t>
      </w:r>
    </w:p>
    <w:tbl>
      <w:tblPr>
        <w:tblStyle w:val="9"/>
        <w:tblW w:w="77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673"/>
        <w:gridCol w:w="2268"/>
        <w:gridCol w:w="1985"/>
        <w:gridCol w:w="1134"/>
        <w:gridCol w:w="1276"/>
      </w:tblGrid>
      <w:tr w14:paraId="591DD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2" w:hRule="atLeast"/>
          <w:jc w:val="center"/>
        </w:trPr>
        <w:tc>
          <w:tcPr>
            <w:tcW w:w="456" w:type="dxa"/>
            <w:vAlign w:val="center"/>
          </w:tcPr>
          <w:p w14:paraId="139618C0">
            <w:pPr>
              <w:widowControl w:val="0"/>
              <w:snapToGrid w:val="0"/>
              <w:spacing w:line="288" w:lineRule="auto"/>
              <w:jc w:val="center"/>
              <w:rPr>
                <w:rFonts w:cs="Times New Roman"/>
                <w:b/>
                <w:color w:val="000000"/>
                <w:kern w:val="2"/>
                <w:sz w:val="21"/>
                <w:szCs w:val="21"/>
              </w:rPr>
            </w:pPr>
            <w:r>
              <w:rPr>
                <w:rFonts w:cs="Times New Roman"/>
                <w:b/>
                <w:color w:val="000000"/>
                <w:kern w:val="2"/>
                <w:sz w:val="21"/>
                <w:szCs w:val="21"/>
              </w:rPr>
              <w:t>序号</w:t>
            </w:r>
          </w:p>
        </w:tc>
        <w:tc>
          <w:tcPr>
            <w:tcW w:w="673" w:type="dxa"/>
            <w:vAlign w:val="center"/>
          </w:tcPr>
          <w:p w14:paraId="379575CA">
            <w:pPr>
              <w:widowControl w:val="0"/>
              <w:snapToGrid w:val="0"/>
              <w:spacing w:line="288" w:lineRule="auto"/>
              <w:jc w:val="center"/>
              <w:rPr>
                <w:rFonts w:cs="Times New Roman"/>
                <w:b/>
                <w:color w:val="000000"/>
                <w:kern w:val="2"/>
                <w:sz w:val="21"/>
                <w:szCs w:val="21"/>
              </w:rPr>
            </w:pPr>
            <w:r>
              <w:rPr>
                <w:rFonts w:cs="Times New Roman"/>
                <w:b/>
                <w:color w:val="000000"/>
                <w:kern w:val="2"/>
                <w:sz w:val="21"/>
                <w:szCs w:val="21"/>
              </w:rPr>
              <w:t>单元名称</w:t>
            </w:r>
          </w:p>
        </w:tc>
        <w:tc>
          <w:tcPr>
            <w:tcW w:w="2268" w:type="dxa"/>
            <w:vAlign w:val="center"/>
          </w:tcPr>
          <w:p w14:paraId="6189E361">
            <w:pPr>
              <w:widowControl w:val="0"/>
              <w:snapToGrid w:val="0"/>
              <w:spacing w:line="288" w:lineRule="auto"/>
              <w:jc w:val="center"/>
              <w:rPr>
                <w:rFonts w:cs="Times New Roman"/>
                <w:b/>
                <w:color w:val="000000"/>
                <w:kern w:val="2"/>
                <w:sz w:val="21"/>
                <w:szCs w:val="21"/>
              </w:rPr>
            </w:pPr>
            <w:r>
              <w:rPr>
                <w:rFonts w:cs="Times New Roman"/>
                <w:b/>
                <w:color w:val="000000"/>
                <w:kern w:val="2"/>
                <w:sz w:val="21"/>
                <w:szCs w:val="21"/>
              </w:rPr>
              <w:t>知识目标</w:t>
            </w:r>
          </w:p>
        </w:tc>
        <w:tc>
          <w:tcPr>
            <w:tcW w:w="1985" w:type="dxa"/>
            <w:vAlign w:val="center"/>
          </w:tcPr>
          <w:p w14:paraId="44C8AE1C">
            <w:pPr>
              <w:widowControl w:val="0"/>
              <w:snapToGrid w:val="0"/>
              <w:spacing w:line="288" w:lineRule="auto"/>
              <w:jc w:val="center"/>
              <w:rPr>
                <w:rFonts w:cs="Times New Roman"/>
                <w:b/>
                <w:color w:val="000000"/>
                <w:kern w:val="2"/>
                <w:sz w:val="21"/>
                <w:szCs w:val="21"/>
              </w:rPr>
            </w:pPr>
            <w:r>
              <w:rPr>
                <w:rFonts w:hint="eastAsia" w:cs="Times New Roman"/>
                <w:b/>
                <w:color w:val="000000"/>
                <w:kern w:val="2"/>
                <w:sz w:val="21"/>
                <w:szCs w:val="21"/>
              </w:rPr>
              <w:t>技能</w:t>
            </w:r>
            <w:r>
              <w:rPr>
                <w:rFonts w:cs="Times New Roman"/>
                <w:b/>
                <w:color w:val="000000"/>
                <w:kern w:val="2"/>
                <w:sz w:val="21"/>
                <w:szCs w:val="21"/>
              </w:rPr>
              <w:t>目标</w:t>
            </w:r>
          </w:p>
        </w:tc>
        <w:tc>
          <w:tcPr>
            <w:tcW w:w="1134" w:type="dxa"/>
            <w:vAlign w:val="center"/>
          </w:tcPr>
          <w:p w14:paraId="655E7F0E">
            <w:pPr>
              <w:widowControl w:val="0"/>
              <w:snapToGrid w:val="0"/>
              <w:spacing w:line="288" w:lineRule="auto"/>
              <w:jc w:val="center"/>
              <w:rPr>
                <w:rFonts w:cs="Times New Roman"/>
                <w:b/>
                <w:color w:val="000000"/>
                <w:kern w:val="2"/>
                <w:sz w:val="21"/>
                <w:szCs w:val="21"/>
              </w:rPr>
            </w:pPr>
            <w:r>
              <w:rPr>
                <w:rFonts w:hint="eastAsia" w:cs="Times New Roman"/>
                <w:b/>
                <w:color w:val="000000"/>
                <w:kern w:val="2"/>
                <w:sz w:val="21"/>
                <w:szCs w:val="21"/>
              </w:rPr>
              <w:t>素养</w:t>
            </w:r>
            <w:r>
              <w:rPr>
                <w:rFonts w:cs="Times New Roman"/>
                <w:b/>
                <w:color w:val="000000"/>
                <w:kern w:val="2"/>
                <w:sz w:val="21"/>
                <w:szCs w:val="21"/>
              </w:rPr>
              <w:t>目标</w:t>
            </w:r>
          </w:p>
        </w:tc>
        <w:tc>
          <w:tcPr>
            <w:tcW w:w="1276" w:type="dxa"/>
          </w:tcPr>
          <w:p w14:paraId="3A4A541A">
            <w:pPr>
              <w:widowControl w:val="0"/>
              <w:snapToGrid w:val="0"/>
              <w:spacing w:line="288" w:lineRule="auto"/>
              <w:jc w:val="center"/>
              <w:rPr>
                <w:rFonts w:cs="Times New Roman"/>
                <w:b/>
                <w:color w:val="000000"/>
                <w:kern w:val="2"/>
                <w:sz w:val="21"/>
                <w:szCs w:val="21"/>
              </w:rPr>
            </w:pPr>
          </w:p>
          <w:p w14:paraId="135DE31E">
            <w:pPr>
              <w:widowControl w:val="0"/>
              <w:snapToGrid w:val="0"/>
              <w:spacing w:line="288" w:lineRule="auto"/>
              <w:jc w:val="center"/>
              <w:rPr>
                <w:rFonts w:cs="Times New Roman"/>
                <w:b/>
                <w:color w:val="000000"/>
                <w:kern w:val="2"/>
                <w:sz w:val="21"/>
                <w:szCs w:val="21"/>
              </w:rPr>
            </w:pPr>
            <w:r>
              <w:rPr>
                <w:rFonts w:cs="Times New Roman"/>
                <w:b/>
                <w:color w:val="000000"/>
                <w:kern w:val="2"/>
                <w:sz w:val="21"/>
                <w:szCs w:val="21"/>
              </w:rPr>
              <w:t>教学难点</w:t>
            </w:r>
          </w:p>
        </w:tc>
      </w:tr>
      <w:tr w14:paraId="095D3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9" w:hRule="atLeast"/>
          <w:jc w:val="center"/>
        </w:trPr>
        <w:tc>
          <w:tcPr>
            <w:tcW w:w="456" w:type="dxa"/>
            <w:vAlign w:val="center"/>
          </w:tcPr>
          <w:p w14:paraId="027DDD22">
            <w:pPr>
              <w:widowControl w:val="0"/>
              <w:snapToGrid w:val="0"/>
              <w:spacing w:line="288" w:lineRule="auto"/>
              <w:jc w:val="center"/>
              <w:rPr>
                <w:rFonts w:cs="Times New Roman"/>
                <w:bCs/>
                <w:color w:val="000000"/>
                <w:kern w:val="2"/>
                <w:sz w:val="21"/>
                <w:szCs w:val="21"/>
              </w:rPr>
            </w:pPr>
            <w:r>
              <w:rPr>
                <w:rFonts w:cs="Times New Roman"/>
                <w:bCs/>
                <w:color w:val="000000"/>
                <w:kern w:val="2"/>
                <w:sz w:val="21"/>
                <w:szCs w:val="21"/>
              </w:rPr>
              <w:t>1</w:t>
            </w:r>
          </w:p>
        </w:tc>
        <w:tc>
          <w:tcPr>
            <w:tcW w:w="673" w:type="dxa"/>
            <w:vAlign w:val="center"/>
          </w:tcPr>
          <w:p w14:paraId="00DA27C7">
            <w:pPr>
              <w:widowControl w:val="0"/>
              <w:snapToGrid w:val="0"/>
              <w:spacing w:line="288" w:lineRule="auto"/>
              <w:jc w:val="center"/>
              <w:rPr>
                <w:rFonts w:cs="Times New Roman"/>
                <w:bCs/>
                <w:color w:val="000000"/>
                <w:kern w:val="2"/>
                <w:sz w:val="21"/>
                <w:szCs w:val="21"/>
              </w:rPr>
            </w:pPr>
            <w:r>
              <w:rPr>
                <w:rFonts w:cs="Times New Roman"/>
                <w:bCs/>
                <w:color w:val="000000"/>
                <w:kern w:val="2"/>
                <w:sz w:val="21"/>
                <w:szCs w:val="21"/>
              </w:rPr>
              <w:t>绪论</w:t>
            </w:r>
          </w:p>
        </w:tc>
        <w:tc>
          <w:tcPr>
            <w:tcW w:w="2268" w:type="dxa"/>
          </w:tcPr>
          <w:p w14:paraId="569D9430">
            <w:pPr>
              <w:widowControl w:val="0"/>
              <w:snapToGrid w:val="0"/>
              <w:spacing w:line="288" w:lineRule="auto"/>
              <w:jc w:val="both"/>
              <w:rPr>
                <w:rFonts w:cs="Times New Roman"/>
                <w:bCs/>
                <w:color w:val="000000"/>
                <w:kern w:val="2"/>
                <w:sz w:val="21"/>
                <w:szCs w:val="21"/>
              </w:rPr>
            </w:pPr>
            <w:r>
              <w:rPr>
                <w:rFonts w:cs="Times New Roman"/>
                <w:bCs/>
                <w:color w:val="000000"/>
                <w:kern w:val="2"/>
                <w:sz w:val="21"/>
                <w:szCs w:val="21"/>
              </w:rPr>
              <w:t>1.</w:t>
            </w:r>
            <w:r>
              <w:rPr>
                <w:rFonts w:hint="eastAsia" w:cs="Times New Roman"/>
                <w:bCs/>
                <w:color w:val="000000"/>
                <w:kern w:val="2"/>
                <w:sz w:val="21"/>
                <w:szCs w:val="21"/>
              </w:rPr>
              <w:t>知道</w:t>
            </w:r>
            <w:r>
              <w:rPr>
                <w:rFonts w:cs="Times New Roman"/>
                <w:bCs/>
                <w:color w:val="000000"/>
                <w:kern w:val="2"/>
                <w:sz w:val="21"/>
                <w:szCs w:val="21"/>
              </w:rPr>
              <w:t>：管理、管理学、护理管理的相关概念、特点及特征。</w:t>
            </w:r>
          </w:p>
          <w:p w14:paraId="33BE957D">
            <w:pPr>
              <w:widowControl w:val="0"/>
              <w:snapToGrid w:val="0"/>
              <w:spacing w:line="288" w:lineRule="auto"/>
              <w:jc w:val="both"/>
              <w:rPr>
                <w:rFonts w:cs="Times New Roman"/>
                <w:bCs/>
                <w:color w:val="000000"/>
                <w:kern w:val="2"/>
                <w:sz w:val="21"/>
                <w:szCs w:val="21"/>
              </w:rPr>
            </w:pPr>
            <w:r>
              <w:rPr>
                <w:rFonts w:cs="Times New Roman"/>
                <w:bCs/>
                <w:color w:val="000000"/>
                <w:kern w:val="2"/>
                <w:sz w:val="21"/>
                <w:szCs w:val="21"/>
              </w:rPr>
              <w:t>2.理解：管理的内涵及基本特征、护理管理的研究内容、不同理论模式下护理管理者角色</w:t>
            </w:r>
            <w:r>
              <w:rPr>
                <w:rFonts w:hint="eastAsia" w:cs="Times New Roman"/>
                <w:bCs/>
                <w:color w:val="000000"/>
                <w:kern w:val="2"/>
                <w:sz w:val="21"/>
                <w:szCs w:val="21"/>
              </w:rPr>
              <w:t>。</w:t>
            </w:r>
          </w:p>
        </w:tc>
        <w:tc>
          <w:tcPr>
            <w:tcW w:w="1985" w:type="dxa"/>
          </w:tcPr>
          <w:p w14:paraId="31453CD0">
            <w:pPr>
              <w:widowControl w:val="0"/>
              <w:snapToGrid w:val="0"/>
              <w:spacing w:line="288" w:lineRule="auto"/>
              <w:jc w:val="both"/>
              <w:rPr>
                <w:rFonts w:cs="Times New Roman"/>
                <w:bCs/>
                <w:color w:val="000000"/>
                <w:kern w:val="2"/>
                <w:sz w:val="21"/>
                <w:szCs w:val="21"/>
              </w:rPr>
            </w:pPr>
            <w:r>
              <w:rPr>
                <w:rFonts w:cs="Times New Roman"/>
                <w:bCs/>
                <w:color w:val="000000"/>
                <w:kern w:val="2"/>
                <w:sz w:val="21"/>
                <w:szCs w:val="21"/>
              </w:rPr>
              <w:t>能根据护理管理职能，结合临床实际，对护理管理者进行分析和评价</w:t>
            </w:r>
          </w:p>
          <w:p w14:paraId="12C7A300">
            <w:pPr>
              <w:widowControl w:val="0"/>
              <w:snapToGrid w:val="0"/>
              <w:spacing w:line="288" w:lineRule="auto"/>
              <w:jc w:val="both"/>
              <w:rPr>
                <w:rFonts w:cs="Times New Roman"/>
                <w:bCs/>
                <w:color w:val="000000"/>
                <w:kern w:val="2"/>
                <w:sz w:val="21"/>
                <w:szCs w:val="21"/>
              </w:rPr>
            </w:pPr>
            <w:r>
              <w:rPr>
                <w:rFonts w:cs="Times New Roman"/>
                <w:bCs/>
                <w:color w:val="000000"/>
                <w:kern w:val="2"/>
                <w:sz w:val="21"/>
                <w:szCs w:val="21"/>
              </w:rPr>
              <w:t>能结合临床工作实际，分析影响护理管理发展的因素。</w:t>
            </w:r>
          </w:p>
          <w:p w14:paraId="0A52FC2C">
            <w:pPr>
              <w:widowControl w:val="0"/>
              <w:snapToGrid w:val="0"/>
              <w:spacing w:line="288" w:lineRule="auto"/>
              <w:jc w:val="both"/>
              <w:rPr>
                <w:rFonts w:cs="Times New Roman"/>
                <w:b/>
                <w:color w:val="000000"/>
                <w:kern w:val="2"/>
                <w:sz w:val="21"/>
                <w:szCs w:val="21"/>
              </w:rPr>
            </w:pPr>
          </w:p>
        </w:tc>
        <w:tc>
          <w:tcPr>
            <w:tcW w:w="1134" w:type="dxa"/>
          </w:tcPr>
          <w:p w14:paraId="31D8E916">
            <w:pPr>
              <w:widowControl w:val="0"/>
              <w:snapToGrid w:val="0"/>
              <w:spacing w:line="288" w:lineRule="auto"/>
              <w:jc w:val="both"/>
              <w:rPr>
                <w:rFonts w:cs="Times New Roman"/>
                <w:b/>
                <w:color w:val="000000"/>
                <w:kern w:val="2"/>
                <w:sz w:val="21"/>
                <w:szCs w:val="21"/>
              </w:rPr>
            </w:pPr>
            <w:r>
              <w:rPr>
                <w:rFonts w:cs="Times New Roman"/>
                <w:bCs/>
                <w:color w:val="000000"/>
                <w:kern w:val="2"/>
                <w:sz w:val="21"/>
                <w:szCs w:val="21"/>
              </w:rPr>
              <w:t>具有运用运用所学知识解决实际问题的意识</w:t>
            </w:r>
          </w:p>
        </w:tc>
        <w:tc>
          <w:tcPr>
            <w:tcW w:w="1276" w:type="dxa"/>
          </w:tcPr>
          <w:p w14:paraId="427F5F10">
            <w:pPr>
              <w:widowControl w:val="0"/>
              <w:jc w:val="both"/>
              <w:rPr>
                <w:rFonts w:cs="Times New Roman"/>
                <w:color w:val="000000"/>
                <w:kern w:val="2"/>
                <w:sz w:val="21"/>
                <w:szCs w:val="21"/>
              </w:rPr>
            </w:pPr>
            <w:r>
              <w:rPr>
                <w:rFonts w:cs="Times New Roman"/>
                <w:bCs/>
                <w:color w:val="000000"/>
                <w:kern w:val="2"/>
                <w:sz w:val="21"/>
                <w:szCs w:val="21"/>
              </w:rPr>
              <w:t>护理管理的管理方法</w:t>
            </w:r>
          </w:p>
        </w:tc>
      </w:tr>
      <w:tr w14:paraId="1DA59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456" w:type="dxa"/>
            <w:vAlign w:val="center"/>
          </w:tcPr>
          <w:p w14:paraId="1428FA08">
            <w:pPr>
              <w:widowControl w:val="0"/>
              <w:snapToGrid w:val="0"/>
              <w:spacing w:line="288" w:lineRule="auto"/>
              <w:jc w:val="center"/>
              <w:rPr>
                <w:rFonts w:cs="Times New Roman"/>
                <w:bCs/>
                <w:color w:val="000000"/>
                <w:kern w:val="2"/>
                <w:sz w:val="21"/>
                <w:szCs w:val="21"/>
              </w:rPr>
            </w:pPr>
            <w:r>
              <w:rPr>
                <w:rFonts w:cs="Times New Roman"/>
                <w:bCs/>
                <w:color w:val="000000"/>
                <w:kern w:val="2"/>
                <w:sz w:val="21"/>
                <w:szCs w:val="21"/>
              </w:rPr>
              <w:t>2</w:t>
            </w:r>
          </w:p>
        </w:tc>
        <w:tc>
          <w:tcPr>
            <w:tcW w:w="673" w:type="dxa"/>
            <w:vAlign w:val="center"/>
          </w:tcPr>
          <w:p w14:paraId="2E4CBE82">
            <w:pPr>
              <w:widowControl w:val="0"/>
              <w:snapToGrid w:val="0"/>
              <w:spacing w:line="288" w:lineRule="auto"/>
              <w:jc w:val="center"/>
              <w:rPr>
                <w:rFonts w:cs="Times New Roman"/>
                <w:bCs/>
                <w:color w:val="000000"/>
                <w:kern w:val="2"/>
                <w:sz w:val="21"/>
                <w:szCs w:val="21"/>
              </w:rPr>
            </w:pPr>
            <w:r>
              <w:rPr>
                <w:rFonts w:cs="Times New Roman"/>
                <w:bCs/>
                <w:color w:val="000000"/>
                <w:kern w:val="2"/>
                <w:sz w:val="21"/>
                <w:szCs w:val="21"/>
              </w:rPr>
              <w:t>管理理论和原理</w:t>
            </w:r>
          </w:p>
        </w:tc>
        <w:tc>
          <w:tcPr>
            <w:tcW w:w="2268" w:type="dxa"/>
          </w:tcPr>
          <w:p w14:paraId="00023DDA">
            <w:pPr>
              <w:widowControl w:val="0"/>
              <w:snapToGrid w:val="0"/>
              <w:spacing w:line="288" w:lineRule="auto"/>
              <w:jc w:val="both"/>
              <w:rPr>
                <w:rFonts w:cs="Times New Roman"/>
                <w:bCs/>
                <w:color w:val="000000"/>
                <w:kern w:val="2"/>
                <w:sz w:val="21"/>
                <w:szCs w:val="21"/>
              </w:rPr>
            </w:pPr>
            <w:r>
              <w:rPr>
                <w:rFonts w:cs="Times New Roman"/>
                <w:bCs/>
                <w:color w:val="000000"/>
                <w:kern w:val="2"/>
                <w:sz w:val="21"/>
                <w:szCs w:val="21"/>
              </w:rPr>
              <w:t>1.</w:t>
            </w:r>
            <w:r>
              <w:rPr>
                <w:rFonts w:hint="eastAsia" w:cs="Times New Roman"/>
                <w:bCs/>
                <w:color w:val="000000"/>
                <w:kern w:val="2"/>
                <w:sz w:val="21"/>
                <w:szCs w:val="21"/>
              </w:rPr>
              <w:t>知道</w:t>
            </w:r>
            <w:r>
              <w:rPr>
                <w:rFonts w:cs="Times New Roman"/>
                <w:bCs/>
                <w:color w:val="000000"/>
                <w:kern w:val="2"/>
                <w:sz w:val="21"/>
                <w:szCs w:val="21"/>
              </w:rPr>
              <w:t>：科学管理理论、管理过程理论、人际关系理论的主要内容；系统原理和人本原理的主要内容</w:t>
            </w:r>
            <w:r>
              <w:rPr>
                <w:rFonts w:hint="eastAsia" w:cs="Times New Roman"/>
                <w:bCs/>
                <w:color w:val="000000"/>
                <w:kern w:val="2"/>
                <w:sz w:val="21"/>
                <w:szCs w:val="21"/>
              </w:rPr>
              <w:t>。</w:t>
            </w:r>
          </w:p>
          <w:p w14:paraId="04EB1D7F">
            <w:pPr>
              <w:widowControl w:val="0"/>
              <w:snapToGrid w:val="0"/>
              <w:spacing w:line="288" w:lineRule="auto"/>
              <w:jc w:val="both"/>
              <w:rPr>
                <w:rFonts w:cs="Times New Roman"/>
                <w:bCs/>
                <w:color w:val="000000"/>
                <w:kern w:val="2"/>
                <w:sz w:val="21"/>
                <w:szCs w:val="21"/>
              </w:rPr>
            </w:pPr>
            <w:r>
              <w:rPr>
                <w:rFonts w:cs="Times New Roman"/>
                <w:bCs/>
                <w:color w:val="000000"/>
                <w:kern w:val="2"/>
                <w:sz w:val="21"/>
                <w:szCs w:val="21"/>
              </w:rPr>
              <w:t>2.理解：古典管理理论、行为科学理论、现代管理理论的主要代表人物及主要贡献。现代管理理论的主要学派及主要内容。</w:t>
            </w:r>
          </w:p>
          <w:p w14:paraId="04899EBB">
            <w:pPr>
              <w:widowControl w:val="0"/>
              <w:snapToGrid w:val="0"/>
              <w:spacing w:line="288" w:lineRule="auto"/>
              <w:jc w:val="both"/>
              <w:rPr>
                <w:rFonts w:cs="Times New Roman"/>
                <w:bCs/>
                <w:color w:val="000000"/>
                <w:kern w:val="2"/>
                <w:sz w:val="21"/>
                <w:szCs w:val="21"/>
              </w:rPr>
            </w:pPr>
          </w:p>
        </w:tc>
        <w:tc>
          <w:tcPr>
            <w:tcW w:w="1985" w:type="dxa"/>
          </w:tcPr>
          <w:p w14:paraId="0E80D4A7">
            <w:pPr>
              <w:widowControl w:val="0"/>
              <w:snapToGrid w:val="0"/>
              <w:spacing w:line="288" w:lineRule="auto"/>
              <w:jc w:val="both"/>
              <w:rPr>
                <w:rFonts w:cs="Times New Roman"/>
                <w:b/>
                <w:color w:val="000000"/>
                <w:kern w:val="2"/>
                <w:sz w:val="21"/>
                <w:szCs w:val="21"/>
              </w:rPr>
            </w:pPr>
            <w:r>
              <w:rPr>
                <w:rFonts w:cs="Times New Roman"/>
                <w:bCs/>
                <w:color w:val="000000"/>
                <w:kern w:val="2"/>
                <w:sz w:val="21"/>
                <w:szCs w:val="21"/>
              </w:rPr>
              <w:t>能结合护理管理实践，分析系统原理、人本原理、动态原理及效益原理是的主要观点。</w:t>
            </w:r>
          </w:p>
        </w:tc>
        <w:tc>
          <w:tcPr>
            <w:tcW w:w="1134" w:type="dxa"/>
          </w:tcPr>
          <w:p w14:paraId="3E77E923">
            <w:pPr>
              <w:widowControl w:val="0"/>
              <w:snapToGrid w:val="0"/>
              <w:spacing w:line="288" w:lineRule="auto"/>
              <w:jc w:val="both"/>
              <w:rPr>
                <w:rFonts w:cs="Times New Roman"/>
                <w:b/>
                <w:color w:val="000000"/>
                <w:kern w:val="2"/>
                <w:sz w:val="21"/>
                <w:szCs w:val="21"/>
              </w:rPr>
            </w:pPr>
            <w:r>
              <w:rPr>
                <w:rFonts w:cs="Times New Roman"/>
                <w:bCs/>
                <w:color w:val="000000"/>
                <w:kern w:val="2"/>
                <w:sz w:val="21"/>
                <w:szCs w:val="21"/>
              </w:rPr>
              <w:t>具有运用系统原理、人本原理处理护患关系的能力。</w:t>
            </w:r>
          </w:p>
        </w:tc>
        <w:tc>
          <w:tcPr>
            <w:tcW w:w="1276" w:type="dxa"/>
          </w:tcPr>
          <w:p w14:paraId="0B10C74F">
            <w:pPr>
              <w:widowControl w:val="0"/>
              <w:jc w:val="both"/>
              <w:rPr>
                <w:rFonts w:cs="Times New Roman"/>
                <w:color w:val="000000"/>
                <w:kern w:val="2"/>
                <w:sz w:val="21"/>
                <w:szCs w:val="21"/>
              </w:rPr>
            </w:pPr>
            <w:r>
              <w:rPr>
                <w:rFonts w:cs="Times New Roman"/>
                <w:bCs/>
                <w:color w:val="000000"/>
                <w:kern w:val="2"/>
                <w:sz w:val="21"/>
                <w:szCs w:val="21"/>
              </w:rPr>
              <w:t>科学管理理论、管理过程理论、人际关系理论的主要内容</w:t>
            </w:r>
          </w:p>
        </w:tc>
      </w:tr>
      <w:tr w14:paraId="4971B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atLeast"/>
          <w:jc w:val="center"/>
        </w:trPr>
        <w:tc>
          <w:tcPr>
            <w:tcW w:w="456" w:type="dxa"/>
            <w:vAlign w:val="center"/>
          </w:tcPr>
          <w:p w14:paraId="7DF946C7">
            <w:pPr>
              <w:widowControl w:val="0"/>
              <w:snapToGrid w:val="0"/>
              <w:spacing w:line="288" w:lineRule="auto"/>
              <w:jc w:val="center"/>
              <w:rPr>
                <w:rFonts w:cs="Times New Roman"/>
                <w:bCs/>
                <w:color w:val="000000"/>
                <w:kern w:val="2"/>
                <w:sz w:val="21"/>
                <w:szCs w:val="21"/>
              </w:rPr>
            </w:pPr>
            <w:r>
              <w:rPr>
                <w:rFonts w:cs="Times New Roman"/>
                <w:bCs/>
                <w:color w:val="000000"/>
                <w:kern w:val="2"/>
                <w:sz w:val="21"/>
                <w:szCs w:val="21"/>
              </w:rPr>
              <w:t>3</w:t>
            </w:r>
          </w:p>
        </w:tc>
        <w:tc>
          <w:tcPr>
            <w:tcW w:w="673" w:type="dxa"/>
            <w:vAlign w:val="center"/>
          </w:tcPr>
          <w:p w14:paraId="241B6E1F">
            <w:pPr>
              <w:widowControl w:val="0"/>
              <w:snapToGrid w:val="0"/>
              <w:spacing w:line="288" w:lineRule="auto"/>
              <w:jc w:val="center"/>
              <w:rPr>
                <w:rFonts w:cs="Times New Roman"/>
                <w:bCs/>
                <w:color w:val="000000"/>
                <w:kern w:val="2"/>
                <w:sz w:val="21"/>
                <w:szCs w:val="21"/>
              </w:rPr>
            </w:pPr>
            <w:r>
              <w:rPr>
                <w:rFonts w:cs="Times New Roman"/>
                <w:bCs/>
                <w:color w:val="000000"/>
                <w:kern w:val="2"/>
                <w:sz w:val="21"/>
                <w:szCs w:val="21"/>
              </w:rPr>
              <w:t>护理管理环境</w:t>
            </w:r>
          </w:p>
        </w:tc>
        <w:tc>
          <w:tcPr>
            <w:tcW w:w="2268" w:type="dxa"/>
          </w:tcPr>
          <w:p w14:paraId="1A2EEE4E">
            <w:pPr>
              <w:widowControl w:val="0"/>
              <w:snapToGrid w:val="0"/>
              <w:spacing w:line="288" w:lineRule="auto"/>
              <w:jc w:val="both"/>
              <w:rPr>
                <w:rFonts w:cs="Times New Roman"/>
                <w:bCs/>
                <w:color w:val="000000"/>
                <w:kern w:val="2"/>
                <w:sz w:val="21"/>
                <w:szCs w:val="21"/>
              </w:rPr>
            </w:pPr>
            <w:r>
              <w:rPr>
                <w:rFonts w:cs="Times New Roman"/>
                <w:bCs/>
                <w:color w:val="000000"/>
                <w:kern w:val="2"/>
                <w:sz w:val="21"/>
                <w:szCs w:val="21"/>
              </w:rPr>
              <w:t>1.</w:t>
            </w:r>
            <w:r>
              <w:rPr>
                <w:rFonts w:hint="eastAsia" w:cs="Times New Roman"/>
                <w:bCs/>
                <w:color w:val="000000"/>
                <w:kern w:val="2"/>
                <w:sz w:val="21"/>
                <w:szCs w:val="21"/>
              </w:rPr>
              <w:t>知道</w:t>
            </w:r>
            <w:r>
              <w:rPr>
                <w:rFonts w:cs="Times New Roman"/>
                <w:bCs/>
                <w:color w:val="000000"/>
                <w:kern w:val="2"/>
                <w:sz w:val="21"/>
                <w:szCs w:val="21"/>
              </w:rPr>
              <w:t>：护理管理环境的概念及内涵、组织文化的概念、管理环境分类及特点。</w:t>
            </w:r>
          </w:p>
          <w:p w14:paraId="595AD09D">
            <w:pPr>
              <w:widowControl w:val="0"/>
              <w:snapToGrid w:val="0"/>
              <w:spacing w:line="288" w:lineRule="auto"/>
              <w:jc w:val="both"/>
              <w:rPr>
                <w:rFonts w:cs="Times New Roman"/>
                <w:bCs/>
                <w:color w:val="000000"/>
                <w:kern w:val="2"/>
                <w:sz w:val="21"/>
                <w:szCs w:val="21"/>
              </w:rPr>
            </w:pPr>
            <w:r>
              <w:rPr>
                <w:rFonts w:cs="Times New Roman"/>
                <w:bCs/>
                <w:color w:val="000000"/>
                <w:kern w:val="2"/>
                <w:sz w:val="21"/>
                <w:szCs w:val="21"/>
              </w:rPr>
              <w:t>2.理解：管理环境与组织的相互作用。</w:t>
            </w:r>
          </w:p>
        </w:tc>
        <w:tc>
          <w:tcPr>
            <w:tcW w:w="1985" w:type="dxa"/>
          </w:tcPr>
          <w:p w14:paraId="070B2036">
            <w:pPr>
              <w:widowControl w:val="0"/>
              <w:snapToGrid w:val="0"/>
              <w:spacing w:line="288" w:lineRule="auto"/>
              <w:jc w:val="both"/>
              <w:rPr>
                <w:rFonts w:cs="Times New Roman"/>
                <w:bCs/>
                <w:color w:val="000000"/>
                <w:kern w:val="2"/>
                <w:sz w:val="21"/>
                <w:szCs w:val="21"/>
              </w:rPr>
            </w:pPr>
            <w:r>
              <w:rPr>
                <w:rFonts w:cs="Times New Roman"/>
                <w:bCs/>
                <w:color w:val="000000"/>
                <w:kern w:val="2"/>
                <w:sz w:val="21"/>
                <w:szCs w:val="21"/>
              </w:rPr>
              <w:t>能结合社会现状，分析护理需求，对护理经济环境进行管理。</w:t>
            </w:r>
          </w:p>
          <w:p w14:paraId="0EA78052">
            <w:pPr>
              <w:widowControl w:val="0"/>
              <w:snapToGrid w:val="0"/>
              <w:spacing w:line="288" w:lineRule="auto"/>
              <w:jc w:val="both"/>
              <w:rPr>
                <w:rFonts w:cs="Times New Roman"/>
                <w:bCs/>
                <w:color w:val="000000"/>
                <w:kern w:val="2"/>
                <w:sz w:val="21"/>
                <w:szCs w:val="21"/>
              </w:rPr>
            </w:pPr>
            <w:r>
              <w:rPr>
                <w:rFonts w:cs="Times New Roman"/>
                <w:bCs/>
                <w:color w:val="000000"/>
                <w:kern w:val="2"/>
                <w:sz w:val="21"/>
                <w:szCs w:val="21"/>
              </w:rPr>
              <w:t>能结合临床实际，举例说明护理管理中的任务管理环境。</w:t>
            </w:r>
          </w:p>
          <w:p w14:paraId="0F9B257C">
            <w:pPr>
              <w:widowControl w:val="0"/>
              <w:snapToGrid w:val="0"/>
              <w:spacing w:line="288" w:lineRule="auto"/>
              <w:jc w:val="both"/>
              <w:rPr>
                <w:rFonts w:cs="Times New Roman"/>
                <w:b/>
                <w:color w:val="000000"/>
                <w:kern w:val="2"/>
                <w:sz w:val="21"/>
                <w:szCs w:val="21"/>
              </w:rPr>
            </w:pPr>
          </w:p>
        </w:tc>
        <w:tc>
          <w:tcPr>
            <w:tcW w:w="1134" w:type="dxa"/>
          </w:tcPr>
          <w:p w14:paraId="61D27297">
            <w:pPr>
              <w:widowControl w:val="0"/>
              <w:snapToGrid w:val="0"/>
              <w:spacing w:line="288" w:lineRule="auto"/>
              <w:jc w:val="both"/>
              <w:rPr>
                <w:rFonts w:cs="Times New Roman"/>
                <w:b/>
                <w:color w:val="000000"/>
                <w:kern w:val="2"/>
                <w:sz w:val="21"/>
                <w:szCs w:val="21"/>
              </w:rPr>
            </w:pPr>
            <w:r>
              <w:rPr>
                <w:rFonts w:cs="Times New Roman"/>
                <w:bCs/>
                <w:color w:val="000000"/>
                <w:kern w:val="2"/>
                <w:sz w:val="21"/>
                <w:szCs w:val="21"/>
              </w:rPr>
              <w:t>具有运用运用所学知识解决实际问题的意识</w:t>
            </w:r>
          </w:p>
        </w:tc>
        <w:tc>
          <w:tcPr>
            <w:tcW w:w="1276" w:type="dxa"/>
          </w:tcPr>
          <w:p w14:paraId="60361C63">
            <w:pPr>
              <w:widowControl w:val="0"/>
              <w:jc w:val="both"/>
              <w:rPr>
                <w:rFonts w:cs="Times New Roman"/>
                <w:color w:val="000000"/>
                <w:kern w:val="2"/>
                <w:sz w:val="21"/>
                <w:szCs w:val="21"/>
              </w:rPr>
            </w:pPr>
            <w:r>
              <w:rPr>
                <w:rFonts w:cs="Times New Roman"/>
                <w:bCs/>
                <w:color w:val="000000"/>
                <w:kern w:val="2"/>
                <w:sz w:val="21"/>
                <w:szCs w:val="21"/>
              </w:rPr>
              <w:t>护理管理环境的概念及内涵</w:t>
            </w:r>
          </w:p>
        </w:tc>
      </w:tr>
      <w:tr w14:paraId="67D0B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9" w:hRule="atLeast"/>
          <w:jc w:val="center"/>
        </w:trPr>
        <w:tc>
          <w:tcPr>
            <w:tcW w:w="456" w:type="dxa"/>
            <w:vAlign w:val="center"/>
          </w:tcPr>
          <w:p w14:paraId="60B3BBDE">
            <w:pPr>
              <w:widowControl w:val="0"/>
              <w:snapToGrid w:val="0"/>
              <w:spacing w:line="288" w:lineRule="auto"/>
              <w:jc w:val="center"/>
              <w:rPr>
                <w:rFonts w:cs="Times New Roman"/>
                <w:bCs/>
                <w:color w:val="000000"/>
                <w:kern w:val="2"/>
                <w:sz w:val="21"/>
                <w:szCs w:val="21"/>
              </w:rPr>
            </w:pPr>
            <w:r>
              <w:rPr>
                <w:rFonts w:cs="Times New Roman"/>
                <w:bCs/>
                <w:color w:val="000000"/>
                <w:kern w:val="2"/>
                <w:sz w:val="21"/>
                <w:szCs w:val="21"/>
              </w:rPr>
              <w:t>4</w:t>
            </w:r>
          </w:p>
        </w:tc>
        <w:tc>
          <w:tcPr>
            <w:tcW w:w="673" w:type="dxa"/>
            <w:vAlign w:val="center"/>
          </w:tcPr>
          <w:p w14:paraId="6D8E9C28">
            <w:pPr>
              <w:widowControl w:val="0"/>
              <w:snapToGrid w:val="0"/>
              <w:spacing w:line="288" w:lineRule="auto"/>
              <w:jc w:val="center"/>
              <w:rPr>
                <w:rFonts w:cs="Times New Roman"/>
                <w:bCs/>
                <w:color w:val="000000"/>
                <w:kern w:val="2"/>
                <w:sz w:val="21"/>
                <w:szCs w:val="21"/>
              </w:rPr>
            </w:pPr>
            <w:r>
              <w:rPr>
                <w:rFonts w:cs="Times New Roman"/>
                <w:bCs/>
                <w:color w:val="000000"/>
                <w:kern w:val="2"/>
                <w:sz w:val="21"/>
                <w:szCs w:val="21"/>
              </w:rPr>
              <w:t>计划</w:t>
            </w:r>
          </w:p>
        </w:tc>
        <w:tc>
          <w:tcPr>
            <w:tcW w:w="2268" w:type="dxa"/>
          </w:tcPr>
          <w:p w14:paraId="7DAE0774">
            <w:pPr>
              <w:widowControl w:val="0"/>
              <w:snapToGrid w:val="0"/>
              <w:spacing w:line="288" w:lineRule="auto"/>
              <w:jc w:val="both"/>
              <w:rPr>
                <w:rFonts w:cs="Times New Roman"/>
                <w:bCs/>
                <w:color w:val="000000"/>
                <w:kern w:val="2"/>
                <w:sz w:val="21"/>
                <w:szCs w:val="21"/>
              </w:rPr>
            </w:pPr>
            <w:r>
              <w:rPr>
                <w:rFonts w:cs="Times New Roman"/>
                <w:bCs/>
                <w:color w:val="000000"/>
                <w:kern w:val="2"/>
                <w:sz w:val="21"/>
                <w:szCs w:val="21"/>
              </w:rPr>
              <w:t>1.</w:t>
            </w:r>
            <w:r>
              <w:rPr>
                <w:rFonts w:hint="eastAsia" w:cs="Times New Roman"/>
                <w:bCs/>
                <w:color w:val="000000"/>
                <w:kern w:val="2"/>
                <w:sz w:val="21"/>
                <w:szCs w:val="21"/>
              </w:rPr>
              <w:t>知道</w:t>
            </w:r>
            <w:r>
              <w:rPr>
                <w:rFonts w:cs="Times New Roman"/>
                <w:bCs/>
                <w:color w:val="000000"/>
                <w:kern w:val="2"/>
                <w:sz w:val="21"/>
                <w:szCs w:val="21"/>
              </w:rPr>
              <w:t>：计划的概念、作用、种类及形式。目标管理的概念、特点及过程。项目管理概念、要素及过程。时间管理的概念、作用及管理方法。</w:t>
            </w:r>
          </w:p>
          <w:p w14:paraId="22C3CFDD">
            <w:pPr>
              <w:widowControl w:val="0"/>
              <w:snapToGrid w:val="0"/>
              <w:spacing w:line="288" w:lineRule="auto"/>
              <w:jc w:val="both"/>
              <w:rPr>
                <w:rFonts w:cs="Times New Roman"/>
                <w:bCs/>
                <w:color w:val="000000"/>
                <w:kern w:val="2"/>
                <w:sz w:val="21"/>
                <w:szCs w:val="21"/>
              </w:rPr>
            </w:pPr>
            <w:r>
              <w:rPr>
                <w:rFonts w:cs="Times New Roman"/>
                <w:bCs/>
                <w:color w:val="000000"/>
                <w:kern w:val="2"/>
                <w:sz w:val="21"/>
                <w:szCs w:val="21"/>
              </w:rPr>
              <w:t>2.理解：计划在护理管理中的作用及意义。</w:t>
            </w:r>
          </w:p>
          <w:p w14:paraId="6D167B20">
            <w:pPr>
              <w:widowControl w:val="0"/>
              <w:snapToGrid w:val="0"/>
              <w:spacing w:line="288" w:lineRule="auto"/>
              <w:jc w:val="both"/>
              <w:rPr>
                <w:rFonts w:cs="Times New Roman"/>
                <w:bCs/>
                <w:color w:val="000000"/>
                <w:kern w:val="2"/>
                <w:sz w:val="21"/>
                <w:szCs w:val="21"/>
              </w:rPr>
            </w:pPr>
            <w:r>
              <w:rPr>
                <w:rFonts w:cs="Times New Roman"/>
                <w:bCs/>
                <w:color w:val="000000"/>
                <w:kern w:val="2"/>
                <w:sz w:val="21"/>
                <w:szCs w:val="21"/>
              </w:rPr>
              <w:t>目标管理与项目管理的异同。</w:t>
            </w:r>
          </w:p>
          <w:p w14:paraId="1A1F9410">
            <w:pPr>
              <w:widowControl w:val="0"/>
              <w:snapToGrid w:val="0"/>
              <w:spacing w:line="288" w:lineRule="auto"/>
              <w:jc w:val="both"/>
              <w:rPr>
                <w:rFonts w:cs="Times New Roman"/>
                <w:bCs/>
                <w:color w:val="000000"/>
                <w:kern w:val="2"/>
                <w:sz w:val="21"/>
                <w:szCs w:val="21"/>
              </w:rPr>
            </w:pPr>
          </w:p>
        </w:tc>
        <w:tc>
          <w:tcPr>
            <w:tcW w:w="1985" w:type="dxa"/>
          </w:tcPr>
          <w:p w14:paraId="0BE9F5AD">
            <w:pPr>
              <w:widowControl w:val="0"/>
              <w:snapToGrid w:val="0"/>
              <w:spacing w:line="288" w:lineRule="auto"/>
              <w:jc w:val="both"/>
              <w:rPr>
                <w:rFonts w:cs="Times New Roman"/>
                <w:bCs/>
                <w:color w:val="000000"/>
                <w:kern w:val="2"/>
                <w:sz w:val="21"/>
                <w:szCs w:val="21"/>
              </w:rPr>
            </w:pPr>
            <w:r>
              <w:rPr>
                <w:rFonts w:cs="Times New Roman"/>
                <w:bCs/>
                <w:color w:val="000000"/>
                <w:kern w:val="2"/>
                <w:sz w:val="21"/>
                <w:szCs w:val="21"/>
              </w:rPr>
              <w:t>能运用形成计划的基本步骤及方法，制定合理的护理工作计划。</w:t>
            </w:r>
          </w:p>
          <w:p w14:paraId="42E05B3B">
            <w:pPr>
              <w:widowControl w:val="0"/>
              <w:snapToGrid w:val="0"/>
              <w:spacing w:line="288" w:lineRule="auto"/>
              <w:jc w:val="both"/>
              <w:rPr>
                <w:rFonts w:cs="Times New Roman"/>
                <w:bCs/>
                <w:color w:val="000000"/>
                <w:kern w:val="2"/>
                <w:sz w:val="21"/>
                <w:szCs w:val="21"/>
              </w:rPr>
            </w:pPr>
            <w:r>
              <w:rPr>
                <w:rFonts w:cs="Times New Roman"/>
                <w:bCs/>
                <w:color w:val="000000"/>
                <w:kern w:val="2"/>
                <w:sz w:val="21"/>
                <w:szCs w:val="21"/>
              </w:rPr>
              <w:t>能运用时间管理方法，提升护理管理的有效性。</w:t>
            </w:r>
          </w:p>
          <w:p w14:paraId="09C43605">
            <w:pPr>
              <w:widowControl w:val="0"/>
              <w:snapToGrid w:val="0"/>
              <w:spacing w:line="288" w:lineRule="auto"/>
              <w:jc w:val="both"/>
              <w:rPr>
                <w:rFonts w:cs="Times New Roman"/>
                <w:b/>
                <w:color w:val="000000"/>
                <w:kern w:val="2"/>
                <w:sz w:val="21"/>
                <w:szCs w:val="21"/>
              </w:rPr>
            </w:pPr>
          </w:p>
        </w:tc>
        <w:tc>
          <w:tcPr>
            <w:tcW w:w="1134" w:type="dxa"/>
          </w:tcPr>
          <w:p w14:paraId="4D12D1B3">
            <w:pPr>
              <w:widowControl w:val="0"/>
              <w:snapToGrid w:val="0"/>
              <w:spacing w:line="288" w:lineRule="auto"/>
              <w:jc w:val="both"/>
              <w:rPr>
                <w:rFonts w:cs="Times New Roman"/>
                <w:b/>
                <w:color w:val="000000"/>
                <w:kern w:val="2"/>
                <w:sz w:val="21"/>
                <w:szCs w:val="21"/>
              </w:rPr>
            </w:pPr>
            <w:r>
              <w:rPr>
                <w:rFonts w:cs="Times New Roman"/>
                <w:bCs/>
                <w:color w:val="000000"/>
                <w:kern w:val="2"/>
                <w:sz w:val="21"/>
                <w:szCs w:val="21"/>
              </w:rPr>
              <w:t>具有结合临床护理工作实际,制定合理计划的能力。</w:t>
            </w:r>
          </w:p>
        </w:tc>
        <w:tc>
          <w:tcPr>
            <w:tcW w:w="1276" w:type="dxa"/>
          </w:tcPr>
          <w:p w14:paraId="14D9C720">
            <w:pPr>
              <w:widowControl w:val="0"/>
              <w:jc w:val="both"/>
              <w:rPr>
                <w:rFonts w:cs="Times New Roman"/>
                <w:color w:val="000000"/>
                <w:kern w:val="2"/>
                <w:sz w:val="21"/>
                <w:szCs w:val="21"/>
              </w:rPr>
            </w:pPr>
            <w:r>
              <w:rPr>
                <w:rFonts w:cs="Times New Roman"/>
                <w:bCs/>
                <w:color w:val="000000"/>
                <w:kern w:val="2"/>
                <w:sz w:val="21"/>
                <w:szCs w:val="21"/>
              </w:rPr>
              <w:t>计划的概念、作用、种类及形式</w:t>
            </w:r>
          </w:p>
        </w:tc>
      </w:tr>
      <w:tr w14:paraId="50DF4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9" w:hRule="atLeast"/>
          <w:jc w:val="center"/>
        </w:trPr>
        <w:tc>
          <w:tcPr>
            <w:tcW w:w="456" w:type="dxa"/>
            <w:vAlign w:val="center"/>
          </w:tcPr>
          <w:p w14:paraId="081F6B0A">
            <w:pPr>
              <w:widowControl w:val="0"/>
              <w:snapToGrid w:val="0"/>
              <w:spacing w:line="288" w:lineRule="auto"/>
              <w:jc w:val="center"/>
              <w:rPr>
                <w:rFonts w:cs="Times New Roman"/>
                <w:bCs/>
                <w:color w:val="000000"/>
                <w:kern w:val="2"/>
                <w:sz w:val="21"/>
                <w:szCs w:val="21"/>
              </w:rPr>
            </w:pPr>
            <w:r>
              <w:rPr>
                <w:rFonts w:cs="Times New Roman"/>
                <w:bCs/>
                <w:color w:val="000000"/>
                <w:kern w:val="2"/>
                <w:sz w:val="21"/>
                <w:szCs w:val="21"/>
              </w:rPr>
              <w:t>5</w:t>
            </w:r>
          </w:p>
        </w:tc>
        <w:tc>
          <w:tcPr>
            <w:tcW w:w="673" w:type="dxa"/>
            <w:vAlign w:val="center"/>
          </w:tcPr>
          <w:p w14:paraId="6B143D48">
            <w:pPr>
              <w:widowControl w:val="0"/>
              <w:snapToGrid w:val="0"/>
              <w:spacing w:line="288" w:lineRule="auto"/>
              <w:jc w:val="center"/>
              <w:rPr>
                <w:rFonts w:cs="Times New Roman"/>
                <w:bCs/>
                <w:color w:val="000000"/>
                <w:kern w:val="2"/>
                <w:sz w:val="21"/>
                <w:szCs w:val="21"/>
              </w:rPr>
            </w:pPr>
            <w:r>
              <w:rPr>
                <w:rFonts w:cs="Times New Roman"/>
                <w:bCs/>
                <w:color w:val="000000"/>
                <w:kern w:val="2"/>
                <w:sz w:val="21"/>
                <w:szCs w:val="21"/>
              </w:rPr>
              <w:t>组织</w:t>
            </w:r>
          </w:p>
        </w:tc>
        <w:tc>
          <w:tcPr>
            <w:tcW w:w="2268" w:type="dxa"/>
          </w:tcPr>
          <w:p w14:paraId="045E6E59">
            <w:pPr>
              <w:widowControl w:val="0"/>
              <w:snapToGrid w:val="0"/>
              <w:spacing w:line="288" w:lineRule="auto"/>
              <w:jc w:val="both"/>
              <w:rPr>
                <w:rFonts w:cs="Times New Roman"/>
                <w:bCs/>
                <w:color w:val="000000"/>
                <w:kern w:val="2"/>
                <w:sz w:val="21"/>
                <w:szCs w:val="21"/>
              </w:rPr>
            </w:pPr>
            <w:r>
              <w:rPr>
                <w:rFonts w:cs="Times New Roman"/>
                <w:bCs/>
                <w:color w:val="000000"/>
                <w:kern w:val="2"/>
                <w:sz w:val="21"/>
                <w:szCs w:val="21"/>
              </w:rPr>
              <w:t>1.</w:t>
            </w:r>
            <w:r>
              <w:rPr>
                <w:rFonts w:hint="eastAsia" w:cs="Times New Roman"/>
                <w:bCs/>
                <w:color w:val="000000"/>
                <w:kern w:val="2"/>
                <w:sz w:val="21"/>
                <w:szCs w:val="21"/>
              </w:rPr>
              <w:t>知道</w:t>
            </w:r>
            <w:r>
              <w:rPr>
                <w:rFonts w:cs="Times New Roman"/>
                <w:bCs/>
                <w:color w:val="000000"/>
                <w:kern w:val="2"/>
                <w:sz w:val="21"/>
                <w:szCs w:val="21"/>
              </w:rPr>
              <w:t>：组织的概念及含义、组织结构的基本类型及有优缺点、组织设计的原则、组织变革的概念及内容</w:t>
            </w:r>
            <w:r>
              <w:rPr>
                <w:rFonts w:hint="eastAsia" w:cs="Times New Roman"/>
                <w:bCs/>
                <w:color w:val="000000"/>
                <w:kern w:val="2"/>
                <w:sz w:val="21"/>
                <w:szCs w:val="21"/>
              </w:rPr>
              <w:t>。</w:t>
            </w:r>
          </w:p>
          <w:p w14:paraId="255595B1">
            <w:pPr>
              <w:widowControl w:val="0"/>
              <w:snapToGrid w:val="0"/>
              <w:spacing w:line="288" w:lineRule="auto"/>
              <w:jc w:val="both"/>
              <w:rPr>
                <w:rFonts w:cs="Times New Roman"/>
                <w:bCs/>
                <w:color w:val="000000"/>
                <w:kern w:val="2"/>
                <w:sz w:val="21"/>
                <w:szCs w:val="21"/>
              </w:rPr>
            </w:pPr>
            <w:r>
              <w:rPr>
                <w:rFonts w:cs="Times New Roman"/>
                <w:bCs/>
                <w:color w:val="000000"/>
                <w:kern w:val="2"/>
                <w:sz w:val="21"/>
                <w:szCs w:val="21"/>
              </w:rPr>
              <w:t>2.理解：组织的基本要素、正式组织与非正式组织的特点及区别</w:t>
            </w:r>
            <w:r>
              <w:rPr>
                <w:rFonts w:hint="eastAsia" w:cs="Times New Roman"/>
                <w:bCs/>
                <w:color w:val="000000"/>
                <w:kern w:val="2"/>
                <w:sz w:val="21"/>
                <w:szCs w:val="21"/>
              </w:rPr>
              <w:t>。</w:t>
            </w:r>
          </w:p>
          <w:p w14:paraId="06F1C039">
            <w:pPr>
              <w:widowControl w:val="0"/>
              <w:snapToGrid w:val="0"/>
              <w:spacing w:line="288" w:lineRule="auto"/>
              <w:jc w:val="both"/>
              <w:rPr>
                <w:rFonts w:cs="Times New Roman"/>
                <w:bCs/>
                <w:color w:val="000000"/>
                <w:kern w:val="2"/>
                <w:sz w:val="21"/>
                <w:szCs w:val="21"/>
              </w:rPr>
            </w:pPr>
          </w:p>
        </w:tc>
        <w:tc>
          <w:tcPr>
            <w:tcW w:w="1985" w:type="dxa"/>
          </w:tcPr>
          <w:p w14:paraId="62175370">
            <w:pPr>
              <w:widowControl w:val="0"/>
              <w:snapToGrid w:val="0"/>
              <w:spacing w:line="288" w:lineRule="auto"/>
              <w:jc w:val="both"/>
              <w:rPr>
                <w:rFonts w:cs="Times New Roman"/>
                <w:b/>
                <w:color w:val="000000"/>
                <w:kern w:val="2"/>
                <w:sz w:val="21"/>
                <w:szCs w:val="21"/>
              </w:rPr>
            </w:pPr>
            <w:r>
              <w:rPr>
                <w:rFonts w:cs="Times New Roman"/>
                <w:bCs/>
                <w:color w:val="000000"/>
                <w:kern w:val="2"/>
                <w:sz w:val="21"/>
                <w:szCs w:val="21"/>
              </w:rPr>
              <w:t>能结合三级医院的业务组织机构图解释各部门的相互关系。</w:t>
            </w:r>
          </w:p>
        </w:tc>
        <w:tc>
          <w:tcPr>
            <w:tcW w:w="1134" w:type="dxa"/>
          </w:tcPr>
          <w:p w14:paraId="0D519D4F">
            <w:pPr>
              <w:widowControl w:val="0"/>
              <w:snapToGrid w:val="0"/>
              <w:spacing w:line="288" w:lineRule="auto"/>
              <w:jc w:val="both"/>
              <w:rPr>
                <w:rFonts w:cs="Times New Roman"/>
                <w:bCs/>
                <w:color w:val="000000"/>
                <w:kern w:val="2"/>
                <w:sz w:val="21"/>
                <w:szCs w:val="21"/>
              </w:rPr>
            </w:pPr>
            <w:r>
              <w:rPr>
                <w:rFonts w:cs="Times New Roman"/>
                <w:bCs/>
                <w:color w:val="000000"/>
                <w:kern w:val="2"/>
                <w:sz w:val="21"/>
                <w:szCs w:val="21"/>
              </w:rPr>
              <w:t>具有运用运用所学知识解决实际问题的意识</w:t>
            </w:r>
          </w:p>
        </w:tc>
        <w:tc>
          <w:tcPr>
            <w:tcW w:w="1276" w:type="dxa"/>
          </w:tcPr>
          <w:p w14:paraId="7B9E4A73">
            <w:pPr>
              <w:widowControl w:val="0"/>
              <w:jc w:val="both"/>
              <w:rPr>
                <w:rFonts w:cs="Times New Roman"/>
                <w:bCs/>
                <w:color w:val="000000"/>
                <w:kern w:val="2"/>
                <w:sz w:val="21"/>
                <w:szCs w:val="21"/>
              </w:rPr>
            </w:pPr>
            <w:r>
              <w:rPr>
                <w:rFonts w:cs="Times New Roman"/>
                <w:bCs/>
                <w:color w:val="000000"/>
                <w:kern w:val="2"/>
                <w:sz w:val="21"/>
                <w:szCs w:val="21"/>
              </w:rPr>
              <w:t>正式组织与非正式组织的特点及区别</w:t>
            </w:r>
          </w:p>
        </w:tc>
      </w:tr>
      <w:tr w14:paraId="52495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4" w:hRule="atLeast"/>
          <w:jc w:val="center"/>
        </w:trPr>
        <w:tc>
          <w:tcPr>
            <w:tcW w:w="456" w:type="dxa"/>
            <w:vAlign w:val="center"/>
          </w:tcPr>
          <w:p w14:paraId="677C4AA4">
            <w:pPr>
              <w:widowControl w:val="0"/>
              <w:snapToGrid w:val="0"/>
              <w:spacing w:line="288" w:lineRule="auto"/>
              <w:jc w:val="center"/>
              <w:rPr>
                <w:rFonts w:cs="Times New Roman"/>
                <w:bCs/>
                <w:color w:val="000000"/>
                <w:kern w:val="2"/>
                <w:sz w:val="21"/>
                <w:szCs w:val="21"/>
              </w:rPr>
            </w:pPr>
            <w:r>
              <w:rPr>
                <w:rFonts w:cs="Times New Roman"/>
                <w:bCs/>
                <w:color w:val="000000"/>
                <w:kern w:val="2"/>
                <w:sz w:val="21"/>
                <w:szCs w:val="21"/>
              </w:rPr>
              <w:t>6</w:t>
            </w:r>
          </w:p>
        </w:tc>
        <w:tc>
          <w:tcPr>
            <w:tcW w:w="673" w:type="dxa"/>
            <w:vAlign w:val="center"/>
          </w:tcPr>
          <w:p w14:paraId="314D28DD">
            <w:pPr>
              <w:widowControl w:val="0"/>
              <w:snapToGrid w:val="0"/>
              <w:spacing w:line="288" w:lineRule="auto"/>
              <w:jc w:val="center"/>
              <w:rPr>
                <w:rFonts w:cs="Times New Roman"/>
                <w:bCs/>
                <w:color w:val="000000"/>
                <w:kern w:val="2"/>
                <w:sz w:val="21"/>
                <w:szCs w:val="21"/>
              </w:rPr>
            </w:pPr>
            <w:r>
              <w:rPr>
                <w:rFonts w:cs="Times New Roman"/>
                <w:bCs/>
                <w:color w:val="000000"/>
                <w:kern w:val="2"/>
                <w:sz w:val="21"/>
                <w:szCs w:val="21"/>
              </w:rPr>
              <w:t>护理人力资源管理</w:t>
            </w:r>
          </w:p>
          <w:p w14:paraId="00004E12">
            <w:pPr>
              <w:widowControl w:val="0"/>
              <w:snapToGrid w:val="0"/>
              <w:spacing w:line="288" w:lineRule="auto"/>
              <w:jc w:val="center"/>
              <w:rPr>
                <w:rFonts w:cs="Times New Roman"/>
                <w:bCs/>
                <w:color w:val="000000"/>
                <w:kern w:val="2"/>
                <w:sz w:val="21"/>
                <w:szCs w:val="21"/>
              </w:rPr>
            </w:pPr>
          </w:p>
        </w:tc>
        <w:tc>
          <w:tcPr>
            <w:tcW w:w="2268" w:type="dxa"/>
          </w:tcPr>
          <w:p w14:paraId="594C32FC">
            <w:pPr>
              <w:widowControl w:val="0"/>
              <w:snapToGrid w:val="0"/>
              <w:spacing w:line="288" w:lineRule="auto"/>
              <w:jc w:val="both"/>
              <w:rPr>
                <w:rFonts w:cs="Times New Roman"/>
                <w:bCs/>
                <w:color w:val="000000"/>
                <w:kern w:val="2"/>
                <w:sz w:val="21"/>
                <w:szCs w:val="21"/>
              </w:rPr>
            </w:pPr>
            <w:r>
              <w:rPr>
                <w:rFonts w:cs="Times New Roman"/>
                <w:bCs/>
                <w:color w:val="000000"/>
                <w:kern w:val="2"/>
                <w:sz w:val="21"/>
                <w:szCs w:val="21"/>
              </w:rPr>
              <w:t>1.</w:t>
            </w:r>
            <w:r>
              <w:rPr>
                <w:rFonts w:hint="eastAsia" w:cs="Times New Roman"/>
                <w:bCs/>
                <w:color w:val="000000"/>
                <w:kern w:val="2"/>
                <w:sz w:val="21"/>
                <w:szCs w:val="21"/>
              </w:rPr>
              <w:t>知道</w:t>
            </w:r>
            <w:r>
              <w:rPr>
                <w:rFonts w:cs="Times New Roman"/>
                <w:bCs/>
                <w:color w:val="000000"/>
                <w:kern w:val="2"/>
                <w:sz w:val="21"/>
                <w:szCs w:val="21"/>
              </w:rPr>
              <w:t>：护理人力资源管理的目标和特点、护理人员编制依据、护理人员排班以及薪酬的影响因素。</w:t>
            </w:r>
          </w:p>
          <w:p w14:paraId="5843AB50">
            <w:pPr>
              <w:widowControl w:val="0"/>
              <w:snapToGrid w:val="0"/>
              <w:spacing w:line="288" w:lineRule="auto"/>
              <w:jc w:val="both"/>
              <w:rPr>
                <w:rFonts w:cs="Times New Roman"/>
                <w:bCs/>
                <w:color w:val="000000"/>
                <w:kern w:val="2"/>
                <w:sz w:val="21"/>
                <w:szCs w:val="21"/>
              </w:rPr>
            </w:pPr>
            <w:r>
              <w:rPr>
                <w:rFonts w:cs="Times New Roman"/>
                <w:bCs/>
                <w:color w:val="000000"/>
                <w:kern w:val="2"/>
                <w:sz w:val="21"/>
                <w:szCs w:val="21"/>
              </w:rPr>
              <w:t>2.理解：护理人力资源管理的内容、护理人才绩效考核的原则和方法、护理人才培训的内容和途径。</w:t>
            </w:r>
          </w:p>
          <w:p w14:paraId="56FB90C2">
            <w:pPr>
              <w:widowControl w:val="0"/>
              <w:snapToGrid w:val="0"/>
              <w:spacing w:line="288" w:lineRule="auto"/>
              <w:jc w:val="both"/>
              <w:rPr>
                <w:rFonts w:cs="Times New Roman"/>
                <w:bCs/>
                <w:color w:val="000000"/>
                <w:kern w:val="2"/>
                <w:sz w:val="21"/>
                <w:szCs w:val="21"/>
              </w:rPr>
            </w:pPr>
          </w:p>
        </w:tc>
        <w:tc>
          <w:tcPr>
            <w:tcW w:w="1985" w:type="dxa"/>
          </w:tcPr>
          <w:p w14:paraId="4E6958BF">
            <w:pPr>
              <w:widowControl w:val="0"/>
              <w:snapToGrid w:val="0"/>
              <w:spacing w:line="288" w:lineRule="auto"/>
              <w:jc w:val="both"/>
              <w:rPr>
                <w:rFonts w:cs="Times New Roman"/>
                <w:b/>
                <w:color w:val="000000"/>
                <w:kern w:val="2"/>
                <w:sz w:val="21"/>
                <w:szCs w:val="21"/>
              </w:rPr>
            </w:pPr>
            <w:r>
              <w:rPr>
                <w:rFonts w:cs="Times New Roman"/>
                <w:bCs/>
                <w:color w:val="000000"/>
                <w:kern w:val="2"/>
                <w:sz w:val="21"/>
                <w:szCs w:val="21"/>
              </w:rPr>
              <w:t>能运用护理人力配置原则与方法计算护士数量。</w:t>
            </w:r>
          </w:p>
        </w:tc>
        <w:tc>
          <w:tcPr>
            <w:tcW w:w="1134" w:type="dxa"/>
          </w:tcPr>
          <w:p w14:paraId="614FA532">
            <w:pPr>
              <w:widowControl w:val="0"/>
              <w:snapToGrid w:val="0"/>
              <w:spacing w:line="288" w:lineRule="auto"/>
              <w:jc w:val="both"/>
              <w:rPr>
                <w:rFonts w:cs="Times New Roman"/>
                <w:b/>
                <w:color w:val="000000"/>
                <w:kern w:val="2"/>
                <w:sz w:val="21"/>
                <w:szCs w:val="21"/>
              </w:rPr>
            </w:pPr>
            <w:r>
              <w:rPr>
                <w:rFonts w:cs="Times New Roman"/>
                <w:bCs/>
                <w:color w:val="000000"/>
                <w:kern w:val="2"/>
                <w:sz w:val="21"/>
                <w:szCs w:val="21"/>
              </w:rPr>
              <w:t>运用所学知识设计个人的职业发展规划。</w:t>
            </w:r>
          </w:p>
        </w:tc>
        <w:tc>
          <w:tcPr>
            <w:tcW w:w="1276" w:type="dxa"/>
          </w:tcPr>
          <w:p w14:paraId="54E3616C">
            <w:pPr>
              <w:widowControl w:val="0"/>
              <w:jc w:val="both"/>
              <w:rPr>
                <w:rFonts w:cs="Times New Roman"/>
                <w:color w:val="000000"/>
                <w:kern w:val="2"/>
                <w:sz w:val="21"/>
                <w:szCs w:val="21"/>
              </w:rPr>
            </w:pPr>
            <w:r>
              <w:rPr>
                <w:rFonts w:cs="Times New Roman"/>
                <w:bCs/>
                <w:color w:val="000000"/>
                <w:kern w:val="2"/>
                <w:sz w:val="21"/>
                <w:szCs w:val="21"/>
              </w:rPr>
              <w:t>护理人员编制依据</w:t>
            </w:r>
          </w:p>
        </w:tc>
      </w:tr>
      <w:tr w14:paraId="1A7E0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4" w:hRule="atLeast"/>
          <w:jc w:val="center"/>
        </w:trPr>
        <w:tc>
          <w:tcPr>
            <w:tcW w:w="456" w:type="dxa"/>
            <w:vAlign w:val="center"/>
          </w:tcPr>
          <w:p w14:paraId="1CC2F9D5">
            <w:pPr>
              <w:widowControl w:val="0"/>
              <w:snapToGrid w:val="0"/>
              <w:spacing w:line="288" w:lineRule="auto"/>
              <w:jc w:val="center"/>
              <w:rPr>
                <w:rFonts w:cs="Times New Roman"/>
                <w:bCs/>
                <w:color w:val="000000"/>
                <w:kern w:val="2"/>
                <w:sz w:val="21"/>
                <w:szCs w:val="21"/>
              </w:rPr>
            </w:pPr>
            <w:r>
              <w:rPr>
                <w:rFonts w:cs="Times New Roman"/>
                <w:bCs/>
                <w:color w:val="000000"/>
                <w:kern w:val="2"/>
                <w:sz w:val="21"/>
                <w:szCs w:val="21"/>
              </w:rPr>
              <w:t>7</w:t>
            </w:r>
          </w:p>
        </w:tc>
        <w:tc>
          <w:tcPr>
            <w:tcW w:w="673" w:type="dxa"/>
            <w:vAlign w:val="center"/>
          </w:tcPr>
          <w:p w14:paraId="2468D221">
            <w:pPr>
              <w:widowControl w:val="0"/>
              <w:snapToGrid w:val="0"/>
              <w:spacing w:line="288" w:lineRule="auto"/>
              <w:jc w:val="center"/>
              <w:rPr>
                <w:rFonts w:cs="Times New Roman"/>
                <w:bCs/>
                <w:color w:val="000000"/>
                <w:kern w:val="2"/>
                <w:sz w:val="21"/>
                <w:szCs w:val="21"/>
              </w:rPr>
            </w:pPr>
            <w:r>
              <w:rPr>
                <w:rFonts w:cs="Times New Roman"/>
                <w:bCs/>
                <w:color w:val="000000"/>
                <w:kern w:val="2"/>
                <w:sz w:val="21"/>
                <w:szCs w:val="21"/>
              </w:rPr>
              <w:t>领导</w:t>
            </w:r>
          </w:p>
        </w:tc>
        <w:tc>
          <w:tcPr>
            <w:tcW w:w="2268" w:type="dxa"/>
          </w:tcPr>
          <w:p w14:paraId="3EFEC147">
            <w:pPr>
              <w:widowControl w:val="0"/>
              <w:snapToGrid w:val="0"/>
              <w:spacing w:line="288" w:lineRule="auto"/>
              <w:jc w:val="both"/>
              <w:rPr>
                <w:rFonts w:cs="Times New Roman"/>
                <w:bCs/>
                <w:color w:val="000000"/>
                <w:kern w:val="2"/>
                <w:sz w:val="21"/>
                <w:szCs w:val="21"/>
              </w:rPr>
            </w:pPr>
            <w:r>
              <w:rPr>
                <w:rFonts w:cs="Times New Roman"/>
                <w:bCs/>
                <w:color w:val="000000"/>
                <w:kern w:val="2"/>
                <w:sz w:val="21"/>
                <w:szCs w:val="21"/>
              </w:rPr>
              <w:t>1.</w:t>
            </w:r>
            <w:r>
              <w:rPr>
                <w:rFonts w:hint="eastAsia" w:cs="Times New Roman"/>
                <w:bCs/>
                <w:color w:val="000000"/>
                <w:kern w:val="2"/>
                <w:sz w:val="21"/>
                <w:szCs w:val="21"/>
              </w:rPr>
              <w:t>知道</w:t>
            </w:r>
            <w:r>
              <w:rPr>
                <w:rFonts w:cs="Times New Roman"/>
                <w:bCs/>
                <w:color w:val="000000"/>
                <w:kern w:val="2"/>
                <w:sz w:val="21"/>
                <w:szCs w:val="21"/>
              </w:rPr>
              <w:t>：领导者影响力的分类及来源，激励、授权、压力管理的概念、授权及创新的基本步骤。</w:t>
            </w:r>
          </w:p>
          <w:p w14:paraId="41B0D02E">
            <w:pPr>
              <w:widowControl w:val="0"/>
              <w:snapToGrid w:val="0"/>
              <w:spacing w:line="288" w:lineRule="auto"/>
              <w:jc w:val="both"/>
              <w:rPr>
                <w:rFonts w:cs="Times New Roman"/>
                <w:bCs/>
                <w:color w:val="000000"/>
                <w:kern w:val="2"/>
                <w:sz w:val="21"/>
                <w:szCs w:val="21"/>
              </w:rPr>
            </w:pPr>
            <w:r>
              <w:rPr>
                <w:rFonts w:cs="Times New Roman"/>
                <w:bCs/>
                <w:color w:val="000000"/>
                <w:kern w:val="2"/>
                <w:sz w:val="21"/>
                <w:szCs w:val="21"/>
              </w:rPr>
              <w:t>2.理解：领导者应具备的基本素质、领导基本理论。</w:t>
            </w:r>
          </w:p>
          <w:p w14:paraId="55333DF4">
            <w:pPr>
              <w:widowControl w:val="0"/>
              <w:snapToGrid w:val="0"/>
              <w:spacing w:line="288" w:lineRule="auto"/>
              <w:jc w:val="both"/>
              <w:rPr>
                <w:rFonts w:cs="Times New Roman"/>
                <w:bCs/>
                <w:color w:val="000000"/>
                <w:kern w:val="2"/>
                <w:sz w:val="21"/>
                <w:szCs w:val="21"/>
              </w:rPr>
            </w:pPr>
          </w:p>
        </w:tc>
        <w:tc>
          <w:tcPr>
            <w:tcW w:w="1985" w:type="dxa"/>
          </w:tcPr>
          <w:p w14:paraId="1A514314">
            <w:pPr>
              <w:widowControl w:val="0"/>
              <w:snapToGrid w:val="0"/>
              <w:spacing w:line="288" w:lineRule="auto"/>
              <w:jc w:val="both"/>
              <w:rPr>
                <w:rFonts w:cs="Times New Roman"/>
                <w:bCs/>
                <w:color w:val="000000"/>
                <w:kern w:val="2"/>
                <w:sz w:val="21"/>
                <w:szCs w:val="21"/>
              </w:rPr>
            </w:pPr>
            <w:r>
              <w:rPr>
                <w:rFonts w:cs="Times New Roman"/>
                <w:bCs/>
                <w:color w:val="000000"/>
                <w:kern w:val="2"/>
                <w:sz w:val="21"/>
                <w:szCs w:val="21"/>
              </w:rPr>
              <w:t>学会运用领导理论、艺术分析解决实际问题。</w:t>
            </w:r>
          </w:p>
          <w:p w14:paraId="28EC9402">
            <w:pPr>
              <w:widowControl w:val="0"/>
              <w:snapToGrid w:val="0"/>
              <w:spacing w:line="288" w:lineRule="auto"/>
              <w:jc w:val="both"/>
              <w:rPr>
                <w:rFonts w:cs="Times New Roman"/>
                <w:b/>
                <w:color w:val="000000"/>
                <w:kern w:val="2"/>
                <w:sz w:val="21"/>
                <w:szCs w:val="21"/>
              </w:rPr>
            </w:pPr>
          </w:p>
        </w:tc>
        <w:tc>
          <w:tcPr>
            <w:tcW w:w="1134" w:type="dxa"/>
          </w:tcPr>
          <w:p w14:paraId="774B77DC">
            <w:pPr>
              <w:widowControl w:val="0"/>
              <w:snapToGrid w:val="0"/>
              <w:spacing w:line="288" w:lineRule="auto"/>
              <w:jc w:val="both"/>
              <w:rPr>
                <w:rFonts w:cs="Times New Roman"/>
                <w:bCs/>
                <w:color w:val="000000"/>
                <w:kern w:val="2"/>
                <w:sz w:val="21"/>
                <w:szCs w:val="21"/>
              </w:rPr>
            </w:pPr>
            <w:r>
              <w:rPr>
                <w:rFonts w:cs="Times New Roman"/>
                <w:bCs/>
                <w:color w:val="000000"/>
                <w:kern w:val="2"/>
                <w:sz w:val="21"/>
                <w:szCs w:val="21"/>
              </w:rPr>
              <w:t>具有良好护患沟通能力。</w:t>
            </w:r>
          </w:p>
          <w:p w14:paraId="44A65325">
            <w:pPr>
              <w:widowControl w:val="0"/>
              <w:snapToGrid w:val="0"/>
              <w:spacing w:line="288" w:lineRule="auto"/>
              <w:jc w:val="both"/>
              <w:rPr>
                <w:rFonts w:cs="Times New Roman"/>
                <w:b/>
                <w:color w:val="000000"/>
                <w:kern w:val="2"/>
                <w:sz w:val="21"/>
                <w:szCs w:val="21"/>
              </w:rPr>
            </w:pPr>
          </w:p>
        </w:tc>
        <w:tc>
          <w:tcPr>
            <w:tcW w:w="1276" w:type="dxa"/>
          </w:tcPr>
          <w:p w14:paraId="08C1C934">
            <w:pPr>
              <w:widowControl w:val="0"/>
              <w:jc w:val="both"/>
              <w:rPr>
                <w:rFonts w:cs="Times New Roman"/>
                <w:color w:val="000000"/>
                <w:kern w:val="2"/>
                <w:sz w:val="21"/>
                <w:szCs w:val="21"/>
              </w:rPr>
            </w:pPr>
            <w:r>
              <w:rPr>
                <w:rFonts w:cs="Times New Roman"/>
                <w:bCs/>
                <w:color w:val="000000"/>
                <w:kern w:val="2"/>
                <w:sz w:val="21"/>
                <w:szCs w:val="21"/>
              </w:rPr>
              <w:t>授权及创新的基本步骤</w:t>
            </w:r>
          </w:p>
        </w:tc>
      </w:tr>
      <w:tr w14:paraId="32B66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456" w:type="dxa"/>
            <w:vAlign w:val="center"/>
          </w:tcPr>
          <w:p w14:paraId="76A7C8B4">
            <w:pPr>
              <w:widowControl w:val="0"/>
              <w:snapToGrid w:val="0"/>
              <w:spacing w:line="288" w:lineRule="auto"/>
              <w:jc w:val="center"/>
              <w:rPr>
                <w:rFonts w:cs="Times New Roman"/>
                <w:bCs/>
                <w:color w:val="000000"/>
                <w:kern w:val="2"/>
                <w:sz w:val="21"/>
                <w:szCs w:val="21"/>
              </w:rPr>
            </w:pPr>
            <w:r>
              <w:rPr>
                <w:rFonts w:cs="Times New Roman"/>
                <w:bCs/>
                <w:color w:val="000000"/>
                <w:kern w:val="2"/>
                <w:sz w:val="21"/>
                <w:szCs w:val="21"/>
              </w:rPr>
              <w:t>8</w:t>
            </w:r>
          </w:p>
        </w:tc>
        <w:tc>
          <w:tcPr>
            <w:tcW w:w="673" w:type="dxa"/>
            <w:vAlign w:val="center"/>
          </w:tcPr>
          <w:p w14:paraId="75ABFCD8">
            <w:pPr>
              <w:widowControl w:val="0"/>
              <w:snapToGrid w:val="0"/>
              <w:spacing w:line="288" w:lineRule="auto"/>
              <w:jc w:val="center"/>
              <w:rPr>
                <w:rFonts w:cs="Times New Roman"/>
                <w:bCs/>
                <w:color w:val="000000"/>
                <w:kern w:val="2"/>
                <w:sz w:val="21"/>
                <w:szCs w:val="21"/>
              </w:rPr>
            </w:pPr>
            <w:r>
              <w:rPr>
                <w:rFonts w:cs="Times New Roman"/>
                <w:bCs/>
                <w:color w:val="000000"/>
                <w:kern w:val="2"/>
                <w:sz w:val="21"/>
                <w:szCs w:val="21"/>
              </w:rPr>
              <w:t>管理沟通与冲突</w:t>
            </w:r>
          </w:p>
        </w:tc>
        <w:tc>
          <w:tcPr>
            <w:tcW w:w="2268" w:type="dxa"/>
          </w:tcPr>
          <w:p w14:paraId="4D60B701">
            <w:pPr>
              <w:widowControl w:val="0"/>
              <w:snapToGrid w:val="0"/>
              <w:spacing w:line="288" w:lineRule="auto"/>
              <w:jc w:val="both"/>
              <w:rPr>
                <w:rFonts w:cs="Times New Roman"/>
                <w:bCs/>
                <w:color w:val="000000"/>
                <w:kern w:val="2"/>
                <w:sz w:val="21"/>
                <w:szCs w:val="21"/>
              </w:rPr>
            </w:pPr>
            <w:r>
              <w:rPr>
                <w:rFonts w:cs="Times New Roman"/>
                <w:bCs/>
                <w:color w:val="000000"/>
                <w:kern w:val="2"/>
                <w:sz w:val="21"/>
                <w:szCs w:val="21"/>
              </w:rPr>
              <w:t>1.</w:t>
            </w:r>
            <w:r>
              <w:rPr>
                <w:rFonts w:hint="eastAsia" w:cs="Times New Roman"/>
                <w:bCs/>
                <w:color w:val="000000"/>
                <w:kern w:val="2"/>
                <w:sz w:val="21"/>
                <w:szCs w:val="21"/>
              </w:rPr>
              <w:t>知道</w:t>
            </w:r>
            <w:r>
              <w:rPr>
                <w:rFonts w:cs="Times New Roman"/>
                <w:bCs/>
                <w:color w:val="000000"/>
                <w:kern w:val="2"/>
                <w:sz w:val="21"/>
                <w:szCs w:val="21"/>
              </w:rPr>
              <w:t>：管理沟通的概念及原则、管理沟通的类型、冲突的概念及分类。</w:t>
            </w:r>
          </w:p>
          <w:p w14:paraId="5A016849">
            <w:pPr>
              <w:widowControl w:val="0"/>
              <w:snapToGrid w:val="0"/>
              <w:spacing w:line="288" w:lineRule="auto"/>
              <w:jc w:val="both"/>
              <w:rPr>
                <w:rFonts w:cs="Times New Roman"/>
                <w:bCs/>
                <w:color w:val="000000"/>
                <w:kern w:val="2"/>
                <w:sz w:val="21"/>
                <w:szCs w:val="21"/>
              </w:rPr>
            </w:pPr>
            <w:r>
              <w:rPr>
                <w:rFonts w:cs="Times New Roman"/>
                <w:bCs/>
                <w:color w:val="000000"/>
                <w:kern w:val="2"/>
                <w:sz w:val="21"/>
                <w:szCs w:val="21"/>
              </w:rPr>
              <w:t>2.理解：管理沟通的目标及作用、影响沟通的因素、冲突的基本过程、冲突处理决策及方法。</w:t>
            </w:r>
          </w:p>
          <w:p w14:paraId="0319F4D9">
            <w:pPr>
              <w:widowControl w:val="0"/>
              <w:snapToGrid w:val="0"/>
              <w:spacing w:line="288" w:lineRule="auto"/>
              <w:jc w:val="both"/>
              <w:rPr>
                <w:rFonts w:cs="Times New Roman"/>
                <w:bCs/>
                <w:color w:val="000000"/>
                <w:kern w:val="2"/>
                <w:sz w:val="21"/>
                <w:szCs w:val="21"/>
              </w:rPr>
            </w:pPr>
          </w:p>
        </w:tc>
        <w:tc>
          <w:tcPr>
            <w:tcW w:w="1985" w:type="dxa"/>
          </w:tcPr>
          <w:p w14:paraId="5A249F6F">
            <w:pPr>
              <w:widowControl w:val="0"/>
              <w:snapToGrid w:val="0"/>
              <w:spacing w:line="288" w:lineRule="auto"/>
              <w:jc w:val="both"/>
              <w:rPr>
                <w:rFonts w:cs="Times New Roman"/>
                <w:bCs/>
                <w:color w:val="000000"/>
                <w:kern w:val="2"/>
                <w:sz w:val="21"/>
                <w:szCs w:val="21"/>
              </w:rPr>
            </w:pPr>
            <w:r>
              <w:rPr>
                <w:rFonts w:cs="Times New Roman"/>
                <w:bCs/>
                <w:color w:val="000000"/>
                <w:kern w:val="2"/>
                <w:sz w:val="21"/>
                <w:szCs w:val="21"/>
              </w:rPr>
              <w:t>结合临床实际工作正确使用管理沟通方法及技巧。</w:t>
            </w:r>
          </w:p>
        </w:tc>
        <w:tc>
          <w:tcPr>
            <w:tcW w:w="1134" w:type="dxa"/>
          </w:tcPr>
          <w:p w14:paraId="176EE7C5">
            <w:pPr>
              <w:widowControl w:val="0"/>
              <w:snapToGrid w:val="0"/>
              <w:spacing w:line="288" w:lineRule="auto"/>
              <w:jc w:val="both"/>
              <w:rPr>
                <w:rFonts w:cs="Times New Roman"/>
                <w:bCs/>
                <w:color w:val="000000"/>
                <w:kern w:val="2"/>
                <w:sz w:val="21"/>
                <w:szCs w:val="21"/>
              </w:rPr>
            </w:pPr>
            <w:r>
              <w:rPr>
                <w:rFonts w:cs="Times New Roman"/>
                <w:bCs/>
                <w:color w:val="000000"/>
                <w:kern w:val="2"/>
                <w:sz w:val="21"/>
                <w:szCs w:val="21"/>
              </w:rPr>
              <w:t>具有良好的沟通能力与解决冲突的有效策略。</w:t>
            </w:r>
          </w:p>
        </w:tc>
        <w:tc>
          <w:tcPr>
            <w:tcW w:w="1276" w:type="dxa"/>
          </w:tcPr>
          <w:p w14:paraId="54FA2344">
            <w:pPr>
              <w:widowControl w:val="0"/>
              <w:jc w:val="both"/>
              <w:rPr>
                <w:rFonts w:cs="Times New Roman"/>
                <w:bCs/>
                <w:color w:val="000000"/>
                <w:kern w:val="2"/>
                <w:sz w:val="21"/>
                <w:szCs w:val="21"/>
              </w:rPr>
            </w:pPr>
            <w:r>
              <w:rPr>
                <w:rFonts w:cs="Times New Roman"/>
                <w:bCs/>
                <w:color w:val="000000"/>
                <w:kern w:val="2"/>
                <w:sz w:val="21"/>
                <w:szCs w:val="21"/>
              </w:rPr>
              <w:t>管理沟通的概念及原则、管理沟通的类型。</w:t>
            </w:r>
          </w:p>
        </w:tc>
      </w:tr>
      <w:tr w14:paraId="33A4F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jc w:val="center"/>
        </w:trPr>
        <w:tc>
          <w:tcPr>
            <w:tcW w:w="456" w:type="dxa"/>
            <w:vAlign w:val="center"/>
          </w:tcPr>
          <w:p w14:paraId="6F2EE462">
            <w:pPr>
              <w:widowControl w:val="0"/>
              <w:snapToGrid w:val="0"/>
              <w:spacing w:line="288" w:lineRule="auto"/>
              <w:jc w:val="center"/>
              <w:rPr>
                <w:rFonts w:cs="Times New Roman"/>
                <w:bCs/>
                <w:color w:val="000000"/>
                <w:kern w:val="2"/>
                <w:sz w:val="21"/>
                <w:szCs w:val="21"/>
              </w:rPr>
            </w:pPr>
            <w:r>
              <w:rPr>
                <w:rFonts w:cs="Times New Roman"/>
                <w:bCs/>
                <w:color w:val="000000"/>
                <w:kern w:val="2"/>
                <w:sz w:val="21"/>
                <w:szCs w:val="21"/>
              </w:rPr>
              <w:t>9</w:t>
            </w:r>
          </w:p>
        </w:tc>
        <w:tc>
          <w:tcPr>
            <w:tcW w:w="673" w:type="dxa"/>
            <w:vAlign w:val="center"/>
          </w:tcPr>
          <w:p w14:paraId="1472C62C">
            <w:pPr>
              <w:widowControl w:val="0"/>
              <w:snapToGrid w:val="0"/>
              <w:spacing w:line="288" w:lineRule="auto"/>
              <w:jc w:val="center"/>
              <w:rPr>
                <w:rFonts w:cs="Times New Roman"/>
                <w:bCs/>
                <w:color w:val="000000"/>
                <w:kern w:val="2"/>
                <w:sz w:val="21"/>
                <w:szCs w:val="21"/>
              </w:rPr>
            </w:pPr>
            <w:r>
              <w:rPr>
                <w:rFonts w:cs="Times New Roman"/>
                <w:bCs/>
                <w:color w:val="000000"/>
                <w:kern w:val="2"/>
                <w:sz w:val="21"/>
                <w:szCs w:val="21"/>
              </w:rPr>
              <w:t>控制</w:t>
            </w:r>
          </w:p>
        </w:tc>
        <w:tc>
          <w:tcPr>
            <w:tcW w:w="2268" w:type="dxa"/>
          </w:tcPr>
          <w:p w14:paraId="724DB0DB">
            <w:pPr>
              <w:widowControl w:val="0"/>
              <w:snapToGrid w:val="0"/>
              <w:spacing w:line="288" w:lineRule="auto"/>
              <w:jc w:val="both"/>
              <w:rPr>
                <w:rFonts w:cs="Times New Roman"/>
                <w:bCs/>
                <w:color w:val="000000"/>
                <w:kern w:val="2"/>
                <w:sz w:val="21"/>
                <w:szCs w:val="21"/>
              </w:rPr>
            </w:pPr>
            <w:r>
              <w:rPr>
                <w:rFonts w:cs="Times New Roman"/>
                <w:bCs/>
                <w:color w:val="000000"/>
                <w:kern w:val="2"/>
                <w:sz w:val="21"/>
                <w:szCs w:val="21"/>
              </w:rPr>
              <w:t>1.</w:t>
            </w:r>
            <w:r>
              <w:rPr>
                <w:rFonts w:hint="eastAsia" w:cs="Times New Roman"/>
                <w:bCs/>
                <w:color w:val="000000"/>
                <w:kern w:val="2"/>
                <w:sz w:val="21"/>
                <w:szCs w:val="21"/>
              </w:rPr>
              <w:t>知道</w:t>
            </w:r>
            <w:r>
              <w:rPr>
                <w:rFonts w:cs="Times New Roman"/>
                <w:bCs/>
                <w:color w:val="000000"/>
                <w:kern w:val="2"/>
                <w:sz w:val="21"/>
                <w:szCs w:val="21"/>
              </w:rPr>
              <w:t>：控制的概念、控制的功能、基本原则、控制的程序及控制的方式。</w:t>
            </w:r>
          </w:p>
          <w:p w14:paraId="0E08E5E2">
            <w:pPr>
              <w:widowControl w:val="0"/>
              <w:snapToGrid w:val="0"/>
              <w:spacing w:line="288" w:lineRule="auto"/>
              <w:jc w:val="both"/>
              <w:rPr>
                <w:rFonts w:cs="Times New Roman"/>
                <w:bCs/>
                <w:color w:val="000000"/>
                <w:kern w:val="2"/>
                <w:sz w:val="21"/>
                <w:szCs w:val="21"/>
              </w:rPr>
            </w:pPr>
            <w:r>
              <w:rPr>
                <w:rFonts w:cs="Times New Roman"/>
                <w:bCs/>
                <w:color w:val="000000"/>
                <w:kern w:val="2"/>
                <w:sz w:val="21"/>
                <w:szCs w:val="21"/>
              </w:rPr>
              <w:t>2.理解：控制在护理安全管理中的应用。</w:t>
            </w:r>
          </w:p>
          <w:p w14:paraId="6FBA779F">
            <w:pPr>
              <w:widowControl w:val="0"/>
              <w:snapToGrid w:val="0"/>
              <w:spacing w:line="288" w:lineRule="auto"/>
              <w:jc w:val="both"/>
              <w:rPr>
                <w:rFonts w:cs="Times New Roman"/>
                <w:bCs/>
                <w:color w:val="000000"/>
                <w:kern w:val="2"/>
                <w:sz w:val="21"/>
                <w:szCs w:val="21"/>
              </w:rPr>
            </w:pPr>
          </w:p>
        </w:tc>
        <w:tc>
          <w:tcPr>
            <w:tcW w:w="1985" w:type="dxa"/>
          </w:tcPr>
          <w:p w14:paraId="38D3F19E">
            <w:pPr>
              <w:widowControl w:val="0"/>
              <w:snapToGrid w:val="0"/>
              <w:spacing w:line="288" w:lineRule="auto"/>
              <w:jc w:val="both"/>
              <w:rPr>
                <w:rFonts w:cs="Times New Roman"/>
                <w:b/>
                <w:color w:val="000000"/>
                <w:kern w:val="2"/>
                <w:sz w:val="21"/>
                <w:szCs w:val="21"/>
              </w:rPr>
            </w:pPr>
            <w:r>
              <w:rPr>
                <w:rFonts w:cs="Times New Roman"/>
                <w:bCs/>
                <w:color w:val="000000"/>
                <w:kern w:val="2"/>
                <w:sz w:val="21"/>
                <w:szCs w:val="21"/>
              </w:rPr>
              <w:t>学会运用控制理论解决护理安全管理中存在的问题。</w:t>
            </w:r>
          </w:p>
        </w:tc>
        <w:tc>
          <w:tcPr>
            <w:tcW w:w="1134" w:type="dxa"/>
          </w:tcPr>
          <w:p w14:paraId="699D63B8">
            <w:pPr>
              <w:widowControl w:val="0"/>
              <w:snapToGrid w:val="0"/>
              <w:spacing w:line="288" w:lineRule="auto"/>
              <w:jc w:val="both"/>
              <w:rPr>
                <w:rFonts w:cs="Times New Roman"/>
                <w:b/>
                <w:color w:val="000000"/>
                <w:kern w:val="2"/>
                <w:sz w:val="21"/>
                <w:szCs w:val="21"/>
              </w:rPr>
            </w:pPr>
            <w:r>
              <w:rPr>
                <w:rFonts w:cs="Times New Roman"/>
                <w:bCs/>
                <w:color w:val="000000"/>
                <w:kern w:val="2"/>
                <w:sz w:val="21"/>
                <w:szCs w:val="21"/>
              </w:rPr>
              <w:t>具有危机事件控制和处理的能力。</w:t>
            </w:r>
          </w:p>
        </w:tc>
        <w:tc>
          <w:tcPr>
            <w:tcW w:w="1276" w:type="dxa"/>
          </w:tcPr>
          <w:p w14:paraId="2DE24449">
            <w:pPr>
              <w:widowControl w:val="0"/>
              <w:jc w:val="both"/>
              <w:rPr>
                <w:rFonts w:cs="Times New Roman"/>
                <w:color w:val="000000"/>
                <w:kern w:val="2"/>
                <w:sz w:val="21"/>
                <w:szCs w:val="21"/>
              </w:rPr>
            </w:pPr>
            <w:r>
              <w:rPr>
                <w:rFonts w:cs="Times New Roman"/>
                <w:bCs/>
                <w:color w:val="000000"/>
                <w:kern w:val="2"/>
                <w:sz w:val="21"/>
                <w:szCs w:val="21"/>
              </w:rPr>
              <w:t>控制在护理安全管理中的应用</w:t>
            </w:r>
          </w:p>
        </w:tc>
      </w:tr>
      <w:tr w14:paraId="44EE6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8" w:hRule="atLeast"/>
          <w:jc w:val="center"/>
        </w:trPr>
        <w:tc>
          <w:tcPr>
            <w:tcW w:w="456" w:type="dxa"/>
            <w:vAlign w:val="center"/>
          </w:tcPr>
          <w:p w14:paraId="401F5988">
            <w:pPr>
              <w:widowControl w:val="0"/>
              <w:snapToGrid w:val="0"/>
              <w:spacing w:line="288" w:lineRule="auto"/>
              <w:jc w:val="center"/>
              <w:rPr>
                <w:rFonts w:cs="Times New Roman"/>
                <w:bCs/>
                <w:color w:val="000000"/>
                <w:kern w:val="2"/>
                <w:sz w:val="21"/>
                <w:szCs w:val="21"/>
              </w:rPr>
            </w:pPr>
            <w:r>
              <w:rPr>
                <w:rFonts w:cs="Times New Roman"/>
                <w:bCs/>
                <w:color w:val="000000"/>
                <w:kern w:val="2"/>
                <w:sz w:val="21"/>
                <w:szCs w:val="21"/>
              </w:rPr>
              <w:t>10</w:t>
            </w:r>
          </w:p>
        </w:tc>
        <w:tc>
          <w:tcPr>
            <w:tcW w:w="673" w:type="dxa"/>
            <w:vAlign w:val="center"/>
          </w:tcPr>
          <w:p w14:paraId="3B86B7F5">
            <w:pPr>
              <w:widowControl w:val="0"/>
              <w:snapToGrid w:val="0"/>
              <w:spacing w:line="288" w:lineRule="auto"/>
              <w:jc w:val="center"/>
              <w:rPr>
                <w:rFonts w:cs="Times New Roman"/>
                <w:bCs/>
                <w:color w:val="000000"/>
                <w:kern w:val="2"/>
                <w:sz w:val="21"/>
                <w:szCs w:val="21"/>
              </w:rPr>
            </w:pPr>
            <w:r>
              <w:rPr>
                <w:rFonts w:cs="Times New Roman"/>
                <w:bCs/>
                <w:color w:val="000000"/>
                <w:kern w:val="2"/>
                <w:sz w:val="21"/>
                <w:szCs w:val="21"/>
              </w:rPr>
              <w:t>护理质量管理</w:t>
            </w:r>
          </w:p>
        </w:tc>
        <w:tc>
          <w:tcPr>
            <w:tcW w:w="2268" w:type="dxa"/>
          </w:tcPr>
          <w:p w14:paraId="0EE9F443">
            <w:pPr>
              <w:widowControl w:val="0"/>
              <w:snapToGrid w:val="0"/>
              <w:spacing w:line="288" w:lineRule="auto"/>
              <w:jc w:val="both"/>
              <w:rPr>
                <w:rFonts w:cs="Times New Roman"/>
                <w:bCs/>
                <w:color w:val="000000"/>
                <w:kern w:val="2"/>
                <w:sz w:val="21"/>
                <w:szCs w:val="21"/>
              </w:rPr>
            </w:pPr>
            <w:r>
              <w:rPr>
                <w:rFonts w:cs="Times New Roman"/>
                <w:bCs/>
                <w:color w:val="000000"/>
                <w:kern w:val="2"/>
                <w:sz w:val="21"/>
                <w:szCs w:val="21"/>
              </w:rPr>
              <w:t>1.</w:t>
            </w:r>
            <w:r>
              <w:rPr>
                <w:rFonts w:hint="eastAsia" w:cs="Times New Roman"/>
                <w:bCs/>
                <w:color w:val="000000"/>
                <w:kern w:val="2"/>
                <w:sz w:val="21"/>
                <w:szCs w:val="21"/>
              </w:rPr>
              <w:t>知道</w:t>
            </w:r>
            <w:r>
              <w:rPr>
                <w:rFonts w:cs="Times New Roman"/>
                <w:bCs/>
                <w:color w:val="000000"/>
                <w:kern w:val="2"/>
                <w:sz w:val="21"/>
                <w:szCs w:val="21"/>
              </w:rPr>
              <w:t>：护理质量管理的概念、原则；护理质量标准的类型；护理质量缺陷的原因及管理措施。</w:t>
            </w:r>
          </w:p>
          <w:p w14:paraId="13574F34">
            <w:pPr>
              <w:widowControl w:val="0"/>
              <w:snapToGrid w:val="0"/>
              <w:spacing w:line="288" w:lineRule="auto"/>
              <w:jc w:val="both"/>
              <w:rPr>
                <w:rFonts w:cs="Times New Roman"/>
                <w:bCs/>
                <w:color w:val="000000"/>
                <w:kern w:val="2"/>
                <w:sz w:val="21"/>
                <w:szCs w:val="21"/>
              </w:rPr>
            </w:pPr>
            <w:r>
              <w:rPr>
                <w:rFonts w:cs="Times New Roman"/>
                <w:bCs/>
                <w:color w:val="000000"/>
                <w:kern w:val="2"/>
                <w:sz w:val="21"/>
                <w:szCs w:val="21"/>
              </w:rPr>
              <w:t>2.理解：护理质量管理的任务；差错、事故的概念及分类。</w:t>
            </w:r>
          </w:p>
          <w:p w14:paraId="31A9A570">
            <w:pPr>
              <w:widowControl w:val="0"/>
              <w:snapToGrid w:val="0"/>
              <w:spacing w:line="288" w:lineRule="auto"/>
              <w:jc w:val="both"/>
              <w:rPr>
                <w:rFonts w:cs="Times New Roman"/>
                <w:bCs/>
                <w:color w:val="000000"/>
                <w:kern w:val="2"/>
                <w:sz w:val="21"/>
                <w:szCs w:val="21"/>
              </w:rPr>
            </w:pPr>
          </w:p>
        </w:tc>
        <w:tc>
          <w:tcPr>
            <w:tcW w:w="1985" w:type="dxa"/>
          </w:tcPr>
          <w:p w14:paraId="7AD3F0DF">
            <w:pPr>
              <w:widowControl w:val="0"/>
              <w:snapToGrid w:val="0"/>
              <w:spacing w:line="288" w:lineRule="auto"/>
              <w:jc w:val="both"/>
              <w:rPr>
                <w:rFonts w:cs="Times New Roman"/>
                <w:b/>
                <w:color w:val="000000"/>
                <w:kern w:val="2"/>
                <w:sz w:val="21"/>
                <w:szCs w:val="21"/>
              </w:rPr>
            </w:pPr>
            <w:r>
              <w:rPr>
                <w:rFonts w:cs="Times New Roman"/>
                <w:bCs/>
                <w:color w:val="000000"/>
                <w:kern w:val="2"/>
                <w:sz w:val="21"/>
                <w:szCs w:val="21"/>
              </w:rPr>
              <w:t>学会运用PDCA循环、品管圈分析解决实际问题。</w:t>
            </w:r>
          </w:p>
        </w:tc>
        <w:tc>
          <w:tcPr>
            <w:tcW w:w="1134" w:type="dxa"/>
          </w:tcPr>
          <w:p w14:paraId="4332BDF6">
            <w:pPr>
              <w:widowControl w:val="0"/>
              <w:snapToGrid w:val="0"/>
              <w:spacing w:line="288" w:lineRule="auto"/>
              <w:jc w:val="both"/>
              <w:rPr>
                <w:rFonts w:cs="Times New Roman"/>
                <w:bCs/>
                <w:color w:val="000000"/>
                <w:kern w:val="2"/>
                <w:sz w:val="21"/>
                <w:szCs w:val="21"/>
              </w:rPr>
            </w:pPr>
            <w:r>
              <w:rPr>
                <w:rFonts w:cs="Times New Roman"/>
                <w:bCs/>
                <w:color w:val="000000"/>
                <w:kern w:val="2"/>
                <w:sz w:val="21"/>
                <w:szCs w:val="21"/>
              </w:rPr>
              <w:t>具有质量管理的意识和基本能力。</w:t>
            </w:r>
          </w:p>
          <w:p w14:paraId="4E80957B">
            <w:pPr>
              <w:widowControl w:val="0"/>
              <w:snapToGrid w:val="0"/>
              <w:spacing w:line="288" w:lineRule="auto"/>
              <w:jc w:val="both"/>
              <w:rPr>
                <w:rFonts w:cs="Times New Roman"/>
                <w:b/>
                <w:color w:val="000000"/>
                <w:kern w:val="2"/>
                <w:sz w:val="21"/>
                <w:szCs w:val="21"/>
              </w:rPr>
            </w:pPr>
          </w:p>
        </w:tc>
        <w:tc>
          <w:tcPr>
            <w:tcW w:w="1276" w:type="dxa"/>
          </w:tcPr>
          <w:p w14:paraId="5A0685BD">
            <w:pPr>
              <w:widowControl w:val="0"/>
              <w:jc w:val="both"/>
              <w:rPr>
                <w:rFonts w:cs="Times New Roman"/>
                <w:color w:val="000000"/>
                <w:kern w:val="2"/>
                <w:sz w:val="21"/>
                <w:szCs w:val="21"/>
              </w:rPr>
            </w:pPr>
            <w:r>
              <w:rPr>
                <w:rFonts w:cs="Times New Roman"/>
                <w:bCs/>
                <w:color w:val="000000"/>
                <w:kern w:val="2"/>
                <w:sz w:val="21"/>
                <w:szCs w:val="21"/>
              </w:rPr>
              <w:t>护理质量缺陷的原因及管理措施</w:t>
            </w:r>
          </w:p>
        </w:tc>
      </w:tr>
      <w:tr w14:paraId="62BA6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6" w:hRule="atLeast"/>
          <w:jc w:val="center"/>
        </w:trPr>
        <w:tc>
          <w:tcPr>
            <w:tcW w:w="456" w:type="dxa"/>
            <w:vAlign w:val="center"/>
          </w:tcPr>
          <w:p w14:paraId="1DE79AD4">
            <w:pPr>
              <w:widowControl w:val="0"/>
              <w:snapToGrid w:val="0"/>
              <w:spacing w:line="288" w:lineRule="auto"/>
              <w:jc w:val="center"/>
              <w:rPr>
                <w:rFonts w:cs="Times New Roman"/>
                <w:bCs/>
                <w:color w:val="000000"/>
                <w:kern w:val="2"/>
                <w:sz w:val="21"/>
                <w:szCs w:val="21"/>
              </w:rPr>
            </w:pPr>
            <w:r>
              <w:rPr>
                <w:rFonts w:cs="Times New Roman"/>
                <w:bCs/>
                <w:color w:val="000000"/>
                <w:kern w:val="2"/>
                <w:sz w:val="21"/>
                <w:szCs w:val="21"/>
              </w:rPr>
              <w:t>11</w:t>
            </w:r>
          </w:p>
        </w:tc>
        <w:tc>
          <w:tcPr>
            <w:tcW w:w="673" w:type="dxa"/>
            <w:vAlign w:val="center"/>
          </w:tcPr>
          <w:p w14:paraId="25F478A3">
            <w:pPr>
              <w:widowControl w:val="0"/>
              <w:snapToGrid w:val="0"/>
              <w:spacing w:line="288" w:lineRule="auto"/>
              <w:jc w:val="center"/>
              <w:rPr>
                <w:rFonts w:cs="Times New Roman"/>
                <w:bCs/>
                <w:color w:val="000000"/>
                <w:kern w:val="2"/>
                <w:sz w:val="21"/>
                <w:szCs w:val="21"/>
              </w:rPr>
            </w:pPr>
            <w:r>
              <w:rPr>
                <w:rFonts w:cs="Times New Roman"/>
                <w:bCs/>
                <w:color w:val="000000"/>
                <w:kern w:val="2"/>
                <w:sz w:val="21"/>
                <w:szCs w:val="21"/>
              </w:rPr>
              <w:t>护理信息管理</w:t>
            </w:r>
          </w:p>
        </w:tc>
        <w:tc>
          <w:tcPr>
            <w:tcW w:w="2268" w:type="dxa"/>
          </w:tcPr>
          <w:p w14:paraId="5B9F9EB1">
            <w:pPr>
              <w:widowControl w:val="0"/>
              <w:snapToGrid w:val="0"/>
              <w:spacing w:line="288" w:lineRule="auto"/>
              <w:jc w:val="both"/>
              <w:rPr>
                <w:rFonts w:cs="Times New Roman"/>
                <w:bCs/>
                <w:color w:val="000000"/>
                <w:kern w:val="2"/>
                <w:sz w:val="21"/>
                <w:szCs w:val="21"/>
              </w:rPr>
            </w:pPr>
            <w:r>
              <w:rPr>
                <w:rFonts w:cs="Times New Roman"/>
                <w:bCs/>
                <w:color w:val="000000"/>
                <w:kern w:val="2"/>
                <w:sz w:val="21"/>
                <w:szCs w:val="21"/>
              </w:rPr>
              <w:t>1.</w:t>
            </w:r>
            <w:r>
              <w:rPr>
                <w:rFonts w:hint="eastAsia" w:cs="Times New Roman"/>
                <w:bCs/>
                <w:color w:val="000000"/>
                <w:kern w:val="2"/>
                <w:sz w:val="21"/>
                <w:szCs w:val="21"/>
              </w:rPr>
              <w:t>知道</w:t>
            </w:r>
            <w:r>
              <w:rPr>
                <w:rFonts w:cs="Times New Roman"/>
                <w:bCs/>
                <w:color w:val="000000"/>
                <w:kern w:val="2"/>
                <w:sz w:val="21"/>
                <w:szCs w:val="21"/>
              </w:rPr>
              <w:t>：信息的概念、特征；护理信息的特征、收集方法。</w:t>
            </w:r>
          </w:p>
          <w:p w14:paraId="2582CC0A">
            <w:pPr>
              <w:widowControl w:val="0"/>
              <w:snapToGrid w:val="0"/>
              <w:spacing w:line="288" w:lineRule="auto"/>
              <w:jc w:val="both"/>
              <w:rPr>
                <w:rFonts w:cs="Times New Roman"/>
                <w:bCs/>
                <w:color w:val="000000"/>
                <w:kern w:val="2"/>
                <w:sz w:val="21"/>
                <w:szCs w:val="21"/>
              </w:rPr>
            </w:pPr>
            <w:r>
              <w:rPr>
                <w:rFonts w:cs="Times New Roman"/>
                <w:bCs/>
                <w:color w:val="000000"/>
                <w:kern w:val="2"/>
                <w:sz w:val="21"/>
                <w:szCs w:val="21"/>
              </w:rPr>
              <w:t>2.理解：护理信息的分类及护理信息管理的措施、医院信息系统的概念、功能及构成。</w:t>
            </w:r>
          </w:p>
          <w:p w14:paraId="32513BA4">
            <w:pPr>
              <w:widowControl w:val="0"/>
              <w:snapToGrid w:val="0"/>
              <w:spacing w:line="288" w:lineRule="auto"/>
              <w:jc w:val="both"/>
              <w:rPr>
                <w:rFonts w:cs="Times New Roman"/>
                <w:bCs/>
                <w:color w:val="000000"/>
                <w:kern w:val="2"/>
                <w:sz w:val="21"/>
                <w:szCs w:val="21"/>
              </w:rPr>
            </w:pPr>
          </w:p>
        </w:tc>
        <w:tc>
          <w:tcPr>
            <w:tcW w:w="1985" w:type="dxa"/>
          </w:tcPr>
          <w:p w14:paraId="6DD8B363">
            <w:pPr>
              <w:widowControl w:val="0"/>
              <w:snapToGrid w:val="0"/>
              <w:spacing w:line="288" w:lineRule="auto"/>
              <w:jc w:val="both"/>
              <w:rPr>
                <w:rFonts w:cs="Times New Roman"/>
                <w:b/>
                <w:color w:val="000000"/>
                <w:kern w:val="2"/>
                <w:sz w:val="21"/>
                <w:szCs w:val="21"/>
              </w:rPr>
            </w:pPr>
            <w:r>
              <w:rPr>
                <w:rFonts w:cs="Times New Roman"/>
                <w:bCs/>
                <w:color w:val="000000"/>
                <w:kern w:val="2"/>
                <w:sz w:val="21"/>
                <w:szCs w:val="21"/>
              </w:rPr>
              <w:t>学会操作使用护理信息系统及医院信息系统。</w:t>
            </w:r>
          </w:p>
        </w:tc>
        <w:tc>
          <w:tcPr>
            <w:tcW w:w="1134" w:type="dxa"/>
          </w:tcPr>
          <w:p w14:paraId="2E038B3C">
            <w:pPr>
              <w:widowControl w:val="0"/>
              <w:snapToGrid w:val="0"/>
              <w:spacing w:line="288" w:lineRule="auto"/>
              <w:jc w:val="both"/>
              <w:rPr>
                <w:rFonts w:cs="Times New Roman"/>
                <w:b/>
                <w:color w:val="000000"/>
                <w:kern w:val="2"/>
                <w:sz w:val="21"/>
                <w:szCs w:val="21"/>
              </w:rPr>
            </w:pPr>
            <w:r>
              <w:rPr>
                <w:rFonts w:cs="Times New Roman"/>
                <w:bCs/>
                <w:color w:val="000000"/>
                <w:kern w:val="2"/>
                <w:sz w:val="21"/>
                <w:szCs w:val="21"/>
              </w:rPr>
              <w:t>具有对护理信息收集、分析、归纳、判断和运用的能力。</w:t>
            </w:r>
          </w:p>
        </w:tc>
        <w:tc>
          <w:tcPr>
            <w:tcW w:w="1276" w:type="dxa"/>
          </w:tcPr>
          <w:p w14:paraId="2F900352">
            <w:pPr>
              <w:widowControl w:val="0"/>
              <w:snapToGrid w:val="0"/>
              <w:spacing w:line="288" w:lineRule="auto"/>
              <w:jc w:val="both"/>
              <w:rPr>
                <w:rFonts w:cs="Times New Roman"/>
                <w:bCs/>
                <w:color w:val="000000"/>
                <w:kern w:val="2"/>
                <w:sz w:val="21"/>
                <w:szCs w:val="21"/>
              </w:rPr>
            </w:pPr>
            <w:r>
              <w:rPr>
                <w:rFonts w:cs="Times New Roman"/>
                <w:bCs/>
                <w:color w:val="000000"/>
                <w:kern w:val="2"/>
                <w:sz w:val="21"/>
                <w:szCs w:val="21"/>
              </w:rPr>
              <w:t>护理信息管理的措施</w:t>
            </w:r>
          </w:p>
          <w:p w14:paraId="226CFB24">
            <w:pPr>
              <w:widowControl w:val="0"/>
              <w:jc w:val="both"/>
              <w:rPr>
                <w:rFonts w:cs="Times New Roman"/>
                <w:color w:val="000000"/>
                <w:kern w:val="2"/>
                <w:sz w:val="21"/>
                <w:szCs w:val="21"/>
              </w:rPr>
            </w:pPr>
          </w:p>
        </w:tc>
      </w:tr>
      <w:tr w14:paraId="0DC7A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6" w:hRule="atLeast"/>
          <w:jc w:val="center"/>
        </w:trPr>
        <w:tc>
          <w:tcPr>
            <w:tcW w:w="456" w:type="dxa"/>
            <w:vAlign w:val="center"/>
          </w:tcPr>
          <w:p w14:paraId="49A5586F">
            <w:pPr>
              <w:widowControl w:val="0"/>
              <w:snapToGrid w:val="0"/>
              <w:spacing w:line="288" w:lineRule="auto"/>
              <w:jc w:val="center"/>
              <w:rPr>
                <w:rFonts w:cs="Times New Roman"/>
                <w:bCs/>
                <w:color w:val="000000"/>
                <w:kern w:val="2"/>
                <w:sz w:val="21"/>
                <w:szCs w:val="21"/>
              </w:rPr>
            </w:pPr>
            <w:r>
              <w:rPr>
                <w:rFonts w:cs="Times New Roman"/>
                <w:bCs/>
                <w:color w:val="000000"/>
                <w:kern w:val="2"/>
                <w:sz w:val="21"/>
                <w:szCs w:val="21"/>
              </w:rPr>
              <w:t>12</w:t>
            </w:r>
          </w:p>
        </w:tc>
        <w:tc>
          <w:tcPr>
            <w:tcW w:w="673" w:type="dxa"/>
            <w:vAlign w:val="center"/>
          </w:tcPr>
          <w:p w14:paraId="78F3408F">
            <w:pPr>
              <w:widowControl w:val="0"/>
              <w:snapToGrid w:val="0"/>
              <w:spacing w:line="288" w:lineRule="auto"/>
              <w:jc w:val="center"/>
              <w:rPr>
                <w:rFonts w:cs="Times New Roman"/>
                <w:bCs/>
                <w:color w:val="000000"/>
                <w:kern w:val="2"/>
                <w:sz w:val="21"/>
                <w:szCs w:val="21"/>
              </w:rPr>
            </w:pPr>
            <w:r>
              <w:rPr>
                <w:rFonts w:cs="Times New Roman"/>
                <w:bCs/>
                <w:color w:val="000000"/>
                <w:kern w:val="2"/>
                <w:sz w:val="21"/>
                <w:szCs w:val="21"/>
              </w:rPr>
              <w:t>护理管理与医疗卫生法律法规</w:t>
            </w:r>
          </w:p>
        </w:tc>
        <w:tc>
          <w:tcPr>
            <w:tcW w:w="2268" w:type="dxa"/>
          </w:tcPr>
          <w:p w14:paraId="70E949A0">
            <w:pPr>
              <w:widowControl w:val="0"/>
              <w:snapToGrid w:val="0"/>
              <w:spacing w:line="288" w:lineRule="auto"/>
              <w:jc w:val="both"/>
              <w:rPr>
                <w:rFonts w:cs="Times New Roman"/>
                <w:bCs/>
                <w:color w:val="000000"/>
                <w:kern w:val="2"/>
                <w:sz w:val="21"/>
                <w:szCs w:val="21"/>
              </w:rPr>
            </w:pPr>
            <w:r>
              <w:rPr>
                <w:rFonts w:cs="Times New Roman"/>
                <w:bCs/>
                <w:color w:val="000000"/>
                <w:kern w:val="2"/>
                <w:sz w:val="21"/>
                <w:szCs w:val="21"/>
              </w:rPr>
              <w:t>1.</w:t>
            </w:r>
            <w:r>
              <w:rPr>
                <w:rFonts w:hint="eastAsia" w:cs="Times New Roman"/>
                <w:bCs/>
                <w:color w:val="000000"/>
                <w:kern w:val="2"/>
                <w:sz w:val="21"/>
                <w:szCs w:val="21"/>
              </w:rPr>
              <w:t>知道</w:t>
            </w:r>
            <w:r>
              <w:rPr>
                <w:rFonts w:cs="Times New Roman"/>
                <w:bCs/>
                <w:color w:val="000000"/>
                <w:kern w:val="2"/>
                <w:sz w:val="21"/>
                <w:szCs w:val="21"/>
              </w:rPr>
              <w:t>：卫生法、医政法、护理法、药品不良反应、医疗事故等相关概念。</w:t>
            </w:r>
          </w:p>
          <w:p w14:paraId="3CD3FA5E">
            <w:pPr>
              <w:widowControl w:val="0"/>
              <w:snapToGrid w:val="0"/>
              <w:spacing w:line="288" w:lineRule="auto"/>
              <w:jc w:val="both"/>
              <w:rPr>
                <w:rFonts w:cs="Times New Roman"/>
                <w:bCs/>
                <w:color w:val="000000"/>
                <w:kern w:val="2"/>
                <w:sz w:val="21"/>
                <w:szCs w:val="21"/>
              </w:rPr>
            </w:pPr>
            <w:r>
              <w:rPr>
                <w:rFonts w:cs="Times New Roman"/>
                <w:bCs/>
                <w:color w:val="000000"/>
                <w:kern w:val="2"/>
                <w:sz w:val="21"/>
                <w:szCs w:val="21"/>
              </w:rPr>
              <w:t>2.理解：护理管理相关的法律、法规和政策。</w:t>
            </w:r>
          </w:p>
          <w:p w14:paraId="471DF1D0">
            <w:pPr>
              <w:widowControl w:val="0"/>
              <w:snapToGrid w:val="0"/>
              <w:spacing w:line="288" w:lineRule="auto"/>
              <w:jc w:val="both"/>
              <w:rPr>
                <w:rFonts w:cs="Times New Roman"/>
                <w:bCs/>
                <w:color w:val="000000"/>
                <w:kern w:val="2"/>
                <w:sz w:val="21"/>
                <w:szCs w:val="21"/>
              </w:rPr>
            </w:pPr>
          </w:p>
        </w:tc>
        <w:tc>
          <w:tcPr>
            <w:tcW w:w="1985" w:type="dxa"/>
          </w:tcPr>
          <w:p w14:paraId="6DB2B18F">
            <w:pPr>
              <w:widowControl w:val="0"/>
              <w:snapToGrid w:val="0"/>
              <w:spacing w:line="288" w:lineRule="auto"/>
              <w:jc w:val="both"/>
              <w:rPr>
                <w:rFonts w:cs="Times New Roman"/>
                <w:b/>
                <w:color w:val="000000"/>
                <w:kern w:val="2"/>
                <w:sz w:val="21"/>
                <w:szCs w:val="21"/>
              </w:rPr>
            </w:pPr>
            <w:r>
              <w:rPr>
                <w:rFonts w:cs="Times New Roman"/>
                <w:bCs/>
                <w:color w:val="000000"/>
                <w:kern w:val="2"/>
                <w:sz w:val="21"/>
                <w:szCs w:val="21"/>
              </w:rPr>
              <w:t>能将与护理管理相关的法律法规与临床护理管理中的具体案例、问题相结合，做到依法执业和安全执业。</w:t>
            </w:r>
          </w:p>
        </w:tc>
        <w:tc>
          <w:tcPr>
            <w:tcW w:w="1134" w:type="dxa"/>
          </w:tcPr>
          <w:p w14:paraId="3C1D97C8">
            <w:pPr>
              <w:widowControl w:val="0"/>
              <w:snapToGrid w:val="0"/>
              <w:spacing w:line="288" w:lineRule="auto"/>
              <w:jc w:val="both"/>
              <w:rPr>
                <w:rFonts w:cs="Times New Roman"/>
                <w:b/>
                <w:color w:val="000000"/>
                <w:kern w:val="2"/>
                <w:sz w:val="21"/>
                <w:szCs w:val="21"/>
              </w:rPr>
            </w:pPr>
            <w:r>
              <w:rPr>
                <w:rFonts w:cs="Times New Roman"/>
                <w:bCs/>
                <w:color w:val="000000"/>
                <w:kern w:val="2"/>
                <w:sz w:val="21"/>
                <w:szCs w:val="21"/>
              </w:rPr>
              <w:t>遵守相关法律的责任与义务。</w:t>
            </w:r>
          </w:p>
        </w:tc>
        <w:tc>
          <w:tcPr>
            <w:tcW w:w="1276" w:type="dxa"/>
          </w:tcPr>
          <w:p w14:paraId="324502E6">
            <w:pPr>
              <w:widowControl w:val="0"/>
              <w:snapToGrid w:val="0"/>
              <w:spacing w:line="288" w:lineRule="auto"/>
              <w:jc w:val="both"/>
              <w:rPr>
                <w:rFonts w:cs="Times New Roman"/>
                <w:bCs/>
                <w:color w:val="000000"/>
                <w:kern w:val="2"/>
                <w:sz w:val="21"/>
                <w:szCs w:val="21"/>
              </w:rPr>
            </w:pPr>
            <w:r>
              <w:rPr>
                <w:rFonts w:cs="Times New Roman"/>
                <w:bCs/>
                <w:color w:val="000000"/>
                <w:kern w:val="2"/>
                <w:sz w:val="21"/>
                <w:szCs w:val="21"/>
              </w:rPr>
              <w:t>卫生法、医政法、护理法、药品不良反应、医疗事故等相关概念。</w:t>
            </w:r>
          </w:p>
          <w:p w14:paraId="604686C3">
            <w:pPr>
              <w:widowControl w:val="0"/>
              <w:jc w:val="both"/>
              <w:rPr>
                <w:rFonts w:cs="Times New Roman"/>
                <w:color w:val="000000"/>
                <w:kern w:val="2"/>
                <w:sz w:val="21"/>
                <w:szCs w:val="21"/>
              </w:rPr>
            </w:pPr>
          </w:p>
        </w:tc>
      </w:tr>
    </w:tbl>
    <w:p w14:paraId="029AE931">
      <w:pPr>
        <w:pStyle w:val="20"/>
        <w:spacing w:before="81" w:after="163"/>
      </w:pPr>
    </w:p>
    <w:p w14:paraId="3031907A">
      <w:pPr>
        <w:pStyle w:val="20"/>
        <w:spacing w:before="81" w:after="163"/>
      </w:pPr>
      <w:r>
        <w:rPr>
          <w:rFonts w:hint="eastAsia"/>
        </w:rPr>
        <w:t>（二）教学单元对课程目标的支撑关系</w:t>
      </w:r>
    </w:p>
    <w:tbl>
      <w:tblPr>
        <w:tblStyle w:val="9"/>
        <w:tblW w:w="495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3461"/>
        <w:gridCol w:w="1024"/>
        <w:gridCol w:w="1016"/>
        <w:gridCol w:w="992"/>
        <w:gridCol w:w="895"/>
        <w:gridCol w:w="1016"/>
      </w:tblGrid>
      <w:tr w14:paraId="56F89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822" w:hRule="atLeast"/>
          <w:jc w:val="center"/>
        </w:trPr>
        <w:tc>
          <w:tcPr>
            <w:tcW w:w="3379" w:type="dxa"/>
            <w:tcBorders>
              <w:top w:val="single" w:color="auto" w:sz="12" w:space="0"/>
              <w:left w:val="single" w:color="auto" w:sz="12" w:space="0"/>
              <w:tl2br w:val="single" w:color="auto" w:sz="4" w:space="0"/>
            </w:tcBorders>
          </w:tcPr>
          <w:p w14:paraId="56773C18">
            <w:pPr>
              <w:pStyle w:val="16"/>
              <w:ind w:firstLine="489"/>
              <w:jc w:val="right"/>
              <w:rPr>
                <w:szCs w:val="16"/>
              </w:rPr>
            </w:pPr>
            <w:r>
              <w:rPr>
                <w:rFonts w:hint="eastAsia"/>
                <w:szCs w:val="16"/>
              </w:rPr>
              <w:t>课程目标</w:t>
            </w:r>
          </w:p>
          <w:p w14:paraId="54C4DD41">
            <w:pPr>
              <w:pStyle w:val="16"/>
              <w:ind w:right="210"/>
              <w:jc w:val="left"/>
              <w:rPr>
                <w:szCs w:val="16"/>
              </w:rPr>
            </w:pPr>
          </w:p>
          <w:p w14:paraId="5AC62D3B">
            <w:pPr>
              <w:pStyle w:val="16"/>
              <w:ind w:right="210"/>
              <w:jc w:val="left"/>
              <w:rPr>
                <w:szCs w:val="16"/>
              </w:rPr>
            </w:pPr>
            <w:r>
              <w:rPr>
                <w:rFonts w:hint="eastAsia"/>
                <w:szCs w:val="16"/>
              </w:rPr>
              <w:t>教学单元</w:t>
            </w:r>
          </w:p>
        </w:tc>
        <w:tc>
          <w:tcPr>
            <w:tcW w:w="1000" w:type="dxa"/>
            <w:tcBorders>
              <w:top w:val="single" w:color="auto" w:sz="12" w:space="0"/>
            </w:tcBorders>
            <w:vAlign w:val="center"/>
          </w:tcPr>
          <w:p w14:paraId="3E800E96">
            <w:pPr>
              <w:pStyle w:val="16"/>
              <w:rPr>
                <w:szCs w:val="16"/>
              </w:rPr>
            </w:pPr>
            <w:r>
              <w:rPr>
                <w:rFonts w:hint="eastAsia"/>
                <w:szCs w:val="16"/>
              </w:rPr>
              <w:t>1</w:t>
            </w:r>
          </w:p>
        </w:tc>
        <w:tc>
          <w:tcPr>
            <w:tcW w:w="992" w:type="dxa"/>
            <w:tcBorders>
              <w:top w:val="single" w:color="auto" w:sz="12" w:space="0"/>
            </w:tcBorders>
            <w:vAlign w:val="center"/>
          </w:tcPr>
          <w:p w14:paraId="3555E9F6">
            <w:pPr>
              <w:pStyle w:val="16"/>
              <w:rPr>
                <w:szCs w:val="16"/>
              </w:rPr>
            </w:pPr>
            <w:r>
              <w:rPr>
                <w:rFonts w:hint="eastAsia"/>
                <w:szCs w:val="16"/>
              </w:rPr>
              <w:t>2</w:t>
            </w:r>
          </w:p>
        </w:tc>
        <w:tc>
          <w:tcPr>
            <w:tcW w:w="969" w:type="dxa"/>
            <w:tcBorders>
              <w:top w:val="single" w:color="auto" w:sz="12" w:space="0"/>
            </w:tcBorders>
            <w:vAlign w:val="center"/>
          </w:tcPr>
          <w:p w14:paraId="4D7974A3">
            <w:pPr>
              <w:pStyle w:val="16"/>
              <w:rPr>
                <w:szCs w:val="16"/>
              </w:rPr>
            </w:pPr>
            <w:r>
              <w:rPr>
                <w:rFonts w:hint="eastAsia"/>
                <w:szCs w:val="16"/>
              </w:rPr>
              <w:t>3</w:t>
            </w:r>
          </w:p>
        </w:tc>
        <w:tc>
          <w:tcPr>
            <w:tcW w:w="874" w:type="dxa"/>
            <w:tcBorders>
              <w:top w:val="single" w:color="auto" w:sz="12" w:space="0"/>
            </w:tcBorders>
            <w:vAlign w:val="center"/>
          </w:tcPr>
          <w:p w14:paraId="78C6A6F2">
            <w:pPr>
              <w:pStyle w:val="16"/>
              <w:rPr>
                <w:szCs w:val="16"/>
              </w:rPr>
            </w:pPr>
            <w:r>
              <w:rPr>
                <w:rFonts w:hint="eastAsia"/>
                <w:szCs w:val="16"/>
              </w:rPr>
              <w:t>4</w:t>
            </w:r>
          </w:p>
        </w:tc>
        <w:tc>
          <w:tcPr>
            <w:tcW w:w="992" w:type="dxa"/>
            <w:tcBorders>
              <w:top w:val="single" w:color="auto" w:sz="12" w:space="0"/>
              <w:right w:val="single" w:color="auto" w:sz="12" w:space="0"/>
            </w:tcBorders>
            <w:vAlign w:val="center"/>
          </w:tcPr>
          <w:p w14:paraId="32ACEAD6">
            <w:pPr>
              <w:pStyle w:val="16"/>
              <w:rPr>
                <w:szCs w:val="16"/>
              </w:rPr>
            </w:pPr>
            <w:r>
              <w:rPr>
                <w:rFonts w:hint="eastAsia"/>
                <w:szCs w:val="16"/>
              </w:rPr>
              <w:t>5</w:t>
            </w:r>
          </w:p>
        </w:tc>
      </w:tr>
      <w:tr w14:paraId="0FB32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52" w:hRule="atLeast"/>
          <w:jc w:val="center"/>
        </w:trPr>
        <w:tc>
          <w:tcPr>
            <w:tcW w:w="3379" w:type="dxa"/>
            <w:tcBorders>
              <w:left w:val="single" w:color="auto" w:sz="12" w:space="0"/>
            </w:tcBorders>
            <w:vAlign w:val="center"/>
          </w:tcPr>
          <w:p w14:paraId="3B75485D">
            <w:pPr>
              <w:pStyle w:val="17"/>
            </w:pPr>
            <w:r>
              <w:rPr>
                <w:rFonts w:hint="eastAsia"/>
              </w:rPr>
              <w:t>第一章</w:t>
            </w:r>
            <w:r>
              <w:rPr>
                <w:rFonts w:hint="eastAsia" w:ascii="宋体" w:hAnsi="宋体"/>
              </w:rPr>
              <w:t>绪论</w:t>
            </w:r>
          </w:p>
        </w:tc>
        <w:tc>
          <w:tcPr>
            <w:tcW w:w="1000" w:type="dxa"/>
            <w:vAlign w:val="center"/>
          </w:tcPr>
          <w:p w14:paraId="3B8798C0">
            <w:pPr>
              <w:pStyle w:val="17"/>
            </w:pPr>
            <w:r>
              <w:rPr>
                <w:rFonts w:hint="eastAsia"/>
              </w:rPr>
              <w:t>√</w:t>
            </w:r>
          </w:p>
        </w:tc>
        <w:tc>
          <w:tcPr>
            <w:tcW w:w="992" w:type="dxa"/>
            <w:vAlign w:val="center"/>
          </w:tcPr>
          <w:p w14:paraId="5720208A">
            <w:pPr>
              <w:pStyle w:val="17"/>
            </w:pPr>
          </w:p>
        </w:tc>
        <w:tc>
          <w:tcPr>
            <w:tcW w:w="969" w:type="dxa"/>
            <w:vAlign w:val="center"/>
          </w:tcPr>
          <w:p w14:paraId="04C8F8A5">
            <w:pPr>
              <w:pStyle w:val="17"/>
            </w:pPr>
          </w:p>
        </w:tc>
        <w:tc>
          <w:tcPr>
            <w:tcW w:w="874" w:type="dxa"/>
          </w:tcPr>
          <w:p w14:paraId="49B7CD2B">
            <w:pPr>
              <w:pStyle w:val="17"/>
            </w:pPr>
          </w:p>
        </w:tc>
        <w:tc>
          <w:tcPr>
            <w:tcW w:w="992" w:type="dxa"/>
            <w:tcBorders>
              <w:right w:val="single" w:color="auto" w:sz="12" w:space="0"/>
            </w:tcBorders>
            <w:vAlign w:val="center"/>
          </w:tcPr>
          <w:p w14:paraId="6F2B06C3">
            <w:pPr>
              <w:pStyle w:val="17"/>
            </w:pPr>
            <w:r>
              <w:rPr>
                <w:rFonts w:hint="eastAsia"/>
              </w:rPr>
              <w:t>√</w:t>
            </w:r>
          </w:p>
        </w:tc>
      </w:tr>
      <w:tr w14:paraId="79F91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52" w:hRule="atLeast"/>
          <w:jc w:val="center"/>
        </w:trPr>
        <w:tc>
          <w:tcPr>
            <w:tcW w:w="3379" w:type="dxa"/>
            <w:tcBorders>
              <w:left w:val="single" w:color="auto" w:sz="12" w:space="0"/>
            </w:tcBorders>
            <w:vAlign w:val="center"/>
          </w:tcPr>
          <w:p w14:paraId="2F0C09B7">
            <w:pPr>
              <w:pStyle w:val="17"/>
            </w:pPr>
            <w:r>
              <w:rPr>
                <w:rFonts w:hint="eastAsia" w:ascii="宋体" w:hAnsi="宋体"/>
              </w:rPr>
              <w:t>第二章</w:t>
            </w:r>
            <w:r>
              <w:rPr>
                <w:rFonts w:hint="eastAsia" w:ascii="宋体" w:hAnsi="宋体"/>
                <w:color w:val="auto"/>
              </w:rPr>
              <w:t>管理理论和原理</w:t>
            </w:r>
          </w:p>
        </w:tc>
        <w:tc>
          <w:tcPr>
            <w:tcW w:w="1000" w:type="dxa"/>
            <w:vAlign w:val="center"/>
          </w:tcPr>
          <w:p w14:paraId="218B11AF">
            <w:pPr>
              <w:pStyle w:val="17"/>
            </w:pPr>
            <w:r>
              <w:rPr>
                <w:rFonts w:hint="eastAsia"/>
              </w:rPr>
              <w:t>√</w:t>
            </w:r>
          </w:p>
        </w:tc>
        <w:tc>
          <w:tcPr>
            <w:tcW w:w="992" w:type="dxa"/>
            <w:vAlign w:val="center"/>
          </w:tcPr>
          <w:p w14:paraId="7BA5D391">
            <w:pPr>
              <w:pStyle w:val="17"/>
            </w:pPr>
          </w:p>
        </w:tc>
        <w:tc>
          <w:tcPr>
            <w:tcW w:w="969" w:type="dxa"/>
            <w:vAlign w:val="center"/>
          </w:tcPr>
          <w:p w14:paraId="4C2D5DBB">
            <w:pPr>
              <w:pStyle w:val="17"/>
            </w:pPr>
          </w:p>
        </w:tc>
        <w:tc>
          <w:tcPr>
            <w:tcW w:w="874" w:type="dxa"/>
          </w:tcPr>
          <w:p w14:paraId="6AACE504">
            <w:pPr>
              <w:pStyle w:val="17"/>
            </w:pPr>
            <w:r>
              <w:rPr>
                <w:rFonts w:hint="eastAsia"/>
              </w:rPr>
              <w:t>√</w:t>
            </w:r>
          </w:p>
        </w:tc>
        <w:tc>
          <w:tcPr>
            <w:tcW w:w="992" w:type="dxa"/>
            <w:tcBorders>
              <w:right w:val="single" w:color="auto" w:sz="12" w:space="0"/>
            </w:tcBorders>
            <w:vAlign w:val="center"/>
          </w:tcPr>
          <w:p w14:paraId="0237E9A5">
            <w:pPr>
              <w:pStyle w:val="17"/>
            </w:pPr>
            <w:r>
              <w:rPr>
                <w:rFonts w:hint="eastAsia"/>
              </w:rPr>
              <w:t>√</w:t>
            </w:r>
          </w:p>
        </w:tc>
      </w:tr>
      <w:tr w14:paraId="4983A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52" w:hRule="atLeast"/>
          <w:jc w:val="center"/>
        </w:trPr>
        <w:tc>
          <w:tcPr>
            <w:tcW w:w="3379" w:type="dxa"/>
            <w:tcBorders>
              <w:left w:val="single" w:color="auto" w:sz="12" w:space="0"/>
            </w:tcBorders>
            <w:vAlign w:val="center"/>
          </w:tcPr>
          <w:p w14:paraId="11EE273C">
            <w:pPr>
              <w:pStyle w:val="17"/>
              <w:rPr>
                <w:rFonts w:ascii="宋体" w:hAnsi="宋体"/>
              </w:rPr>
            </w:pPr>
            <w:r>
              <w:rPr>
                <w:rFonts w:hint="eastAsia" w:ascii="宋体" w:hAnsi="宋体"/>
              </w:rPr>
              <w:t>第三章</w:t>
            </w:r>
            <w:r>
              <w:rPr>
                <w:rFonts w:ascii="宋体" w:hAnsi="宋体"/>
                <w:color w:val="auto"/>
              </w:rPr>
              <w:t>护理管理环境</w:t>
            </w:r>
          </w:p>
        </w:tc>
        <w:tc>
          <w:tcPr>
            <w:tcW w:w="1000" w:type="dxa"/>
            <w:vAlign w:val="center"/>
          </w:tcPr>
          <w:p w14:paraId="6D950A48">
            <w:pPr>
              <w:pStyle w:val="17"/>
            </w:pPr>
            <w:r>
              <w:rPr>
                <w:rFonts w:hint="eastAsia"/>
              </w:rPr>
              <w:t>√</w:t>
            </w:r>
          </w:p>
        </w:tc>
        <w:tc>
          <w:tcPr>
            <w:tcW w:w="992" w:type="dxa"/>
            <w:vAlign w:val="center"/>
          </w:tcPr>
          <w:p w14:paraId="2F6E82E8">
            <w:pPr>
              <w:pStyle w:val="17"/>
            </w:pPr>
          </w:p>
        </w:tc>
        <w:tc>
          <w:tcPr>
            <w:tcW w:w="969" w:type="dxa"/>
            <w:vAlign w:val="center"/>
          </w:tcPr>
          <w:p w14:paraId="73A65AA3">
            <w:pPr>
              <w:pStyle w:val="17"/>
            </w:pPr>
            <w:r>
              <w:rPr>
                <w:rFonts w:hint="eastAsia"/>
              </w:rPr>
              <w:t>√</w:t>
            </w:r>
          </w:p>
        </w:tc>
        <w:tc>
          <w:tcPr>
            <w:tcW w:w="874" w:type="dxa"/>
          </w:tcPr>
          <w:p w14:paraId="194F8ECC">
            <w:pPr>
              <w:pStyle w:val="17"/>
            </w:pPr>
            <w:r>
              <w:rPr>
                <w:rFonts w:hint="eastAsia"/>
              </w:rPr>
              <w:t>√</w:t>
            </w:r>
          </w:p>
        </w:tc>
        <w:tc>
          <w:tcPr>
            <w:tcW w:w="992" w:type="dxa"/>
            <w:tcBorders>
              <w:right w:val="single" w:color="auto" w:sz="12" w:space="0"/>
            </w:tcBorders>
            <w:vAlign w:val="center"/>
          </w:tcPr>
          <w:p w14:paraId="2353A739">
            <w:pPr>
              <w:pStyle w:val="17"/>
            </w:pPr>
            <w:r>
              <w:rPr>
                <w:rFonts w:hint="eastAsia"/>
              </w:rPr>
              <w:t>√</w:t>
            </w:r>
          </w:p>
        </w:tc>
      </w:tr>
      <w:tr w14:paraId="7C440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52" w:hRule="atLeast"/>
          <w:jc w:val="center"/>
        </w:trPr>
        <w:tc>
          <w:tcPr>
            <w:tcW w:w="3379" w:type="dxa"/>
            <w:tcBorders>
              <w:left w:val="single" w:color="auto" w:sz="12" w:space="0"/>
            </w:tcBorders>
            <w:vAlign w:val="center"/>
          </w:tcPr>
          <w:p w14:paraId="4E22D5CD">
            <w:pPr>
              <w:jc w:val="center"/>
              <w:rPr>
                <w:sz w:val="21"/>
                <w:szCs w:val="21"/>
              </w:rPr>
            </w:pPr>
            <w:r>
              <w:rPr>
                <w:rFonts w:hint="eastAsia"/>
                <w:sz w:val="21"/>
                <w:szCs w:val="21"/>
              </w:rPr>
              <w:t>第四章计划</w:t>
            </w:r>
          </w:p>
        </w:tc>
        <w:tc>
          <w:tcPr>
            <w:tcW w:w="1000" w:type="dxa"/>
            <w:vAlign w:val="center"/>
          </w:tcPr>
          <w:p w14:paraId="0FB44E37">
            <w:pPr>
              <w:pStyle w:val="17"/>
            </w:pPr>
            <w:r>
              <w:rPr>
                <w:rFonts w:hint="eastAsia"/>
              </w:rPr>
              <w:t>√</w:t>
            </w:r>
          </w:p>
        </w:tc>
        <w:tc>
          <w:tcPr>
            <w:tcW w:w="992" w:type="dxa"/>
            <w:vAlign w:val="center"/>
          </w:tcPr>
          <w:p w14:paraId="30046274">
            <w:pPr>
              <w:pStyle w:val="17"/>
            </w:pPr>
          </w:p>
        </w:tc>
        <w:tc>
          <w:tcPr>
            <w:tcW w:w="969" w:type="dxa"/>
            <w:vAlign w:val="center"/>
          </w:tcPr>
          <w:p w14:paraId="69C2FC4B">
            <w:pPr>
              <w:pStyle w:val="17"/>
            </w:pPr>
          </w:p>
        </w:tc>
        <w:tc>
          <w:tcPr>
            <w:tcW w:w="874" w:type="dxa"/>
          </w:tcPr>
          <w:p w14:paraId="264E4097">
            <w:pPr>
              <w:pStyle w:val="17"/>
            </w:pPr>
            <w:r>
              <w:rPr>
                <w:rFonts w:hint="eastAsia"/>
              </w:rPr>
              <w:t>√</w:t>
            </w:r>
          </w:p>
        </w:tc>
        <w:tc>
          <w:tcPr>
            <w:tcW w:w="992" w:type="dxa"/>
            <w:tcBorders>
              <w:right w:val="single" w:color="auto" w:sz="12" w:space="0"/>
            </w:tcBorders>
            <w:vAlign w:val="center"/>
          </w:tcPr>
          <w:p w14:paraId="01E50C55">
            <w:pPr>
              <w:pStyle w:val="17"/>
            </w:pPr>
            <w:r>
              <w:rPr>
                <w:rFonts w:hint="eastAsia"/>
              </w:rPr>
              <w:t>√</w:t>
            </w:r>
          </w:p>
        </w:tc>
      </w:tr>
      <w:tr w14:paraId="3B095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52" w:hRule="atLeast"/>
          <w:jc w:val="center"/>
        </w:trPr>
        <w:tc>
          <w:tcPr>
            <w:tcW w:w="3379" w:type="dxa"/>
            <w:tcBorders>
              <w:left w:val="single" w:color="auto" w:sz="12" w:space="0"/>
            </w:tcBorders>
            <w:vAlign w:val="center"/>
          </w:tcPr>
          <w:p w14:paraId="473BA4EE">
            <w:pPr>
              <w:jc w:val="center"/>
              <w:rPr>
                <w:sz w:val="21"/>
                <w:szCs w:val="21"/>
              </w:rPr>
            </w:pPr>
            <w:r>
              <w:rPr>
                <w:rFonts w:hint="eastAsia"/>
                <w:sz w:val="21"/>
                <w:szCs w:val="21"/>
              </w:rPr>
              <w:t>第五章组织</w:t>
            </w:r>
          </w:p>
        </w:tc>
        <w:tc>
          <w:tcPr>
            <w:tcW w:w="1000" w:type="dxa"/>
            <w:vAlign w:val="center"/>
          </w:tcPr>
          <w:p w14:paraId="110EEE4F">
            <w:pPr>
              <w:pStyle w:val="17"/>
            </w:pPr>
            <w:r>
              <w:rPr>
                <w:rFonts w:hint="eastAsia"/>
              </w:rPr>
              <w:t>√</w:t>
            </w:r>
          </w:p>
        </w:tc>
        <w:tc>
          <w:tcPr>
            <w:tcW w:w="992" w:type="dxa"/>
            <w:vAlign w:val="center"/>
          </w:tcPr>
          <w:p w14:paraId="4191BF5F">
            <w:pPr>
              <w:pStyle w:val="17"/>
            </w:pPr>
          </w:p>
        </w:tc>
        <w:tc>
          <w:tcPr>
            <w:tcW w:w="969" w:type="dxa"/>
            <w:vAlign w:val="center"/>
          </w:tcPr>
          <w:p w14:paraId="06331730">
            <w:pPr>
              <w:pStyle w:val="17"/>
            </w:pPr>
          </w:p>
        </w:tc>
        <w:tc>
          <w:tcPr>
            <w:tcW w:w="874" w:type="dxa"/>
          </w:tcPr>
          <w:p w14:paraId="5156818B">
            <w:pPr>
              <w:pStyle w:val="17"/>
            </w:pPr>
            <w:r>
              <w:rPr>
                <w:rFonts w:hint="eastAsia"/>
              </w:rPr>
              <w:t>√</w:t>
            </w:r>
          </w:p>
        </w:tc>
        <w:tc>
          <w:tcPr>
            <w:tcW w:w="992" w:type="dxa"/>
            <w:tcBorders>
              <w:right w:val="single" w:color="auto" w:sz="12" w:space="0"/>
            </w:tcBorders>
            <w:vAlign w:val="center"/>
          </w:tcPr>
          <w:p w14:paraId="0F547170">
            <w:pPr>
              <w:pStyle w:val="17"/>
            </w:pPr>
            <w:r>
              <w:rPr>
                <w:rFonts w:hint="eastAsia"/>
              </w:rPr>
              <w:t>√</w:t>
            </w:r>
          </w:p>
        </w:tc>
      </w:tr>
      <w:tr w14:paraId="4CD13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52" w:hRule="atLeast"/>
          <w:jc w:val="center"/>
        </w:trPr>
        <w:tc>
          <w:tcPr>
            <w:tcW w:w="3379" w:type="dxa"/>
            <w:tcBorders>
              <w:left w:val="single" w:color="auto" w:sz="12" w:space="0"/>
            </w:tcBorders>
            <w:vAlign w:val="center"/>
          </w:tcPr>
          <w:p w14:paraId="59A99F26">
            <w:pPr>
              <w:jc w:val="center"/>
              <w:rPr>
                <w:sz w:val="21"/>
                <w:szCs w:val="21"/>
              </w:rPr>
            </w:pPr>
            <w:r>
              <w:rPr>
                <w:rFonts w:hint="eastAsia"/>
                <w:sz w:val="21"/>
                <w:szCs w:val="21"/>
              </w:rPr>
              <w:t>第六章</w:t>
            </w:r>
            <w:r>
              <w:rPr>
                <w:sz w:val="21"/>
                <w:szCs w:val="21"/>
              </w:rPr>
              <w:t>护理人力资源管理</w:t>
            </w:r>
          </w:p>
        </w:tc>
        <w:tc>
          <w:tcPr>
            <w:tcW w:w="1000" w:type="dxa"/>
            <w:vAlign w:val="center"/>
          </w:tcPr>
          <w:p w14:paraId="434CD7B5">
            <w:pPr>
              <w:pStyle w:val="17"/>
            </w:pPr>
            <w:r>
              <w:rPr>
                <w:rFonts w:hint="eastAsia"/>
              </w:rPr>
              <w:t>√</w:t>
            </w:r>
          </w:p>
        </w:tc>
        <w:tc>
          <w:tcPr>
            <w:tcW w:w="992" w:type="dxa"/>
            <w:vAlign w:val="center"/>
          </w:tcPr>
          <w:p w14:paraId="022ED518">
            <w:pPr>
              <w:pStyle w:val="17"/>
            </w:pPr>
          </w:p>
        </w:tc>
        <w:tc>
          <w:tcPr>
            <w:tcW w:w="969" w:type="dxa"/>
            <w:vAlign w:val="center"/>
          </w:tcPr>
          <w:p w14:paraId="184B17F2">
            <w:pPr>
              <w:pStyle w:val="17"/>
            </w:pPr>
            <w:r>
              <w:rPr>
                <w:rFonts w:hint="eastAsia"/>
              </w:rPr>
              <w:t>√</w:t>
            </w:r>
          </w:p>
        </w:tc>
        <w:tc>
          <w:tcPr>
            <w:tcW w:w="874" w:type="dxa"/>
          </w:tcPr>
          <w:p w14:paraId="310B737E">
            <w:pPr>
              <w:pStyle w:val="17"/>
            </w:pPr>
            <w:r>
              <w:rPr>
                <w:rFonts w:hint="eastAsia"/>
              </w:rPr>
              <w:t>√</w:t>
            </w:r>
          </w:p>
        </w:tc>
        <w:tc>
          <w:tcPr>
            <w:tcW w:w="992" w:type="dxa"/>
            <w:tcBorders>
              <w:right w:val="single" w:color="auto" w:sz="12" w:space="0"/>
            </w:tcBorders>
            <w:vAlign w:val="center"/>
          </w:tcPr>
          <w:p w14:paraId="3F10F4FA">
            <w:pPr>
              <w:pStyle w:val="17"/>
            </w:pPr>
            <w:r>
              <w:rPr>
                <w:rFonts w:hint="eastAsia"/>
              </w:rPr>
              <w:t>√</w:t>
            </w:r>
          </w:p>
        </w:tc>
      </w:tr>
      <w:tr w14:paraId="4B895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52" w:hRule="atLeast"/>
          <w:jc w:val="center"/>
        </w:trPr>
        <w:tc>
          <w:tcPr>
            <w:tcW w:w="3379" w:type="dxa"/>
            <w:tcBorders>
              <w:left w:val="single" w:color="auto" w:sz="12" w:space="0"/>
            </w:tcBorders>
            <w:vAlign w:val="center"/>
          </w:tcPr>
          <w:p w14:paraId="7B4AE925">
            <w:pPr>
              <w:jc w:val="center"/>
              <w:rPr>
                <w:sz w:val="21"/>
                <w:szCs w:val="21"/>
              </w:rPr>
            </w:pPr>
            <w:r>
              <w:rPr>
                <w:rFonts w:hint="eastAsia"/>
                <w:sz w:val="21"/>
                <w:szCs w:val="21"/>
              </w:rPr>
              <w:t>第七章领导</w:t>
            </w:r>
          </w:p>
        </w:tc>
        <w:tc>
          <w:tcPr>
            <w:tcW w:w="1000" w:type="dxa"/>
            <w:vAlign w:val="center"/>
          </w:tcPr>
          <w:p w14:paraId="693D4CA7">
            <w:pPr>
              <w:pStyle w:val="17"/>
            </w:pPr>
            <w:r>
              <w:rPr>
                <w:rFonts w:hint="eastAsia"/>
              </w:rPr>
              <w:t>√</w:t>
            </w:r>
          </w:p>
        </w:tc>
        <w:tc>
          <w:tcPr>
            <w:tcW w:w="992" w:type="dxa"/>
            <w:vAlign w:val="center"/>
          </w:tcPr>
          <w:p w14:paraId="22F957DC">
            <w:pPr>
              <w:pStyle w:val="17"/>
            </w:pPr>
            <w:r>
              <w:rPr>
                <w:rFonts w:hint="eastAsia"/>
              </w:rPr>
              <w:t>√</w:t>
            </w:r>
          </w:p>
        </w:tc>
        <w:tc>
          <w:tcPr>
            <w:tcW w:w="969" w:type="dxa"/>
            <w:vAlign w:val="center"/>
          </w:tcPr>
          <w:p w14:paraId="6FB2797F">
            <w:pPr>
              <w:pStyle w:val="17"/>
            </w:pPr>
          </w:p>
        </w:tc>
        <w:tc>
          <w:tcPr>
            <w:tcW w:w="874" w:type="dxa"/>
          </w:tcPr>
          <w:p w14:paraId="5DFCCDF9">
            <w:pPr>
              <w:pStyle w:val="17"/>
            </w:pPr>
            <w:r>
              <w:rPr>
                <w:rFonts w:hint="eastAsia"/>
              </w:rPr>
              <w:t>√</w:t>
            </w:r>
          </w:p>
        </w:tc>
        <w:tc>
          <w:tcPr>
            <w:tcW w:w="992" w:type="dxa"/>
            <w:tcBorders>
              <w:right w:val="single" w:color="auto" w:sz="12" w:space="0"/>
            </w:tcBorders>
            <w:vAlign w:val="center"/>
          </w:tcPr>
          <w:p w14:paraId="38AF7431">
            <w:pPr>
              <w:pStyle w:val="17"/>
            </w:pPr>
            <w:r>
              <w:rPr>
                <w:rFonts w:hint="eastAsia"/>
              </w:rPr>
              <w:t>√</w:t>
            </w:r>
          </w:p>
        </w:tc>
      </w:tr>
      <w:tr w14:paraId="0202C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52" w:hRule="atLeast"/>
          <w:jc w:val="center"/>
        </w:trPr>
        <w:tc>
          <w:tcPr>
            <w:tcW w:w="3379" w:type="dxa"/>
            <w:tcBorders>
              <w:left w:val="single" w:color="auto" w:sz="12" w:space="0"/>
            </w:tcBorders>
            <w:vAlign w:val="center"/>
          </w:tcPr>
          <w:p w14:paraId="3338EDD6">
            <w:pPr>
              <w:jc w:val="center"/>
              <w:rPr>
                <w:sz w:val="21"/>
                <w:szCs w:val="21"/>
              </w:rPr>
            </w:pPr>
            <w:r>
              <w:rPr>
                <w:rFonts w:hint="eastAsia"/>
                <w:sz w:val="21"/>
                <w:szCs w:val="21"/>
              </w:rPr>
              <w:t>第八章</w:t>
            </w:r>
            <w:r>
              <w:rPr>
                <w:sz w:val="21"/>
                <w:szCs w:val="21"/>
              </w:rPr>
              <w:t>管理沟通与冲突</w:t>
            </w:r>
          </w:p>
        </w:tc>
        <w:tc>
          <w:tcPr>
            <w:tcW w:w="1000" w:type="dxa"/>
            <w:vAlign w:val="center"/>
          </w:tcPr>
          <w:p w14:paraId="65C89A89">
            <w:pPr>
              <w:pStyle w:val="17"/>
            </w:pPr>
            <w:r>
              <w:rPr>
                <w:rFonts w:hint="eastAsia"/>
              </w:rPr>
              <w:t>√</w:t>
            </w:r>
          </w:p>
        </w:tc>
        <w:tc>
          <w:tcPr>
            <w:tcW w:w="992" w:type="dxa"/>
            <w:vAlign w:val="center"/>
          </w:tcPr>
          <w:p w14:paraId="16FA3194">
            <w:pPr>
              <w:pStyle w:val="17"/>
            </w:pPr>
            <w:r>
              <w:rPr>
                <w:rFonts w:hint="eastAsia"/>
              </w:rPr>
              <w:t>√</w:t>
            </w:r>
          </w:p>
        </w:tc>
        <w:tc>
          <w:tcPr>
            <w:tcW w:w="969" w:type="dxa"/>
            <w:vAlign w:val="center"/>
          </w:tcPr>
          <w:p w14:paraId="3C61AD85">
            <w:pPr>
              <w:pStyle w:val="17"/>
            </w:pPr>
          </w:p>
        </w:tc>
        <w:tc>
          <w:tcPr>
            <w:tcW w:w="874" w:type="dxa"/>
          </w:tcPr>
          <w:p w14:paraId="0D887BEF">
            <w:pPr>
              <w:pStyle w:val="17"/>
            </w:pPr>
            <w:r>
              <w:rPr>
                <w:rFonts w:hint="eastAsia"/>
              </w:rPr>
              <w:t>√</w:t>
            </w:r>
          </w:p>
        </w:tc>
        <w:tc>
          <w:tcPr>
            <w:tcW w:w="992" w:type="dxa"/>
            <w:tcBorders>
              <w:right w:val="single" w:color="auto" w:sz="12" w:space="0"/>
            </w:tcBorders>
            <w:vAlign w:val="center"/>
          </w:tcPr>
          <w:p w14:paraId="48050AE3">
            <w:pPr>
              <w:pStyle w:val="17"/>
            </w:pPr>
            <w:r>
              <w:rPr>
                <w:rFonts w:hint="eastAsia"/>
              </w:rPr>
              <w:t>√</w:t>
            </w:r>
          </w:p>
        </w:tc>
      </w:tr>
      <w:tr w14:paraId="1D0F9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52" w:hRule="atLeast"/>
          <w:jc w:val="center"/>
        </w:trPr>
        <w:tc>
          <w:tcPr>
            <w:tcW w:w="3379" w:type="dxa"/>
            <w:tcBorders>
              <w:left w:val="single" w:color="auto" w:sz="12" w:space="0"/>
            </w:tcBorders>
            <w:vAlign w:val="center"/>
          </w:tcPr>
          <w:p w14:paraId="1CC9A5E0">
            <w:pPr>
              <w:jc w:val="center"/>
              <w:rPr>
                <w:sz w:val="21"/>
                <w:szCs w:val="21"/>
              </w:rPr>
            </w:pPr>
            <w:r>
              <w:rPr>
                <w:rFonts w:hint="eastAsia"/>
                <w:sz w:val="21"/>
                <w:szCs w:val="21"/>
              </w:rPr>
              <w:t>第九章控制</w:t>
            </w:r>
          </w:p>
        </w:tc>
        <w:tc>
          <w:tcPr>
            <w:tcW w:w="1000" w:type="dxa"/>
            <w:vAlign w:val="center"/>
          </w:tcPr>
          <w:p w14:paraId="0116F77E">
            <w:pPr>
              <w:pStyle w:val="17"/>
            </w:pPr>
            <w:r>
              <w:rPr>
                <w:rFonts w:hint="eastAsia"/>
              </w:rPr>
              <w:t>√</w:t>
            </w:r>
          </w:p>
        </w:tc>
        <w:tc>
          <w:tcPr>
            <w:tcW w:w="992" w:type="dxa"/>
            <w:vAlign w:val="center"/>
          </w:tcPr>
          <w:p w14:paraId="02ACF351">
            <w:pPr>
              <w:pStyle w:val="17"/>
            </w:pPr>
            <w:r>
              <w:rPr>
                <w:rFonts w:hint="eastAsia"/>
              </w:rPr>
              <w:t>√</w:t>
            </w:r>
          </w:p>
        </w:tc>
        <w:tc>
          <w:tcPr>
            <w:tcW w:w="969" w:type="dxa"/>
            <w:vAlign w:val="center"/>
          </w:tcPr>
          <w:p w14:paraId="659387B0">
            <w:pPr>
              <w:pStyle w:val="17"/>
            </w:pPr>
            <w:r>
              <w:rPr>
                <w:rFonts w:hint="eastAsia"/>
              </w:rPr>
              <w:t>√</w:t>
            </w:r>
          </w:p>
        </w:tc>
        <w:tc>
          <w:tcPr>
            <w:tcW w:w="874" w:type="dxa"/>
          </w:tcPr>
          <w:p w14:paraId="6178E560">
            <w:pPr>
              <w:pStyle w:val="17"/>
            </w:pPr>
            <w:r>
              <w:rPr>
                <w:rFonts w:hint="eastAsia"/>
              </w:rPr>
              <w:t>√</w:t>
            </w:r>
          </w:p>
        </w:tc>
        <w:tc>
          <w:tcPr>
            <w:tcW w:w="992" w:type="dxa"/>
            <w:tcBorders>
              <w:right w:val="single" w:color="auto" w:sz="12" w:space="0"/>
            </w:tcBorders>
            <w:vAlign w:val="center"/>
          </w:tcPr>
          <w:p w14:paraId="43D24C1B">
            <w:pPr>
              <w:pStyle w:val="17"/>
            </w:pPr>
            <w:r>
              <w:rPr>
                <w:rFonts w:hint="eastAsia"/>
              </w:rPr>
              <w:t>√</w:t>
            </w:r>
          </w:p>
        </w:tc>
      </w:tr>
      <w:tr w14:paraId="5E928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52" w:hRule="atLeast"/>
          <w:jc w:val="center"/>
        </w:trPr>
        <w:tc>
          <w:tcPr>
            <w:tcW w:w="3379" w:type="dxa"/>
            <w:tcBorders>
              <w:left w:val="single" w:color="auto" w:sz="12" w:space="0"/>
            </w:tcBorders>
            <w:vAlign w:val="center"/>
          </w:tcPr>
          <w:p w14:paraId="525177A0">
            <w:pPr>
              <w:pStyle w:val="17"/>
            </w:pPr>
            <w:r>
              <w:rPr>
                <w:rFonts w:hint="eastAsia"/>
              </w:rPr>
              <w:t>第十章护理质量管理</w:t>
            </w:r>
          </w:p>
        </w:tc>
        <w:tc>
          <w:tcPr>
            <w:tcW w:w="1000" w:type="dxa"/>
            <w:vAlign w:val="center"/>
          </w:tcPr>
          <w:p w14:paraId="5D2C8623">
            <w:pPr>
              <w:pStyle w:val="17"/>
            </w:pPr>
            <w:r>
              <w:rPr>
                <w:rFonts w:hint="eastAsia"/>
              </w:rPr>
              <w:t>√</w:t>
            </w:r>
          </w:p>
        </w:tc>
        <w:tc>
          <w:tcPr>
            <w:tcW w:w="992" w:type="dxa"/>
            <w:vAlign w:val="center"/>
          </w:tcPr>
          <w:p w14:paraId="6DB75ACD">
            <w:pPr>
              <w:pStyle w:val="17"/>
            </w:pPr>
            <w:r>
              <w:rPr>
                <w:rFonts w:hint="eastAsia"/>
              </w:rPr>
              <w:t>√</w:t>
            </w:r>
          </w:p>
        </w:tc>
        <w:tc>
          <w:tcPr>
            <w:tcW w:w="969" w:type="dxa"/>
            <w:vAlign w:val="center"/>
          </w:tcPr>
          <w:p w14:paraId="4EFB84BA">
            <w:pPr>
              <w:pStyle w:val="17"/>
            </w:pPr>
            <w:r>
              <w:rPr>
                <w:rFonts w:hint="eastAsia"/>
              </w:rPr>
              <w:t>√</w:t>
            </w:r>
          </w:p>
        </w:tc>
        <w:tc>
          <w:tcPr>
            <w:tcW w:w="874" w:type="dxa"/>
          </w:tcPr>
          <w:p w14:paraId="1BFE25DB">
            <w:pPr>
              <w:pStyle w:val="17"/>
            </w:pPr>
            <w:r>
              <w:rPr>
                <w:rFonts w:hint="eastAsia"/>
              </w:rPr>
              <w:t>√</w:t>
            </w:r>
          </w:p>
        </w:tc>
        <w:tc>
          <w:tcPr>
            <w:tcW w:w="992" w:type="dxa"/>
            <w:tcBorders>
              <w:right w:val="single" w:color="auto" w:sz="12" w:space="0"/>
            </w:tcBorders>
            <w:vAlign w:val="center"/>
          </w:tcPr>
          <w:p w14:paraId="0165574F">
            <w:pPr>
              <w:pStyle w:val="17"/>
            </w:pPr>
            <w:r>
              <w:rPr>
                <w:rFonts w:hint="eastAsia"/>
              </w:rPr>
              <w:t>√</w:t>
            </w:r>
          </w:p>
        </w:tc>
      </w:tr>
      <w:tr w14:paraId="4A6D4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52" w:hRule="atLeast"/>
          <w:jc w:val="center"/>
        </w:trPr>
        <w:tc>
          <w:tcPr>
            <w:tcW w:w="3379" w:type="dxa"/>
            <w:tcBorders>
              <w:left w:val="single" w:color="auto" w:sz="12" w:space="0"/>
              <w:bottom w:val="single" w:color="auto" w:sz="4" w:space="0"/>
            </w:tcBorders>
            <w:vAlign w:val="center"/>
          </w:tcPr>
          <w:p w14:paraId="4EAA495A">
            <w:pPr>
              <w:pStyle w:val="17"/>
            </w:pPr>
            <w:r>
              <w:rPr>
                <w:rFonts w:hint="eastAsia"/>
              </w:rPr>
              <w:t>第十一章护理信息管理</w:t>
            </w:r>
          </w:p>
        </w:tc>
        <w:tc>
          <w:tcPr>
            <w:tcW w:w="1000" w:type="dxa"/>
            <w:vAlign w:val="center"/>
          </w:tcPr>
          <w:p w14:paraId="2F123963">
            <w:pPr>
              <w:pStyle w:val="17"/>
            </w:pPr>
            <w:r>
              <w:rPr>
                <w:rFonts w:hint="eastAsia"/>
              </w:rPr>
              <w:t>√</w:t>
            </w:r>
          </w:p>
        </w:tc>
        <w:tc>
          <w:tcPr>
            <w:tcW w:w="992" w:type="dxa"/>
            <w:vAlign w:val="center"/>
          </w:tcPr>
          <w:p w14:paraId="2399B1A3">
            <w:pPr>
              <w:pStyle w:val="17"/>
            </w:pPr>
          </w:p>
        </w:tc>
        <w:tc>
          <w:tcPr>
            <w:tcW w:w="969" w:type="dxa"/>
            <w:vAlign w:val="center"/>
          </w:tcPr>
          <w:p w14:paraId="0400EA97">
            <w:pPr>
              <w:pStyle w:val="17"/>
            </w:pPr>
            <w:r>
              <w:rPr>
                <w:rFonts w:hint="eastAsia"/>
              </w:rPr>
              <w:t>√</w:t>
            </w:r>
          </w:p>
        </w:tc>
        <w:tc>
          <w:tcPr>
            <w:tcW w:w="874" w:type="dxa"/>
          </w:tcPr>
          <w:p w14:paraId="57FE0B61">
            <w:pPr>
              <w:pStyle w:val="17"/>
            </w:pPr>
            <w:r>
              <w:rPr>
                <w:rFonts w:hint="eastAsia"/>
              </w:rPr>
              <w:t>√</w:t>
            </w:r>
          </w:p>
        </w:tc>
        <w:tc>
          <w:tcPr>
            <w:tcW w:w="992" w:type="dxa"/>
            <w:tcBorders>
              <w:right w:val="single" w:color="auto" w:sz="12" w:space="0"/>
            </w:tcBorders>
            <w:vAlign w:val="center"/>
          </w:tcPr>
          <w:p w14:paraId="118D6FC3">
            <w:pPr>
              <w:pStyle w:val="17"/>
            </w:pPr>
            <w:r>
              <w:rPr>
                <w:rFonts w:hint="eastAsia"/>
              </w:rPr>
              <w:t>√</w:t>
            </w:r>
          </w:p>
        </w:tc>
      </w:tr>
      <w:tr w14:paraId="4898C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52" w:hRule="atLeast"/>
          <w:jc w:val="center"/>
        </w:trPr>
        <w:tc>
          <w:tcPr>
            <w:tcW w:w="3379" w:type="dxa"/>
            <w:tcBorders>
              <w:left w:val="single" w:color="auto" w:sz="12" w:space="0"/>
              <w:bottom w:val="single" w:color="auto" w:sz="12" w:space="0"/>
            </w:tcBorders>
            <w:vAlign w:val="center"/>
          </w:tcPr>
          <w:p w14:paraId="5C77DBDF">
            <w:pPr>
              <w:pStyle w:val="17"/>
            </w:pPr>
            <w:r>
              <w:rPr>
                <w:rFonts w:hint="eastAsia" w:ascii="宋体" w:hAnsi="宋体"/>
                <w:color w:val="auto"/>
              </w:rPr>
              <w:t>第十二章</w:t>
            </w:r>
            <w:r>
              <w:rPr>
                <w:rFonts w:ascii="宋体" w:hAnsi="宋体"/>
                <w:color w:val="auto"/>
              </w:rPr>
              <w:t>护理管理与医疗卫生法律法规</w:t>
            </w:r>
          </w:p>
        </w:tc>
        <w:tc>
          <w:tcPr>
            <w:tcW w:w="1000" w:type="dxa"/>
            <w:tcBorders>
              <w:bottom w:val="single" w:color="auto" w:sz="12" w:space="0"/>
            </w:tcBorders>
            <w:vAlign w:val="center"/>
          </w:tcPr>
          <w:p w14:paraId="671E3132">
            <w:pPr>
              <w:pStyle w:val="17"/>
            </w:pPr>
            <w:r>
              <w:rPr>
                <w:rFonts w:hint="eastAsia"/>
              </w:rPr>
              <w:t>√</w:t>
            </w:r>
          </w:p>
        </w:tc>
        <w:tc>
          <w:tcPr>
            <w:tcW w:w="992" w:type="dxa"/>
            <w:tcBorders>
              <w:bottom w:val="single" w:color="auto" w:sz="12" w:space="0"/>
            </w:tcBorders>
            <w:vAlign w:val="center"/>
          </w:tcPr>
          <w:p w14:paraId="34B21977">
            <w:pPr>
              <w:pStyle w:val="17"/>
            </w:pPr>
          </w:p>
        </w:tc>
        <w:tc>
          <w:tcPr>
            <w:tcW w:w="969" w:type="dxa"/>
            <w:tcBorders>
              <w:bottom w:val="single" w:color="auto" w:sz="12" w:space="0"/>
            </w:tcBorders>
            <w:vAlign w:val="center"/>
          </w:tcPr>
          <w:p w14:paraId="7B8C2158">
            <w:pPr>
              <w:pStyle w:val="17"/>
            </w:pPr>
            <w:r>
              <w:rPr>
                <w:rFonts w:hint="eastAsia"/>
              </w:rPr>
              <w:t>√</w:t>
            </w:r>
          </w:p>
        </w:tc>
        <w:tc>
          <w:tcPr>
            <w:tcW w:w="874" w:type="dxa"/>
            <w:tcBorders>
              <w:bottom w:val="single" w:color="auto" w:sz="12" w:space="0"/>
            </w:tcBorders>
            <w:vAlign w:val="center"/>
          </w:tcPr>
          <w:p w14:paraId="58AAD8A1">
            <w:pPr>
              <w:pStyle w:val="17"/>
            </w:pPr>
          </w:p>
        </w:tc>
        <w:tc>
          <w:tcPr>
            <w:tcW w:w="992" w:type="dxa"/>
            <w:tcBorders>
              <w:bottom w:val="single" w:color="auto" w:sz="12" w:space="0"/>
              <w:right w:val="single" w:color="auto" w:sz="12" w:space="0"/>
            </w:tcBorders>
            <w:vAlign w:val="center"/>
          </w:tcPr>
          <w:p w14:paraId="09EF85FE">
            <w:pPr>
              <w:pStyle w:val="17"/>
            </w:pPr>
            <w:r>
              <w:rPr>
                <w:rFonts w:hint="eastAsia"/>
              </w:rPr>
              <w:t>√</w:t>
            </w:r>
          </w:p>
        </w:tc>
      </w:tr>
    </w:tbl>
    <w:p w14:paraId="6208507B">
      <w:pPr>
        <w:pStyle w:val="20"/>
        <w:spacing w:before="326" w:beforeLines="100" w:after="163"/>
      </w:pPr>
      <w:r>
        <w:rPr>
          <w:rFonts w:hint="eastAsia"/>
        </w:rPr>
        <w:t>（三）课程教学方法与学时分配</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755"/>
        <w:gridCol w:w="1738"/>
        <w:gridCol w:w="725"/>
        <w:gridCol w:w="669"/>
        <w:gridCol w:w="717"/>
      </w:tblGrid>
      <w:tr w14:paraId="7FA70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28" w:type="dxa"/>
            <w:vMerge w:val="restart"/>
            <w:tcBorders>
              <w:top w:val="single" w:color="auto" w:sz="12" w:space="0"/>
              <w:left w:val="single" w:color="auto" w:sz="12" w:space="0"/>
            </w:tcBorders>
            <w:vAlign w:val="center"/>
          </w:tcPr>
          <w:p w14:paraId="733E367C">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690" w:type="dxa"/>
            <w:vMerge w:val="restart"/>
            <w:tcBorders>
              <w:top w:val="single" w:color="auto" w:sz="12" w:space="0"/>
            </w:tcBorders>
            <w:vAlign w:val="center"/>
          </w:tcPr>
          <w:p w14:paraId="4C162AE9">
            <w:pPr>
              <w:pStyle w:val="16"/>
              <w:widowControl w:val="0"/>
              <w:rPr>
                <w:szCs w:val="21"/>
              </w:rPr>
            </w:pPr>
            <w:r>
              <w:rPr>
                <w:rFonts w:hint="eastAsia" w:ascii="黑体" w:hAnsi="黑体"/>
                <w:szCs w:val="21"/>
              </w:rPr>
              <w:t>教与学方式</w:t>
            </w:r>
          </w:p>
        </w:tc>
        <w:tc>
          <w:tcPr>
            <w:tcW w:w="1697" w:type="dxa"/>
            <w:vMerge w:val="restart"/>
            <w:tcBorders>
              <w:top w:val="single" w:color="auto" w:sz="12" w:space="0"/>
            </w:tcBorders>
            <w:vAlign w:val="center"/>
          </w:tcPr>
          <w:p w14:paraId="222D26BB">
            <w:pPr>
              <w:pStyle w:val="16"/>
              <w:widowControl w:val="0"/>
              <w:rPr>
                <w:rFonts w:ascii="黑体" w:hAnsi="黑体"/>
                <w:szCs w:val="21"/>
              </w:rPr>
            </w:pPr>
            <w:r>
              <w:rPr>
                <w:rFonts w:hint="eastAsia" w:ascii="黑体" w:hAnsi="黑体"/>
                <w:szCs w:val="21"/>
              </w:rPr>
              <w:t>考核方式</w:t>
            </w:r>
          </w:p>
        </w:tc>
        <w:tc>
          <w:tcPr>
            <w:tcW w:w="2061" w:type="dxa"/>
            <w:gridSpan w:val="3"/>
            <w:tcBorders>
              <w:top w:val="single" w:color="auto" w:sz="12" w:space="0"/>
              <w:right w:val="single" w:color="auto" w:sz="12" w:space="0"/>
            </w:tcBorders>
            <w:vAlign w:val="center"/>
          </w:tcPr>
          <w:p w14:paraId="7525EBDA">
            <w:pPr>
              <w:pStyle w:val="16"/>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21C57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28" w:type="dxa"/>
            <w:vMerge w:val="continue"/>
            <w:tcBorders>
              <w:left w:val="single" w:color="auto" w:sz="12" w:space="0"/>
            </w:tcBorders>
          </w:tcPr>
          <w:p w14:paraId="05BAB3C4">
            <w:pPr>
              <w:widowControl w:val="0"/>
              <w:snapToGrid w:val="0"/>
              <w:jc w:val="center"/>
              <w:rPr>
                <w:rFonts w:ascii="黑体" w:hAnsi="黑体" w:eastAsia="黑体"/>
                <w:bCs/>
                <w:sz w:val="21"/>
                <w:szCs w:val="21"/>
              </w:rPr>
            </w:pPr>
          </w:p>
        </w:tc>
        <w:tc>
          <w:tcPr>
            <w:tcW w:w="2690" w:type="dxa"/>
            <w:vMerge w:val="continue"/>
          </w:tcPr>
          <w:p w14:paraId="0C3C01A5">
            <w:pPr>
              <w:widowControl w:val="0"/>
              <w:snapToGrid w:val="0"/>
              <w:jc w:val="center"/>
              <w:rPr>
                <w:rFonts w:ascii="黑体" w:hAnsi="黑体" w:eastAsia="黑体"/>
                <w:bCs/>
                <w:sz w:val="21"/>
                <w:szCs w:val="21"/>
              </w:rPr>
            </w:pPr>
          </w:p>
        </w:tc>
        <w:tc>
          <w:tcPr>
            <w:tcW w:w="1697" w:type="dxa"/>
            <w:vMerge w:val="continue"/>
          </w:tcPr>
          <w:p w14:paraId="4C68352D">
            <w:pPr>
              <w:widowControl w:val="0"/>
              <w:snapToGrid w:val="0"/>
              <w:jc w:val="center"/>
              <w:rPr>
                <w:rFonts w:ascii="黑体" w:hAnsi="黑体" w:eastAsia="黑体"/>
                <w:bCs/>
                <w:sz w:val="21"/>
                <w:szCs w:val="21"/>
              </w:rPr>
            </w:pPr>
          </w:p>
        </w:tc>
        <w:tc>
          <w:tcPr>
            <w:tcW w:w="708" w:type="dxa"/>
            <w:vAlign w:val="center"/>
          </w:tcPr>
          <w:p w14:paraId="322130CE">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53" w:type="dxa"/>
            <w:vAlign w:val="center"/>
          </w:tcPr>
          <w:p w14:paraId="33A8D12B">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00" w:type="dxa"/>
            <w:tcBorders>
              <w:right w:val="single" w:color="auto" w:sz="12" w:space="0"/>
            </w:tcBorders>
            <w:vAlign w:val="center"/>
          </w:tcPr>
          <w:p w14:paraId="12FA7B7B">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3BD16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59838CE9">
            <w:pPr>
              <w:widowControl w:val="0"/>
              <w:snapToGrid w:val="0"/>
              <w:jc w:val="center"/>
              <w:rPr>
                <w:sz w:val="21"/>
                <w:szCs w:val="21"/>
              </w:rPr>
            </w:pPr>
            <w:r>
              <w:rPr>
                <w:rFonts w:hint="eastAsia"/>
                <w:sz w:val="21"/>
                <w:szCs w:val="21"/>
              </w:rPr>
              <w:t>第一章</w:t>
            </w:r>
          </w:p>
        </w:tc>
        <w:tc>
          <w:tcPr>
            <w:tcW w:w="2690" w:type="dxa"/>
            <w:vAlign w:val="center"/>
          </w:tcPr>
          <w:p w14:paraId="4366239C">
            <w:pPr>
              <w:widowControl w:val="0"/>
              <w:snapToGrid w:val="0"/>
              <w:jc w:val="center"/>
              <w:rPr>
                <w:sz w:val="21"/>
                <w:szCs w:val="21"/>
              </w:rPr>
            </w:pPr>
            <w:r>
              <w:rPr>
                <w:rFonts w:hint="eastAsia"/>
                <w:sz w:val="21"/>
                <w:szCs w:val="21"/>
              </w:rPr>
              <w:t>讲述法、讨论法；问题导向学习</w:t>
            </w:r>
          </w:p>
        </w:tc>
        <w:tc>
          <w:tcPr>
            <w:tcW w:w="1697" w:type="dxa"/>
            <w:vAlign w:val="center"/>
          </w:tcPr>
          <w:p w14:paraId="79785AE4">
            <w:pPr>
              <w:widowControl w:val="0"/>
              <w:snapToGrid w:val="0"/>
              <w:jc w:val="center"/>
              <w:rPr>
                <w:sz w:val="21"/>
                <w:szCs w:val="21"/>
              </w:rPr>
            </w:pPr>
            <w:r>
              <w:rPr>
                <w:rFonts w:hint="eastAsia"/>
                <w:color w:val="000000"/>
                <w:sz w:val="21"/>
                <w:szCs w:val="21"/>
              </w:rPr>
              <w:t>纸笔测试</w:t>
            </w:r>
          </w:p>
        </w:tc>
        <w:tc>
          <w:tcPr>
            <w:tcW w:w="708" w:type="dxa"/>
            <w:vAlign w:val="center"/>
          </w:tcPr>
          <w:p w14:paraId="0432E652">
            <w:pPr>
              <w:widowControl w:val="0"/>
              <w:snapToGrid w:val="0"/>
              <w:jc w:val="center"/>
              <w:rPr>
                <w:sz w:val="20"/>
                <w:szCs w:val="20"/>
              </w:rPr>
            </w:pPr>
            <w:r>
              <w:rPr>
                <w:sz w:val="20"/>
                <w:szCs w:val="20"/>
              </w:rPr>
              <w:t>2</w:t>
            </w:r>
          </w:p>
        </w:tc>
        <w:tc>
          <w:tcPr>
            <w:tcW w:w="653" w:type="dxa"/>
            <w:vAlign w:val="center"/>
          </w:tcPr>
          <w:p w14:paraId="1E1F70B9">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2671AB51">
            <w:pPr>
              <w:widowControl w:val="0"/>
              <w:snapToGrid w:val="0"/>
              <w:jc w:val="center"/>
              <w:rPr>
                <w:rFonts w:ascii="Times New Roman" w:hAnsi="Times New Roman"/>
                <w:bCs/>
                <w:sz w:val="21"/>
                <w:szCs w:val="21"/>
              </w:rPr>
            </w:pPr>
            <w:r>
              <w:rPr>
                <w:rFonts w:ascii="Times New Roman" w:hAnsi="Times New Roman"/>
                <w:bCs/>
                <w:sz w:val="21"/>
                <w:szCs w:val="21"/>
              </w:rPr>
              <w:t>2</w:t>
            </w:r>
          </w:p>
        </w:tc>
      </w:tr>
      <w:tr w14:paraId="394B1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6DB4EFD9">
            <w:pPr>
              <w:widowControl w:val="0"/>
              <w:snapToGrid w:val="0"/>
              <w:jc w:val="center"/>
              <w:rPr>
                <w:sz w:val="21"/>
                <w:szCs w:val="21"/>
              </w:rPr>
            </w:pPr>
            <w:r>
              <w:rPr>
                <w:rFonts w:hint="eastAsia"/>
                <w:sz w:val="21"/>
                <w:szCs w:val="21"/>
              </w:rPr>
              <w:t>第二章</w:t>
            </w:r>
          </w:p>
        </w:tc>
        <w:tc>
          <w:tcPr>
            <w:tcW w:w="2690" w:type="dxa"/>
            <w:vAlign w:val="center"/>
          </w:tcPr>
          <w:p w14:paraId="3442B123">
            <w:pPr>
              <w:widowControl w:val="0"/>
              <w:snapToGrid w:val="0"/>
              <w:jc w:val="center"/>
              <w:rPr>
                <w:sz w:val="21"/>
                <w:szCs w:val="21"/>
              </w:rPr>
            </w:pPr>
            <w:r>
              <w:rPr>
                <w:rFonts w:hint="eastAsia"/>
                <w:sz w:val="21"/>
                <w:szCs w:val="21"/>
              </w:rPr>
              <w:t>讲述法、讨论法；问题导向学习</w:t>
            </w:r>
          </w:p>
        </w:tc>
        <w:tc>
          <w:tcPr>
            <w:tcW w:w="1697" w:type="dxa"/>
            <w:vAlign w:val="center"/>
          </w:tcPr>
          <w:p w14:paraId="63CA73B3">
            <w:pPr>
              <w:widowControl w:val="0"/>
              <w:snapToGrid w:val="0"/>
              <w:jc w:val="center"/>
              <w:rPr>
                <w:sz w:val="21"/>
                <w:szCs w:val="21"/>
              </w:rPr>
            </w:pPr>
            <w:r>
              <w:rPr>
                <w:rFonts w:hint="eastAsia"/>
                <w:color w:val="000000"/>
                <w:sz w:val="21"/>
                <w:szCs w:val="21"/>
              </w:rPr>
              <w:t>纸笔测试</w:t>
            </w:r>
          </w:p>
        </w:tc>
        <w:tc>
          <w:tcPr>
            <w:tcW w:w="708" w:type="dxa"/>
            <w:vAlign w:val="center"/>
          </w:tcPr>
          <w:p w14:paraId="722B1A99">
            <w:pPr>
              <w:widowControl w:val="0"/>
              <w:snapToGrid w:val="0"/>
              <w:jc w:val="center"/>
              <w:rPr>
                <w:sz w:val="20"/>
                <w:szCs w:val="20"/>
              </w:rPr>
            </w:pPr>
            <w:r>
              <w:rPr>
                <w:sz w:val="20"/>
                <w:szCs w:val="20"/>
              </w:rPr>
              <w:t>2</w:t>
            </w:r>
          </w:p>
        </w:tc>
        <w:tc>
          <w:tcPr>
            <w:tcW w:w="653" w:type="dxa"/>
            <w:vAlign w:val="center"/>
          </w:tcPr>
          <w:p w14:paraId="71BBBD6D">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36FDB54C">
            <w:pPr>
              <w:widowControl w:val="0"/>
              <w:snapToGrid w:val="0"/>
              <w:jc w:val="center"/>
              <w:rPr>
                <w:rFonts w:ascii="Times New Roman" w:hAnsi="Times New Roman"/>
                <w:bCs/>
                <w:sz w:val="21"/>
                <w:szCs w:val="21"/>
              </w:rPr>
            </w:pPr>
            <w:r>
              <w:rPr>
                <w:rFonts w:ascii="Times New Roman" w:hAnsi="Times New Roman"/>
                <w:bCs/>
                <w:sz w:val="21"/>
                <w:szCs w:val="21"/>
              </w:rPr>
              <w:t>2</w:t>
            </w:r>
          </w:p>
        </w:tc>
      </w:tr>
      <w:tr w14:paraId="22A6E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04CEF351">
            <w:pPr>
              <w:widowControl w:val="0"/>
              <w:snapToGrid w:val="0"/>
              <w:jc w:val="center"/>
              <w:rPr>
                <w:sz w:val="21"/>
                <w:szCs w:val="21"/>
              </w:rPr>
            </w:pPr>
            <w:r>
              <w:rPr>
                <w:rFonts w:hint="eastAsia"/>
                <w:sz w:val="21"/>
                <w:szCs w:val="21"/>
              </w:rPr>
              <w:t>第三章</w:t>
            </w:r>
          </w:p>
        </w:tc>
        <w:tc>
          <w:tcPr>
            <w:tcW w:w="2690" w:type="dxa"/>
            <w:vAlign w:val="center"/>
          </w:tcPr>
          <w:p w14:paraId="59A608AB">
            <w:pPr>
              <w:widowControl w:val="0"/>
              <w:snapToGrid w:val="0"/>
              <w:jc w:val="center"/>
              <w:rPr>
                <w:sz w:val="21"/>
                <w:szCs w:val="21"/>
              </w:rPr>
            </w:pPr>
            <w:r>
              <w:rPr>
                <w:rFonts w:hint="eastAsia"/>
                <w:sz w:val="21"/>
                <w:szCs w:val="21"/>
              </w:rPr>
              <w:t>讲述法、讨论法；问题导向学习</w:t>
            </w:r>
          </w:p>
        </w:tc>
        <w:tc>
          <w:tcPr>
            <w:tcW w:w="1697" w:type="dxa"/>
            <w:vAlign w:val="center"/>
          </w:tcPr>
          <w:p w14:paraId="504CE9B1">
            <w:pPr>
              <w:widowControl w:val="0"/>
              <w:snapToGrid w:val="0"/>
              <w:jc w:val="center"/>
              <w:rPr>
                <w:sz w:val="21"/>
                <w:szCs w:val="21"/>
              </w:rPr>
            </w:pPr>
            <w:r>
              <w:rPr>
                <w:rFonts w:hint="eastAsia"/>
                <w:color w:val="000000"/>
                <w:sz w:val="21"/>
                <w:szCs w:val="21"/>
              </w:rPr>
              <w:t>纸笔测试</w:t>
            </w:r>
          </w:p>
        </w:tc>
        <w:tc>
          <w:tcPr>
            <w:tcW w:w="708" w:type="dxa"/>
            <w:vAlign w:val="center"/>
          </w:tcPr>
          <w:p w14:paraId="21E0F347">
            <w:pPr>
              <w:widowControl w:val="0"/>
              <w:snapToGrid w:val="0"/>
              <w:jc w:val="center"/>
              <w:rPr>
                <w:sz w:val="20"/>
                <w:szCs w:val="20"/>
              </w:rPr>
            </w:pPr>
            <w:r>
              <w:rPr>
                <w:sz w:val="20"/>
                <w:szCs w:val="20"/>
              </w:rPr>
              <w:t>2</w:t>
            </w:r>
          </w:p>
        </w:tc>
        <w:tc>
          <w:tcPr>
            <w:tcW w:w="653" w:type="dxa"/>
            <w:vAlign w:val="center"/>
          </w:tcPr>
          <w:p w14:paraId="504489A5">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35BCBDF1">
            <w:pPr>
              <w:widowControl w:val="0"/>
              <w:snapToGrid w:val="0"/>
              <w:jc w:val="center"/>
              <w:rPr>
                <w:rFonts w:ascii="Times New Roman" w:hAnsi="Times New Roman"/>
                <w:bCs/>
                <w:sz w:val="21"/>
                <w:szCs w:val="21"/>
              </w:rPr>
            </w:pPr>
            <w:r>
              <w:rPr>
                <w:rFonts w:ascii="Times New Roman" w:hAnsi="Times New Roman"/>
                <w:bCs/>
                <w:sz w:val="21"/>
                <w:szCs w:val="21"/>
              </w:rPr>
              <w:t>2</w:t>
            </w:r>
          </w:p>
        </w:tc>
      </w:tr>
      <w:tr w14:paraId="0A570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5059A2D8">
            <w:pPr>
              <w:widowControl w:val="0"/>
              <w:snapToGrid w:val="0"/>
              <w:jc w:val="center"/>
              <w:rPr>
                <w:sz w:val="21"/>
                <w:szCs w:val="21"/>
              </w:rPr>
            </w:pPr>
            <w:r>
              <w:rPr>
                <w:rFonts w:hint="eastAsia"/>
                <w:sz w:val="21"/>
                <w:szCs w:val="21"/>
              </w:rPr>
              <w:t>第四章</w:t>
            </w:r>
          </w:p>
        </w:tc>
        <w:tc>
          <w:tcPr>
            <w:tcW w:w="2690" w:type="dxa"/>
            <w:vAlign w:val="center"/>
          </w:tcPr>
          <w:p w14:paraId="08BC17D3">
            <w:pPr>
              <w:widowControl w:val="0"/>
              <w:snapToGrid w:val="0"/>
              <w:jc w:val="center"/>
              <w:rPr>
                <w:sz w:val="21"/>
                <w:szCs w:val="21"/>
              </w:rPr>
            </w:pPr>
            <w:r>
              <w:rPr>
                <w:rFonts w:hint="eastAsia"/>
                <w:sz w:val="21"/>
                <w:szCs w:val="21"/>
              </w:rPr>
              <w:t>讲述法、讨论法；问题导向学习</w:t>
            </w:r>
          </w:p>
        </w:tc>
        <w:tc>
          <w:tcPr>
            <w:tcW w:w="1697" w:type="dxa"/>
            <w:vAlign w:val="center"/>
          </w:tcPr>
          <w:p w14:paraId="06D71436">
            <w:pPr>
              <w:widowControl w:val="0"/>
              <w:snapToGrid w:val="0"/>
              <w:jc w:val="center"/>
              <w:rPr>
                <w:sz w:val="21"/>
                <w:szCs w:val="21"/>
              </w:rPr>
            </w:pPr>
            <w:r>
              <w:rPr>
                <w:rFonts w:hint="eastAsia"/>
                <w:color w:val="000000"/>
                <w:sz w:val="21"/>
                <w:szCs w:val="21"/>
              </w:rPr>
              <w:t>纸笔测试</w:t>
            </w:r>
          </w:p>
        </w:tc>
        <w:tc>
          <w:tcPr>
            <w:tcW w:w="708" w:type="dxa"/>
            <w:vAlign w:val="center"/>
          </w:tcPr>
          <w:p w14:paraId="514ECAF4">
            <w:pPr>
              <w:widowControl w:val="0"/>
              <w:snapToGrid w:val="0"/>
              <w:jc w:val="center"/>
              <w:rPr>
                <w:sz w:val="20"/>
                <w:szCs w:val="20"/>
              </w:rPr>
            </w:pPr>
            <w:r>
              <w:rPr>
                <w:sz w:val="20"/>
                <w:szCs w:val="20"/>
              </w:rPr>
              <w:t>4</w:t>
            </w:r>
          </w:p>
        </w:tc>
        <w:tc>
          <w:tcPr>
            <w:tcW w:w="653" w:type="dxa"/>
            <w:vAlign w:val="center"/>
          </w:tcPr>
          <w:p w14:paraId="080FB115">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6F758253">
            <w:pPr>
              <w:widowControl w:val="0"/>
              <w:snapToGrid w:val="0"/>
              <w:jc w:val="center"/>
              <w:rPr>
                <w:rFonts w:ascii="Times New Roman" w:hAnsi="Times New Roman"/>
                <w:bCs/>
                <w:sz w:val="21"/>
                <w:szCs w:val="21"/>
              </w:rPr>
            </w:pPr>
            <w:r>
              <w:rPr>
                <w:rFonts w:ascii="Times New Roman" w:hAnsi="Times New Roman"/>
                <w:bCs/>
                <w:sz w:val="21"/>
                <w:szCs w:val="21"/>
              </w:rPr>
              <w:t>4</w:t>
            </w:r>
          </w:p>
        </w:tc>
      </w:tr>
      <w:tr w14:paraId="52AD5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0ADBFC57">
            <w:pPr>
              <w:widowControl w:val="0"/>
              <w:snapToGrid w:val="0"/>
              <w:jc w:val="center"/>
              <w:rPr>
                <w:sz w:val="21"/>
                <w:szCs w:val="21"/>
              </w:rPr>
            </w:pPr>
            <w:r>
              <w:rPr>
                <w:rFonts w:hint="eastAsia"/>
                <w:sz w:val="21"/>
                <w:szCs w:val="21"/>
              </w:rPr>
              <w:t>第五章</w:t>
            </w:r>
          </w:p>
        </w:tc>
        <w:tc>
          <w:tcPr>
            <w:tcW w:w="2690" w:type="dxa"/>
            <w:vAlign w:val="center"/>
          </w:tcPr>
          <w:p w14:paraId="090FADA3">
            <w:pPr>
              <w:widowControl w:val="0"/>
              <w:snapToGrid w:val="0"/>
              <w:jc w:val="center"/>
              <w:rPr>
                <w:sz w:val="21"/>
                <w:szCs w:val="21"/>
              </w:rPr>
            </w:pPr>
            <w:r>
              <w:rPr>
                <w:rFonts w:hint="eastAsia"/>
                <w:sz w:val="21"/>
                <w:szCs w:val="21"/>
              </w:rPr>
              <w:t>讲述法、讨论教学法；问题导向学习</w:t>
            </w:r>
          </w:p>
        </w:tc>
        <w:tc>
          <w:tcPr>
            <w:tcW w:w="1697" w:type="dxa"/>
            <w:vAlign w:val="center"/>
          </w:tcPr>
          <w:p w14:paraId="40F9A537">
            <w:pPr>
              <w:widowControl w:val="0"/>
              <w:snapToGrid w:val="0"/>
              <w:jc w:val="center"/>
              <w:rPr>
                <w:sz w:val="21"/>
                <w:szCs w:val="21"/>
              </w:rPr>
            </w:pPr>
            <w:r>
              <w:rPr>
                <w:rFonts w:hint="eastAsia"/>
                <w:sz w:val="21"/>
                <w:szCs w:val="21"/>
              </w:rPr>
              <w:t>纸笔测试</w:t>
            </w:r>
          </w:p>
        </w:tc>
        <w:tc>
          <w:tcPr>
            <w:tcW w:w="708" w:type="dxa"/>
            <w:vAlign w:val="center"/>
          </w:tcPr>
          <w:p w14:paraId="79D8A74E">
            <w:pPr>
              <w:widowControl w:val="0"/>
              <w:snapToGrid w:val="0"/>
              <w:jc w:val="center"/>
              <w:rPr>
                <w:sz w:val="20"/>
                <w:szCs w:val="20"/>
              </w:rPr>
            </w:pPr>
            <w:r>
              <w:rPr>
                <w:sz w:val="20"/>
                <w:szCs w:val="20"/>
              </w:rPr>
              <w:t>2</w:t>
            </w:r>
          </w:p>
        </w:tc>
        <w:tc>
          <w:tcPr>
            <w:tcW w:w="653" w:type="dxa"/>
            <w:vAlign w:val="center"/>
          </w:tcPr>
          <w:p w14:paraId="005BBA7F">
            <w:pPr>
              <w:widowControl w:val="0"/>
              <w:snapToGrid w:val="0"/>
              <w:jc w:val="center"/>
              <w:rPr>
                <w:rFonts w:ascii="Times New Roman" w:hAnsi="Times New Roman"/>
                <w:bCs/>
                <w:sz w:val="21"/>
                <w:szCs w:val="21"/>
              </w:rPr>
            </w:pPr>
            <w:r>
              <w:rPr>
                <w:rFonts w:ascii="Times New Roman" w:hAnsi="Times New Roman"/>
                <w:bCs/>
                <w:sz w:val="21"/>
                <w:szCs w:val="21"/>
              </w:rPr>
              <w:t>0</w:t>
            </w:r>
          </w:p>
        </w:tc>
        <w:tc>
          <w:tcPr>
            <w:tcW w:w="700" w:type="dxa"/>
            <w:tcBorders>
              <w:right w:val="single" w:color="auto" w:sz="12" w:space="0"/>
            </w:tcBorders>
            <w:vAlign w:val="center"/>
          </w:tcPr>
          <w:p w14:paraId="5EDDB6C7">
            <w:pPr>
              <w:widowControl w:val="0"/>
              <w:snapToGrid w:val="0"/>
              <w:jc w:val="center"/>
              <w:rPr>
                <w:rFonts w:ascii="Times New Roman" w:hAnsi="Times New Roman"/>
                <w:bCs/>
                <w:sz w:val="21"/>
                <w:szCs w:val="21"/>
              </w:rPr>
            </w:pPr>
            <w:r>
              <w:rPr>
                <w:rFonts w:ascii="Times New Roman" w:hAnsi="Times New Roman"/>
                <w:bCs/>
                <w:sz w:val="21"/>
                <w:szCs w:val="21"/>
              </w:rPr>
              <w:t>2</w:t>
            </w:r>
          </w:p>
        </w:tc>
      </w:tr>
      <w:tr w14:paraId="0B6F5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64ADFA5F">
            <w:pPr>
              <w:widowControl w:val="0"/>
              <w:snapToGrid w:val="0"/>
              <w:jc w:val="center"/>
              <w:rPr>
                <w:sz w:val="21"/>
                <w:szCs w:val="21"/>
              </w:rPr>
            </w:pPr>
            <w:r>
              <w:rPr>
                <w:rFonts w:hint="eastAsia"/>
                <w:sz w:val="21"/>
                <w:szCs w:val="21"/>
              </w:rPr>
              <w:t>第六章</w:t>
            </w:r>
          </w:p>
        </w:tc>
        <w:tc>
          <w:tcPr>
            <w:tcW w:w="2690" w:type="dxa"/>
            <w:vAlign w:val="center"/>
          </w:tcPr>
          <w:p w14:paraId="5C03947A">
            <w:pPr>
              <w:widowControl w:val="0"/>
              <w:snapToGrid w:val="0"/>
              <w:jc w:val="center"/>
              <w:rPr>
                <w:sz w:val="21"/>
                <w:szCs w:val="21"/>
              </w:rPr>
            </w:pPr>
            <w:r>
              <w:rPr>
                <w:rFonts w:hint="eastAsia"/>
                <w:sz w:val="21"/>
                <w:szCs w:val="21"/>
              </w:rPr>
              <w:t>讲述法、讨论法；问题导向学习</w:t>
            </w:r>
          </w:p>
        </w:tc>
        <w:tc>
          <w:tcPr>
            <w:tcW w:w="1697" w:type="dxa"/>
            <w:vAlign w:val="center"/>
          </w:tcPr>
          <w:p w14:paraId="1DC21CCB">
            <w:pPr>
              <w:widowControl w:val="0"/>
              <w:snapToGrid w:val="0"/>
              <w:jc w:val="center"/>
              <w:rPr>
                <w:color w:val="000000"/>
                <w:sz w:val="21"/>
                <w:szCs w:val="21"/>
              </w:rPr>
            </w:pPr>
            <w:r>
              <w:rPr>
                <w:rFonts w:hint="eastAsia"/>
                <w:color w:val="000000"/>
                <w:sz w:val="21"/>
                <w:szCs w:val="21"/>
              </w:rPr>
              <w:t>纸笔测试</w:t>
            </w:r>
          </w:p>
        </w:tc>
        <w:tc>
          <w:tcPr>
            <w:tcW w:w="708" w:type="dxa"/>
            <w:vAlign w:val="center"/>
          </w:tcPr>
          <w:p w14:paraId="206D652D">
            <w:pPr>
              <w:widowControl w:val="0"/>
              <w:snapToGrid w:val="0"/>
              <w:jc w:val="center"/>
              <w:rPr>
                <w:sz w:val="20"/>
                <w:szCs w:val="20"/>
              </w:rPr>
            </w:pPr>
            <w:r>
              <w:rPr>
                <w:sz w:val="20"/>
                <w:szCs w:val="20"/>
              </w:rPr>
              <w:t>4</w:t>
            </w:r>
          </w:p>
        </w:tc>
        <w:tc>
          <w:tcPr>
            <w:tcW w:w="653" w:type="dxa"/>
            <w:vAlign w:val="center"/>
          </w:tcPr>
          <w:p w14:paraId="6BD50425">
            <w:pPr>
              <w:widowControl w:val="0"/>
              <w:snapToGrid w:val="0"/>
              <w:jc w:val="center"/>
              <w:rPr>
                <w:rFonts w:ascii="Times New Roman" w:hAnsi="Times New Roman"/>
                <w:bCs/>
                <w:sz w:val="21"/>
                <w:szCs w:val="21"/>
              </w:rPr>
            </w:pPr>
            <w:r>
              <w:rPr>
                <w:rFonts w:ascii="Times New Roman" w:hAnsi="Times New Roman"/>
                <w:bCs/>
                <w:sz w:val="21"/>
                <w:szCs w:val="21"/>
              </w:rPr>
              <w:t>0</w:t>
            </w:r>
          </w:p>
        </w:tc>
        <w:tc>
          <w:tcPr>
            <w:tcW w:w="700" w:type="dxa"/>
            <w:tcBorders>
              <w:right w:val="single" w:color="auto" w:sz="12" w:space="0"/>
            </w:tcBorders>
            <w:vAlign w:val="center"/>
          </w:tcPr>
          <w:p w14:paraId="00325777">
            <w:pPr>
              <w:widowControl w:val="0"/>
              <w:snapToGrid w:val="0"/>
              <w:jc w:val="center"/>
              <w:rPr>
                <w:rFonts w:ascii="Times New Roman" w:hAnsi="Times New Roman"/>
                <w:bCs/>
                <w:sz w:val="21"/>
                <w:szCs w:val="21"/>
              </w:rPr>
            </w:pPr>
            <w:r>
              <w:rPr>
                <w:rFonts w:ascii="Times New Roman" w:hAnsi="Times New Roman"/>
                <w:bCs/>
                <w:sz w:val="21"/>
                <w:szCs w:val="21"/>
              </w:rPr>
              <w:t>4</w:t>
            </w:r>
          </w:p>
        </w:tc>
      </w:tr>
      <w:tr w14:paraId="3EC63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313CBB48">
            <w:pPr>
              <w:widowControl w:val="0"/>
              <w:snapToGrid w:val="0"/>
              <w:jc w:val="center"/>
              <w:rPr>
                <w:sz w:val="21"/>
                <w:szCs w:val="21"/>
              </w:rPr>
            </w:pPr>
            <w:r>
              <w:rPr>
                <w:rFonts w:hint="eastAsia"/>
                <w:sz w:val="21"/>
                <w:szCs w:val="21"/>
              </w:rPr>
              <w:t>第七章</w:t>
            </w:r>
          </w:p>
        </w:tc>
        <w:tc>
          <w:tcPr>
            <w:tcW w:w="2690" w:type="dxa"/>
            <w:vAlign w:val="center"/>
          </w:tcPr>
          <w:p w14:paraId="358FF270">
            <w:pPr>
              <w:widowControl w:val="0"/>
              <w:snapToGrid w:val="0"/>
              <w:jc w:val="center"/>
              <w:rPr>
                <w:sz w:val="21"/>
                <w:szCs w:val="21"/>
              </w:rPr>
            </w:pPr>
            <w:r>
              <w:rPr>
                <w:rFonts w:hint="eastAsia"/>
                <w:sz w:val="21"/>
                <w:szCs w:val="21"/>
              </w:rPr>
              <w:t>讲述法、讨论法；问题导向学习</w:t>
            </w:r>
          </w:p>
        </w:tc>
        <w:tc>
          <w:tcPr>
            <w:tcW w:w="1697" w:type="dxa"/>
            <w:vAlign w:val="center"/>
          </w:tcPr>
          <w:p w14:paraId="5FAD996F">
            <w:pPr>
              <w:widowControl w:val="0"/>
              <w:snapToGrid w:val="0"/>
              <w:jc w:val="center"/>
              <w:rPr>
                <w:sz w:val="21"/>
                <w:szCs w:val="21"/>
              </w:rPr>
            </w:pPr>
            <w:r>
              <w:rPr>
                <w:rFonts w:hint="eastAsia"/>
                <w:sz w:val="21"/>
                <w:szCs w:val="21"/>
              </w:rPr>
              <w:t>纸笔测试</w:t>
            </w:r>
          </w:p>
        </w:tc>
        <w:tc>
          <w:tcPr>
            <w:tcW w:w="708" w:type="dxa"/>
            <w:vAlign w:val="center"/>
          </w:tcPr>
          <w:p w14:paraId="7133F80A">
            <w:pPr>
              <w:widowControl w:val="0"/>
              <w:snapToGrid w:val="0"/>
              <w:jc w:val="center"/>
              <w:rPr>
                <w:sz w:val="20"/>
                <w:szCs w:val="20"/>
              </w:rPr>
            </w:pPr>
            <w:r>
              <w:rPr>
                <w:sz w:val="20"/>
                <w:szCs w:val="20"/>
              </w:rPr>
              <w:t>4</w:t>
            </w:r>
          </w:p>
        </w:tc>
        <w:tc>
          <w:tcPr>
            <w:tcW w:w="653" w:type="dxa"/>
            <w:vAlign w:val="center"/>
          </w:tcPr>
          <w:p w14:paraId="13EE05CE">
            <w:pPr>
              <w:widowControl w:val="0"/>
              <w:snapToGrid w:val="0"/>
              <w:jc w:val="center"/>
              <w:rPr>
                <w:rFonts w:ascii="Times New Roman" w:hAnsi="Times New Roman"/>
                <w:bCs/>
                <w:sz w:val="21"/>
                <w:szCs w:val="21"/>
              </w:rPr>
            </w:pPr>
            <w:r>
              <w:rPr>
                <w:rFonts w:ascii="Times New Roman" w:hAnsi="Times New Roman"/>
                <w:bCs/>
                <w:sz w:val="21"/>
                <w:szCs w:val="21"/>
              </w:rPr>
              <w:t>0</w:t>
            </w:r>
          </w:p>
        </w:tc>
        <w:tc>
          <w:tcPr>
            <w:tcW w:w="700" w:type="dxa"/>
            <w:tcBorders>
              <w:right w:val="single" w:color="auto" w:sz="12" w:space="0"/>
            </w:tcBorders>
            <w:vAlign w:val="center"/>
          </w:tcPr>
          <w:p w14:paraId="17438F1C">
            <w:pPr>
              <w:widowControl w:val="0"/>
              <w:snapToGrid w:val="0"/>
              <w:jc w:val="center"/>
              <w:rPr>
                <w:rFonts w:ascii="Times New Roman" w:hAnsi="Times New Roman"/>
                <w:bCs/>
                <w:sz w:val="21"/>
                <w:szCs w:val="21"/>
              </w:rPr>
            </w:pPr>
            <w:r>
              <w:rPr>
                <w:rFonts w:ascii="Times New Roman" w:hAnsi="Times New Roman"/>
                <w:bCs/>
                <w:sz w:val="21"/>
                <w:szCs w:val="21"/>
              </w:rPr>
              <w:t>4</w:t>
            </w:r>
          </w:p>
        </w:tc>
      </w:tr>
      <w:tr w14:paraId="27208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31B33225">
            <w:pPr>
              <w:widowControl w:val="0"/>
              <w:snapToGrid w:val="0"/>
              <w:jc w:val="center"/>
              <w:rPr>
                <w:sz w:val="21"/>
                <w:szCs w:val="21"/>
              </w:rPr>
            </w:pPr>
            <w:r>
              <w:rPr>
                <w:rFonts w:hint="eastAsia"/>
                <w:sz w:val="21"/>
                <w:szCs w:val="21"/>
              </w:rPr>
              <w:t>第八章</w:t>
            </w:r>
          </w:p>
        </w:tc>
        <w:tc>
          <w:tcPr>
            <w:tcW w:w="2690" w:type="dxa"/>
            <w:vAlign w:val="center"/>
          </w:tcPr>
          <w:p w14:paraId="16FFBBE2">
            <w:pPr>
              <w:widowControl w:val="0"/>
              <w:snapToGrid w:val="0"/>
              <w:jc w:val="center"/>
              <w:rPr>
                <w:sz w:val="21"/>
                <w:szCs w:val="21"/>
              </w:rPr>
            </w:pPr>
            <w:r>
              <w:rPr>
                <w:rFonts w:hint="eastAsia"/>
                <w:sz w:val="21"/>
                <w:szCs w:val="21"/>
              </w:rPr>
              <w:t>讲述法、讨论法；问题导向学习</w:t>
            </w:r>
          </w:p>
        </w:tc>
        <w:tc>
          <w:tcPr>
            <w:tcW w:w="1697" w:type="dxa"/>
            <w:vAlign w:val="center"/>
          </w:tcPr>
          <w:p w14:paraId="7FD8B0E8">
            <w:pPr>
              <w:widowControl w:val="0"/>
              <w:snapToGrid w:val="0"/>
              <w:jc w:val="center"/>
              <w:rPr>
                <w:sz w:val="21"/>
                <w:szCs w:val="21"/>
              </w:rPr>
            </w:pPr>
            <w:r>
              <w:rPr>
                <w:rFonts w:hint="eastAsia"/>
                <w:color w:val="000000"/>
                <w:sz w:val="21"/>
                <w:szCs w:val="21"/>
              </w:rPr>
              <w:t>纸笔测试</w:t>
            </w:r>
          </w:p>
        </w:tc>
        <w:tc>
          <w:tcPr>
            <w:tcW w:w="708" w:type="dxa"/>
            <w:vAlign w:val="center"/>
          </w:tcPr>
          <w:p w14:paraId="4415B3F5">
            <w:pPr>
              <w:widowControl w:val="0"/>
              <w:snapToGrid w:val="0"/>
              <w:jc w:val="center"/>
              <w:rPr>
                <w:sz w:val="20"/>
                <w:szCs w:val="20"/>
              </w:rPr>
            </w:pPr>
            <w:r>
              <w:rPr>
                <w:sz w:val="20"/>
                <w:szCs w:val="20"/>
              </w:rPr>
              <w:t>2</w:t>
            </w:r>
          </w:p>
        </w:tc>
        <w:tc>
          <w:tcPr>
            <w:tcW w:w="653" w:type="dxa"/>
            <w:vAlign w:val="center"/>
          </w:tcPr>
          <w:p w14:paraId="57FAFA67">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13CAA54A">
            <w:pPr>
              <w:widowControl w:val="0"/>
              <w:snapToGrid w:val="0"/>
              <w:jc w:val="center"/>
              <w:rPr>
                <w:rFonts w:ascii="Times New Roman" w:hAnsi="Times New Roman"/>
                <w:bCs/>
                <w:sz w:val="21"/>
                <w:szCs w:val="21"/>
              </w:rPr>
            </w:pPr>
            <w:r>
              <w:rPr>
                <w:rFonts w:ascii="Times New Roman" w:hAnsi="Times New Roman"/>
                <w:bCs/>
                <w:sz w:val="21"/>
                <w:szCs w:val="21"/>
              </w:rPr>
              <w:t>2</w:t>
            </w:r>
          </w:p>
        </w:tc>
      </w:tr>
      <w:tr w14:paraId="51F29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22046A96">
            <w:pPr>
              <w:widowControl w:val="0"/>
              <w:snapToGrid w:val="0"/>
              <w:jc w:val="center"/>
              <w:rPr>
                <w:sz w:val="21"/>
                <w:szCs w:val="21"/>
              </w:rPr>
            </w:pPr>
            <w:r>
              <w:rPr>
                <w:rFonts w:hint="eastAsia"/>
                <w:sz w:val="21"/>
                <w:szCs w:val="21"/>
              </w:rPr>
              <w:t>第九章</w:t>
            </w:r>
          </w:p>
        </w:tc>
        <w:tc>
          <w:tcPr>
            <w:tcW w:w="2690" w:type="dxa"/>
            <w:vAlign w:val="center"/>
          </w:tcPr>
          <w:p w14:paraId="61038E45">
            <w:pPr>
              <w:widowControl w:val="0"/>
              <w:snapToGrid w:val="0"/>
              <w:jc w:val="center"/>
              <w:rPr>
                <w:sz w:val="21"/>
                <w:szCs w:val="21"/>
              </w:rPr>
            </w:pPr>
            <w:r>
              <w:rPr>
                <w:rFonts w:hint="eastAsia"/>
                <w:sz w:val="21"/>
                <w:szCs w:val="21"/>
              </w:rPr>
              <w:t>讲述法、讨论法；问题导向学习</w:t>
            </w:r>
          </w:p>
        </w:tc>
        <w:tc>
          <w:tcPr>
            <w:tcW w:w="1697" w:type="dxa"/>
            <w:vAlign w:val="center"/>
          </w:tcPr>
          <w:p w14:paraId="2524A4E5">
            <w:pPr>
              <w:widowControl w:val="0"/>
              <w:snapToGrid w:val="0"/>
              <w:jc w:val="center"/>
              <w:rPr>
                <w:sz w:val="21"/>
                <w:szCs w:val="21"/>
              </w:rPr>
            </w:pPr>
            <w:r>
              <w:rPr>
                <w:rFonts w:hint="eastAsia"/>
                <w:sz w:val="21"/>
                <w:szCs w:val="21"/>
              </w:rPr>
              <w:t>纸笔测试</w:t>
            </w:r>
          </w:p>
        </w:tc>
        <w:tc>
          <w:tcPr>
            <w:tcW w:w="708" w:type="dxa"/>
            <w:vAlign w:val="center"/>
          </w:tcPr>
          <w:p w14:paraId="396ADBFE">
            <w:pPr>
              <w:widowControl w:val="0"/>
              <w:snapToGrid w:val="0"/>
              <w:jc w:val="center"/>
              <w:rPr>
                <w:sz w:val="20"/>
                <w:szCs w:val="20"/>
              </w:rPr>
            </w:pPr>
            <w:r>
              <w:rPr>
                <w:sz w:val="20"/>
                <w:szCs w:val="20"/>
              </w:rPr>
              <w:t>2</w:t>
            </w:r>
          </w:p>
        </w:tc>
        <w:tc>
          <w:tcPr>
            <w:tcW w:w="653" w:type="dxa"/>
            <w:vAlign w:val="center"/>
          </w:tcPr>
          <w:p w14:paraId="67BA7439">
            <w:pPr>
              <w:widowControl w:val="0"/>
              <w:snapToGrid w:val="0"/>
              <w:jc w:val="center"/>
              <w:rPr>
                <w:rFonts w:ascii="Times New Roman" w:hAnsi="Times New Roman"/>
                <w:bCs/>
                <w:sz w:val="21"/>
                <w:szCs w:val="21"/>
              </w:rPr>
            </w:pPr>
            <w:r>
              <w:rPr>
                <w:rFonts w:ascii="Times New Roman" w:hAnsi="Times New Roman"/>
                <w:bCs/>
                <w:sz w:val="21"/>
                <w:szCs w:val="21"/>
              </w:rPr>
              <w:t>0</w:t>
            </w:r>
          </w:p>
        </w:tc>
        <w:tc>
          <w:tcPr>
            <w:tcW w:w="700" w:type="dxa"/>
            <w:tcBorders>
              <w:right w:val="single" w:color="auto" w:sz="12" w:space="0"/>
            </w:tcBorders>
            <w:vAlign w:val="center"/>
          </w:tcPr>
          <w:p w14:paraId="5B7517F5">
            <w:pPr>
              <w:widowControl w:val="0"/>
              <w:snapToGrid w:val="0"/>
              <w:jc w:val="center"/>
              <w:rPr>
                <w:rFonts w:ascii="Times New Roman" w:hAnsi="Times New Roman"/>
                <w:bCs/>
                <w:sz w:val="21"/>
                <w:szCs w:val="21"/>
              </w:rPr>
            </w:pPr>
            <w:r>
              <w:rPr>
                <w:rFonts w:ascii="Times New Roman" w:hAnsi="Times New Roman"/>
                <w:bCs/>
                <w:sz w:val="21"/>
                <w:szCs w:val="21"/>
              </w:rPr>
              <w:t>2</w:t>
            </w:r>
          </w:p>
        </w:tc>
      </w:tr>
      <w:tr w14:paraId="5C3FD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42241AE9">
            <w:pPr>
              <w:widowControl w:val="0"/>
              <w:snapToGrid w:val="0"/>
              <w:jc w:val="center"/>
              <w:rPr>
                <w:rFonts w:ascii="Times New Roman" w:hAnsi="Times New Roman"/>
                <w:bCs/>
                <w:sz w:val="21"/>
                <w:szCs w:val="21"/>
              </w:rPr>
            </w:pPr>
            <w:r>
              <w:rPr>
                <w:rFonts w:hint="eastAsia"/>
                <w:sz w:val="21"/>
                <w:szCs w:val="21"/>
              </w:rPr>
              <w:t>第十章</w:t>
            </w:r>
          </w:p>
        </w:tc>
        <w:tc>
          <w:tcPr>
            <w:tcW w:w="2690" w:type="dxa"/>
            <w:vAlign w:val="center"/>
          </w:tcPr>
          <w:p w14:paraId="458E97F8">
            <w:pPr>
              <w:widowControl w:val="0"/>
              <w:snapToGrid w:val="0"/>
              <w:jc w:val="center"/>
              <w:rPr>
                <w:sz w:val="21"/>
                <w:szCs w:val="21"/>
              </w:rPr>
            </w:pPr>
            <w:r>
              <w:rPr>
                <w:rFonts w:hint="eastAsia"/>
                <w:sz w:val="21"/>
                <w:szCs w:val="21"/>
              </w:rPr>
              <w:t>讲述法、讨论法；问题导向学习</w:t>
            </w:r>
          </w:p>
        </w:tc>
        <w:tc>
          <w:tcPr>
            <w:tcW w:w="1697" w:type="dxa"/>
            <w:vAlign w:val="center"/>
          </w:tcPr>
          <w:p w14:paraId="404860D9">
            <w:pPr>
              <w:widowControl w:val="0"/>
              <w:snapToGrid w:val="0"/>
              <w:jc w:val="center"/>
              <w:rPr>
                <w:sz w:val="21"/>
                <w:szCs w:val="21"/>
              </w:rPr>
            </w:pPr>
            <w:r>
              <w:rPr>
                <w:rFonts w:hint="eastAsia"/>
                <w:color w:val="000000"/>
                <w:sz w:val="21"/>
                <w:szCs w:val="21"/>
              </w:rPr>
              <w:t>纸笔测试</w:t>
            </w:r>
          </w:p>
        </w:tc>
        <w:tc>
          <w:tcPr>
            <w:tcW w:w="708" w:type="dxa"/>
            <w:vAlign w:val="center"/>
          </w:tcPr>
          <w:p w14:paraId="68E5729C">
            <w:pPr>
              <w:widowControl w:val="0"/>
              <w:snapToGrid w:val="0"/>
              <w:jc w:val="center"/>
              <w:rPr>
                <w:sz w:val="20"/>
                <w:szCs w:val="20"/>
              </w:rPr>
            </w:pPr>
            <w:r>
              <w:rPr>
                <w:sz w:val="20"/>
                <w:szCs w:val="20"/>
              </w:rPr>
              <w:t>4</w:t>
            </w:r>
          </w:p>
        </w:tc>
        <w:tc>
          <w:tcPr>
            <w:tcW w:w="653" w:type="dxa"/>
            <w:vAlign w:val="center"/>
          </w:tcPr>
          <w:p w14:paraId="6EB93310">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445A28BC">
            <w:pPr>
              <w:widowControl w:val="0"/>
              <w:snapToGrid w:val="0"/>
              <w:jc w:val="center"/>
              <w:rPr>
                <w:rFonts w:ascii="Times New Roman" w:hAnsi="Times New Roman"/>
                <w:bCs/>
                <w:sz w:val="21"/>
                <w:szCs w:val="21"/>
              </w:rPr>
            </w:pPr>
            <w:r>
              <w:rPr>
                <w:rFonts w:ascii="Times New Roman" w:hAnsi="Times New Roman"/>
                <w:bCs/>
                <w:sz w:val="21"/>
                <w:szCs w:val="21"/>
              </w:rPr>
              <w:t>4</w:t>
            </w:r>
          </w:p>
        </w:tc>
      </w:tr>
      <w:tr w14:paraId="012E0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2987E7E3">
            <w:pPr>
              <w:widowControl w:val="0"/>
              <w:snapToGrid w:val="0"/>
              <w:jc w:val="center"/>
              <w:rPr>
                <w:sz w:val="21"/>
                <w:szCs w:val="21"/>
              </w:rPr>
            </w:pPr>
            <w:r>
              <w:rPr>
                <w:rFonts w:hint="eastAsia"/>
                <w:sz w:val="21"/>
                <w:szCs w:val="21"/>
              </w:rPr>
              <w:t>第十一章</w:t>
            </w:r>
          </w:p>
        </w:tc>
        <w:tc>
          <w:tcPr>
            <w:tcW w:w="2690" w:type="dxa"/>
            <w:vAlign w:val="center"/>
          </w:tcPr>
          <w:p w14:paraId="6F71FBED">
            <w:pPr>
              <w:widowControl w:val="0"/>
              <w:snapToGrid w:val="0"/>
              <w:jc w:val="center"/>
              <w:rPr>
                <w:sz w:val="21"/>
                <w:szCs w:val="21"/>
              </w:rPr>
            </w:pPr>
            <w:r>
              <w:rPr>
                <w:rFonts w:hint="eastAsia"/>
                <w:sz w:val="21"/>
                <w:szCs w:val="21"/>
              </w:rPr>
              <w:t>讲述法、讨论法；问题导向学习</w:t>
            </w:r>
          </w:p>
        </w:tc>
        <w:tc>
          <w:tcPr>
            <w:tcW w:w="1697" w:type="dxa"/>
            <w:vAlign w:val="center"/>
          </w:tcPr>
          <w:p w14:paraId="17D95FB9">
            <w:pPr>
              <w:widowControl w:val="0"/>
              <w:snapToGrid w:val="0"/>
              <w:jc w:val="center"/>
              <w:rPr>
                <w:color w:val="000000"/>
                <w:sz w:val="21"/>
                <w:szCs w:val="21"/>
              </w:rPr>
            </w:pPr>
            <w:r>
              <w:rPr>
                <w:rFonts w:hint="eastAsia"/>
                <w:color w:val="000000"/>
                <w:sz w:val="21"/>
                <w:szCs w:val="21"/>
              </w:rPr>
              <w:t>纸笔测试</w:t>
            </w:r>
          </w:p>
        </w:tc>
        <w:tc>
          <w:tcPr>
            <w:tcW w:w="708" w:type="dxa"/>
            <w:vAlign w:val="center"/>
          </w:tcPr>
          <w:p w14:paraId="1A8EB5DF">
            <w:pPr>
              <w:widowControl w:val="0"/>
              <w:snapToGrid w:val="0"/>
              <w:jc w:val="center"/>
              <w:rPr>
                <w:sz w:val="20"/>
                <w:szCs w:val="20"/>
              </w:rPr>
            </w:pPr>
            <w:r>
              <w:rPr>
                <w:rFonts w:hint="eastAsia"/>
                <w:sz w:val="20"/>
                <w:szCs w:val="20"/>
              </w:rPr>
              <w:t>2</w:t>
            </w:r>
          </w:p>
        </w:tc>
        <w:tc>
          <w:tcPr>
            <w:tcW w:w="653" w:type="dxa"/>
            <w:vAlign w:val="center"/>
          </w:tcPr>
          <w:p w14:paraId="2FB918AB">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655E8E7A">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64B19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454A372A">
            <w:pPr>
              <w:widowControl w:val="0"/>
              <w:snapToGrid w:val="0"/>
              <w:jc w:val="center"/>
              <w:rPr>
                <w:sz w:val="21"/>
                <w:szCs w:val="21"/>
              </w:rPr>
            </w:pPr>
            <w:r>
              <w:rPr>
                <w:rFonts w:hint="eastAsia"/>
                <w:sz w:val="21"/>
                <w:szCs w:val="21"/>
              </w:rPr>
              <w:t>第十二章</w:t>
            </w:r>
          </w:p>
        </w:tc>
        <w:tc>
          <w:tcPr>
            <w:tcW w:w="2690" w:type="dxa"/>
            <w:vAlign w:val="center"/>
          </w:tcPr>
          <w:p w14:paraId="3E1EE14A">
            <w:pPr>
              <w:widowControl w:val="0"/>
              <w:snapToGrid w:val="0"/>
              <w:jc w:val="center"/>
              <w:rPr>
                <w:sz w:val="21"/>
                <w:szCs w:val="21"/>
              </w:rPr>
            </w:pPr>
            <w:r>
              <w:rPr>
                <w:rFonts w:hint="eastAsia"/>
                <w:sz w:val="21"/>
                <w:szCs w:val="21"/>
              </w:rPr>
              <w:t>讲述法、讨论法；问题导向学习</w:t>
            </w:r>
          </w:p>
        </w:tc>
        <w:tc>
          <w:tcPr>
            <w:tcW w:w="1697" w:type="dxa"/>
            <w:vAlign w:val="center"/>
          </w:tcPr>
          <w:p w14:paraId="25187315">
            <w:pPr>
              <w:widowControl w:val="0"/>
              <w:snapToGrid w:val="0"/>
              <w:jc w:val="center"/>
              <w:rPr>
                <w:color w:val="000000"/>
                <w:sz w:val="21"/>
                <w:szCs w:val="21"/>
              </w:rPr>
            </w:pPr>
            <w:r>
              <w:rPr>
                <w:rFonts w:hint="eastAsia"/>
                <w:color w:val="000000"/>
                <w:sz w:val="21"/>
                <w:szCs w:val="21"/>
              </w:rPr>
              <w:t>纸笔测试</w:t>
            </w:r>
          </w:p>
        </w:tc>
        <w:tc>
          <w:tcPr>
            <w:tcW w:w="708" w:type="dxa"/>
            <w:vAlign w:val="center"/>
          </w:tcPr>
          <w:p w14:paraId="05189411">
            <w:pPr>
              <w:widowControl w:val="0"/>
              <w:snapToGrid w:val="0"/>
              <w:jc w:val="center"/>
              <w:rPr>
                <w:sz w:val="20"/>
                <w:szCs w:val="20"/>
              </w:rPr>
            </w:pPr>
            <w:r>
              <w:rPr>
                <w:rFonts w:hint="eastAsia"/>
                <w:sz w:val="20"/>
                <w:szCs w:val="20"/>
              </w:rPr>
              <w:t>2</w:t>
            </w:r>
          </w:p>
        </w:tc>
        <w:tc>
          <w:tcPr>
            <w:tcW w:w="653" w:type="dxa"/>
            <w:vAlign w:val="center"/>
          </w:tcPr>
          <w:p w14:paraId="46FA0C54">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6BD20DE2">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3799E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215" w:type="dxa"/>
            <w:gridSpan w:val="3"/>
            <w:tcBorders>
              <w:left w:val="single" w:color="auto" w:sz="12" w:space="0"/>
              <w:bottom w:val="single" w:color="auto" w:sz="12" w:space="0"/>
            </w:tcBorders>
            <w:vAlign w:val="center"/>
          </w:tcPr>
          <w:p w14:paraId="66542D9F">
            <w:pPr>
              <w:pStyle w:val="16"/>
              <w:widowControl w:val="0"/>
            </w:pPr>
            <w:r>
              <w:rPr>
                <w:rFonts w:hint="eastAsia"/>
              </w:rPr>
              <w:t>合计</w:t>
            </w:r>
          </w:p>
        </w:tc>
        <w:tc>
          <w:tcPr>
            <w:tcW w:w="708" w:type="dxa"/>
            <w:tcBorders>
              <w:bottom w:val="single" w:color="auto" w:sz="12" w:space="0"/>
            </w:tcBorders>
            <w:vAlign w:val="center"/>
          </w:tcPr>
          <w:p w14:paraId="31FD9FAE">
            <w:pPr>
              <w:widowControl w:val="0"/>
              <w:snapToGrid w:val="0"/>
              <w:jc w:val="center"/>
              <w:rPr>
                <w:rFonts w:ascii="Times New Roman" w:hAnsi="Times New Roman"/>
                <w:bCs/>
                <w:sz w:val="21"/>
                <w:szCs w:val="21"/>
              </w:rPr>
            </w:pPr>
            <w:r>
              <w:rPr>
                <w:rFonts w:ascii="Times New Roman" w:hAnsi="Times New Roman"/>
                <w:bCs/>
                <w:sz w:val="21"/>
                <w:szCs w:val="21"/>
              </w:rPr>
              <w:t>32</w:t>
            </w:r>
          </w:p>
        </w:tc>
        <w:tc>
          <w:tcPr>
            <w:tcW w:w="653" w:type="dxa"/>
            <w:tcBorders>
              <w:bottom w:val="single" w:color="auto" w:sz="12" w:space="0"/>
            </w:tcBorders>
            <w:vAlign w:val="center"/>
          </w:tcPr>
          <w:p w14:paraId="09933344">
            <w:pPr>
              <w:widowControl w:val="0"/>
              <w:snapToGrid w:val="0"/>
              <w:jc w:val="center"/>
              <w:rPr>
                <w:rFonts w:ascii="Times New Roman" w:hAnsi="Times New Roman"/>
                <w:bCs/>
                <w:sz w:val="21"/>
                <w:szCs w:val="21"/>
              </w:rPr>
            </w:pPr>
            <w:r>
              <w:rPr>
                <w:rFonts w:ascii="Times New Roman" w:hAnsi="Times New Roman"/>
                <w:bCs/>
                <w:sz w:val="21"/>
                <w:szCs w:val="21"/>
              </w:rPr>
              <w:t>0</w:t>
            </w:r>
          </w:p>
        </w:tc>
        <w:tc>
          <w:tcPr>
            <w:tcW w:w="700" w:type="dxa"/>
            <w:tcBorders>
              <w:bottom w:val="single" w:color="auto" w:sz="12" w:space="0"/>
              <w:right w:val="single" w:color="auto" w:sz="12" w:space="0"/>
            </w:tcBorders>
            <w:vAlign w:val="center"/>
          </w:tcPr>
          <w:p w14:paraId="701E3B72">
            <w:pPr>
              <w:widowControl w:val="0"/>
              <w:snapToGrid w:val="0"/>
              <w:jc w:val="center"/>
              <w:rPr>
                <w:rFonts w:ascii="Times New Roman" w:hAnsi="Times New Roman"/>
                <w:bCs/>
                <w:sz w:val="21"/>
                <w:szCs w:val="21"/>
              </w:rPr>
            </w:pPr>
            <w:r>
              <w:rPr>
                <w:rFonts w:ascii="Times New Roman" w:hAnsi="Times New Roman"/>
                <w:bCs/>
                <w:sz w:val="21"/>
                <w:szCs w:val="21"/>
              </w:rPr>
              <w:t>32</w:t>
            </w:r>
          </w:p>
        </w:tc>
      </w:tr>
    </w:tbl>
    <w:p w14:paraId="0D41BEE2">
      <w:pPr>
        <w:pStyle w:val="19"/>
        <w:spacing w:before="326" w:beforeLines="100" w:line="360" w:lineRule="auto"/>
        <w:ind w:firstLine="140" w:firstLineChars="50"/>
        <w:rPr>
          <w:rFonts w:ascii="黑体" w:hAnsi="宋体"/>
          <w:highlight w:val="yellow"/>
        </w:rPr>
      </w:pPr>
      <w:bookmarkStart w:id="0" w:name="OLE_LINK2"/>
      <w:bookmarkStart w:id="1" w:name="OLE_LINK1"/>
      <w:r>
        <w:rPr>
          <w:rFonts w:hint="eastAsia" w:ascii="黑体" w:hAnsi="宋体"/>
        </w:rPr>
        <w:t>四、课程思政教学设计</w:t>
      </w:r>
    </w:p>
    <w:bookmarkEnd w:id="0"/>
    <w:bookmarkEnd w:id="1"/>
    <w:tbl>
      <w:tblPr>
        <w:tblStyle w:val="10"/>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50A0EE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14:paraId="17FA919C">
            <w:pPr>
              <w:pStyle w:val="17"/>
              <w:widowControl w:val="0"/>
              <w:ind w:firstLine="420" w:firstLineChars="200"/>
              <w:jc w:val="left"/>
            </w:pPr>
            <w:r>
              <w:rPr>
                <w:rFonts w:hint="eastAsia"/>
              </w:rPr>
              <w:t>护理管理学课程思政教学，以习近平总书记“广大医务工作者要恪守医德医风，修医德、行仁术，怀救苦之心、做苍生大医，努力为人民群众提供更加优质高效的健康服务”的讲话为核心，挖掘思政元素，融入课堂。从明确护理管理的重要意义，培养关爱生命、尊重护理对象的职业精神和态度。培养具有良好的法律意识，自觉遵纪守法、抵制不良执业行为，避免护理工作中医患纠纷发生。培养具有稳定的心理素质、良好的护理职业道德和职业情感。</w:t>
            </w:r>
          </w:p>
        </w:tc>
      </w:tr>
    </w:tbl>
    <w:p w14:paraId="5573DD94">
      <w:pPr>
        <w:pStyle w:val="19"/>
        <w:spacing w:before="326" w:beforeLines="100" w:line="360" w:lineRule="auto"/>
        <w:rPr>
          <w:rFonts w:ascii="黑体" w:hAnsi="宋体"/>
        </w:rPr>
      </w:pPr>
      <w:r>
        <w:rPr>
          <w:rFonts w:hint="eastAsia" w:ascii="黑体" w:hAnsi="宋体"/>
        </w:rPr>
        <w:t>五、课程考核</w:t>
      </w:r>
      <w:bookmarkStart w:id="2" w:name="OLE_LINK4"/>
      <w:bookmarkStart w:id="3" w:name="OLE_LINK3"/>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
        <w:gridCol w:w="758"/>
        <w:gridCol w:w="2518"/>
        <w:gridCol w:w="655"/>
        <w:gridCol w:w="655"/>
        <w:gridCol w:w="655"/>
        <w:gridCol w:w="655"/>
        <w:gridCol w:w="655"/>
        <w:gridCol w:w="755"/>
      </w:tblGrid>
      <w:tr w14:paraId="28C71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94" w:type="dxa"/>
            <w:vMerge w:val="restart"/>
            <w:tcBorders>
              <w:top w:val="single" w:color="auto" w:sz="12" w:space="0"/>
              <w:left w:val="single" w:color="auto" w:sz="12" w:space="0"/>
            </w:tcBorders>
            <w:vAlign w:val="center"/>
          </w:tcPr>
          <w:p w14:paraId="48B9DE49">
            <w:pPr>
              <w:widowControl w:val="0"/>
              <w:snapToGrid w:val="0"/>
              <w:jc w:val="center"/>
              <w:rPr>
                <w:rFonts w:hint="eastAsia" w:ascii="宋体" w:hAnsi="宋体" w:eastAsia="宋体" w:cs="宋体"/>
                <w:bCs/>
                <w:sz w:val="21"/>
                <w:szCs w:val="21"/>
              </w:rPr>
            </w:pPr>
            <w:r>
              <w:rPr>
                <w:rFonts w:hint="eastAsia" w:ascii="宋体" w:hAnsi="宋体" w:eastAsia="宋体" w:cs="宋体"/>
                <w:bCs/>
                <w:sz w:val="21"/>
                <w:szCs w:val="21"/>
              </w:rPr>
              <w:t>总评构成</w:t>
            </w:r>
          </w:p>
        </w:tc>
        <w:tc>
          <w:tcPr>
            <w:tcW w:w="758" w:type="dxa"/>
            <w:vMerge w:val="restart"/>
            <w:tcBorders>
              <w:top w:val="single" w:color="auto" w:sz="12" w:space="0"/>
            </w:tcBorders>
            <w:vAlign w:val="center"/>
          </w:tcPr>
          <w:p w14:paraId="0400DD12">
            <w:pPr>
              <w:pStyle w:val="19"/>
              <w:widowControl w:val="0"/>
              <w:spacing w:line="240" w:lineRule="auto"/>
              <w:jc w:val="center"/>
              <w:rPr>
                <w:rFonts w:hint="eastAsia" w:ascii="宋体" w:hAnsi="宋体" w:eastAsia="宋体" w:cs="宋体"/>
                <w:sz w:val="21"/>
                <w:szCs w:val="21"/>
              </w:rPr>
            </w:pPr>
            <w:r>
              <w:rPr>
                <w:rFonts w:hint="eastAsia" w:ascii="宋体" w:hAnsi="宋体" w:eastAsia="宋体" w:cs="宋体"/>
                <w:bCs/>
                <w:sz w:val="21"/>
                <w:szCs w:val="21"/>
              </w:rPr>
              <w:t>占比</w:t>
            </w:r>
          </w:p>
        </w:tc>
        <w:tc>
          <w:tcPr>
            <w:tcW w:w="2518" w:type="dxa"/>
            <w:vMerge w:val="restart"/>
            <w:tcBorders>
              <w:top w:val="single" w:color="auto" w:sz="12" w:space="0"/>
              <w:right w:val="double" w:color="auto" w:sz="4" w:space="0"/>
            </w:tcBorders>
            <w:vAlign w:val="center"/>
          </w:tcPr>
          <w:p w14:paraId="2425B269">
            <w:pPr>
              <w:pStyle w:val="19"/>
              <w:widowControl w:val="0"/>
              <w:jc w:val="center"/>
              <w:rPr>
                <w:rFonts w:hint="eastAsia" w:ascii="宋体" w:hAnsi="宋体" w:eastAsia="宋体" w:cs="宋体"/>
                <w:bCs/>
                <w:sz w:val="21"/>
                <w:szCs w:val="21"/>
              </w:rPr>
            </w:pPr>
            <w:r>
              <w:rPr>
                <w:rFonts w:hint="eastAsia" w:ascii="宋体" w:hAnsi="宋体" w:eastAsia="宋体" w:cs="宋体"/>
                <w:bCs/>
                <w:sz w:val="21"/>
                <w:szCs w:val="21"/>
              </w:rPr>
              <w:t>考核方式</w:t>
            </w:r>
          </w:p>
        </w:tc>
        <w:tc>
          <w:tcPr>
            <w:tcW w:w="3275" w:type="dxa"/>
            <w:gridSpan w:val="5"/>
            <w:tcBorders>
              <w:top w:val="single" w:color="auto" w:sz="12" w:space="0"/>
              <w:left w:val="double" w:color="auto" w:sz="4" w:space="0"/>
            </w:tcBorders>
            <w:vAlign w:val="center"/>
          </w:tcPr>
          <w:p w14:paraId="74EACEBE">
            <w:pPr>
              <w:pStyle w:val="19"/>
              <w:widowControl w:val="0"/>
              <w:spacing w:line="240" w:lineRule="auto"/>
              <w:jc w:val="center"/>
              <w:rPr>
                <w:rFonts w:hint="eastAsia" w:ascii="宋体" w:hAnsi="宋体" w:eastAsia="宋体" w:cs="宋体"/>
                <w:sz w:val="21"/>
                <w:szCs w:val="21"/>
              </w:rPr>
            </w:pPr>
            <w:r>
              <w:rPr>
                <w:rFonts w:hint="eastAsia" w:ascii="宋体" w:hAnsi="宋体" w:eastAsia="宋体" w:cs="宋体"/>
                <w:bCs/>
                <w:sz w:val="21"/>
                <w:szCs w:val="21"/>
              </w:rPr>
              <w:t>课程目标</w:t>
            </w:r>
          </w:p>
        </w:tc>
        <w:tc>
          <w:tcPr>
            <w:tcW w:w="755" w:type="dxa"/>
            <w:vMerge w:val="restart"/>
            <w:tcBorders>
              <w:top w:val="single" w:color="auto" w:sz="12" w:space="0"/>
              <w:right w:val="single" w:color="auto" w:sz="12" w:space="0"/>
            </w:tcBorders>
            <w:vAlign w:val="center"/>
          </w:tcPr>
          <w:p w14:paraId="355534C6">
            <w:pPr>
              <w:pStyle w:val="19"/>
              <w:widowControl w:val="0"/>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合计</w:t>
            </w:r>
          </w:p>
        </w:tc>
      </w:tr>
      <w:tr w14:paraId="20C24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94" w:type="dxa"/>
            <w:vMerge w:val="continue"/>
            <w:tcBorders>
              <w:left w:val="single" w:color="auto" w:sz="12" w:space="0"/>
            </w:tcBorders>
          </w:tcPr>
          <w:p w14:paraId="228A3270">
            <w:pPr>
              <w:widowControl w:val="0"/>
              <w:snapToGrid w:val="0"/>
              <w:jc w:val="center"/>
              <w:rPr>
                <w:rFonts w:hint="eastAsia" w:ascii="宋体" w:hAnsi="宋体" w:eastAsia="宋体" w:cs="宋体"/>
                <w:bCs/>
                <w:sz w:val="21"/>
                <w:szCs w:val="21"/>
              </w:rPr>
            </w:pPr>
          </w:p>
        </w:tc>
        <w:tc>
          <w:tcPr>
            <w:tcW w:w="758" w:type="dxa"/>
            <w:vMerge w:val="continue"/>
          </w:tcPr>
          <w:p w14:paraId="3411E722">
            <w:pPr>
              <w:pStyle w:val="19"/>
              <w:widowControl w:val="0"/>
              <w:jc w:val="both"/>
              <w:rPr>
                <w:rFonts w:hint="eastAsia" w:ascii="宋体" w:hAnsi="宋体" w:eastAsia="宋体" w:cs="宋体"/>
                <w:bCs/>
                <w:sz w:val="21"/>
                <w:szCs w:val="21"/>
              </w:rPr>
            </w:pPr>
          </w:p>
        </w:tc>
        <w:tc>
          <w:tcPr>
            <w:tcW w:w="2518" w:type="dxa"/>
            <w:vMerge w:val="continue"/>
            <w:tcBorders>
              <w:right w:val="double" w:color="auto" w:sz="4" w:space="0"/>
            </w:tcBorders>
          </w:tcPr>
          <w:p w14:paraId="72D66264">
            <w:pPr>
              <w:pStyle w:val="19"/>
              <w:widowControl w:val="0"/>
              <w:jc w:val="both"/>
              <w:rPr>
                <w:rFonts w:hint="eastAsia" w:ascii="宋体" w:hAnsi="宋体" w:eastAsia="宋体" w:cs="宋体"/>
                <w:bCs/>
                <w:sz w:val="21"/>
                <w:szCs w:val="21"/>
              </w:rPr>
            </w:pPr>
          </w:p>
        </w:tc>
        <w:tc>
          <w:tcPr>
            <w:tcW w:w="655" w:type="dxa"/>
            <w:tcBorders>
              <w:left w:val="double" w:color="auto" w:sz="4" w:space="0"/>
            </w:tcBorders>
            <w:vAlign w:val="center"/>
          </w:tcPr>
          <w:p w14:paraId="6C571537">
            <w:pPr>
              <w:pStyle w:val="19"/>
              <w:widowControl w:val="0"/>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1</w:t>
            </w:r>
          </w:p>
        </w:tc>
        <w:tc>
          <w:tcPr>
            <w:tcW w:w="655" w:type="dxa"/>
            <w:vAlign w:val="center"/>
          </w:tcPr>
          <w:p w14:paraId="00A483C1">
            <w:pPr>
              <w:pStyle w:val="19"/>
              <w:widowControl w:val="0"/>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2</w:t>
            </w:r>
          </w:p>
        </w:tc>
        <w:tc>
          <w:tcPr>
            <w:tcW w:w="655" w:type="dxa"/>
            <w:vAlign w:val="center"/>
          </w:tcPr>
          <w:p w14:paraId="6830F82D">
            <w:pPr>
              <w:pStyle w:val="19"/>
              <w:widowControl w:val="0"/>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3</w:t>
            </w:r>
          </w:p>
        </w:tc>
        <w:tc>
          <w:tcPr>
            <w:tcW w:w="655" w:type="dxa"/>
            <w:vAlign w:val="center"/>
          </w:tcPr>
          <w:p w14:paraId="50AED1D9">
            <w:pPr>
              <w:pStyle w:val="19"/>
              <w:widowControl w:val="0"/>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4</w:t>
            </w:r>
          </w:p>
        </w:tc>
        <w:tc>
          <w:tcPr>
            <w:tcW w:w="655" w:type="dxa"/>
            <w:vAlign w:val="center"/>
          </w:tcPr>
          <w:p w14:paraId="0A2CAA06">
            <w:pPr>
              <w:pStyle w:val="19"/>
              <w:widowControl w:val="0"/>
              <w:spacing w:line="240" w:lineRule="auto"/>
              <w:jc w:val="center"/>
              <w:rPr>
                <w:rFonts w:hint="eastAsia" w:ascii="宋体" w:hAnsi="宋体" w:eastAsia="宋体" w:cs="宋体"/>
                <w:bCs/>
                <w:sz w:val="21"/>
                <w:szCs w:val="21"/>
              </w:rPr>
            </w:pPr>
            <w:r>
              <w:rPr>
                <w:rFonts w:hint="eastAsia" w:ascii="宋体" w:hAnsi="宋体" w:eastAsia="宋体" w:cs="宋体"/>
                <w:bCs/>
                <w:sz w:val="21"/>
                <w:szCs w:val="21"/>
              </w:rPr>
              <w:t>5</w:t>
            </w:r>
          </w:p>
        </w:tc>
        <w:tc>
          <w:tcPr>
            <w:tcW w:w="755" w:type="dxa"/>
            <w:vMerge w:val="continue"/>
            <w:tcBorders>
              <w:right w:val="single" w:color="auto" w:sz="12" w:space="0"/>
            </w:tcBorders>
          </w:tcPr>
          <w:p w14:paraId="6104D212">
            <w:pPr>
              <w:pStyle w:val="19"/>
              <w:widowControl w:val="0"/>
              <w:spacing w:line="240" w:lineRule="auto"/>
              <w:jc w:val="center"/>
              <w:rPr>
                <w:rFonts w:hint="eastAsia" w:ascii="宋体" w:hAnsi="宋体" w:eastAsia="宋体" w:cs="宋体"/>
                <w:bCs/>
                <w:sz w:val="21"/>
                <w:szCs w:val="21"/>
              </w:rPr>
            </w:pPr>
          </w:p>
        </w:tc>
      </w:tr>
      <w:tr w14:paraId="2D06D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94" w:type="dxa"/>
            <w:tcBorders>
              <w:left w:val="single" w:color="auto" w:sz="12" w:space="0"/>
            </w:tcBorders>
            <w:vAlign w:val="top"/>
          </w:tcPr>
          <w:p w14:paraId="6619ED58">
            <w:pPr>
              <w:widowControl/>
              <w:spacing w:line="360" w:lineRule="auto"/>
              <w:jc w:val="center"/>
              <w:rPr>
                <w:rFonts w:hint="eastAsia" w:ascii="宋体" w:hAnsi="宋体" w:eastAsia="宋体" w:cs="宋体"/>
                <w:b w:val="0"/>
                <w:bCs/>
                <w:sz w:val="21"/>
                <w:szCs w:val="21"/>
              </w:rPr>
            </w:pPr>
            <w:r>
              <w:rPr>
                <w:rFonts w:hint="eastAsia" w:ascii="宋体" w:hAnsi="宋体" w:eastAsia="宋体" w:cs="宋体"/>
                <w:kern w:val="0"/>
                <w:sz w:val="21"/>
                <w:szCs w:val="21"/>
              </w:rPr>
              <w:t>X1</w:t>
            </w:r>
          </w:p>
        </w:tc>
        <w:tc>
          <w:tcPr>
            <w:tcW w:w="758" w:type="dxa"/>
            <w:vAlign w:val="center"/>
          </w:tcPr>
          <w:p w14:paraId="73E85C4A">
            <w:pPr>
              <w:widowControl/>
              <w:spacing w:line="360" w:lineRule="auto"/>
              <w:jc w:val="center"/>
              <w:rPr>
                <w:rFonts w:hint="eastAsia" w:ascii="宋体" w:hAnsi="宋体" w:eastAsia="宋体" w:cs="宋体"/>
                <w:b w:val="0"/>
                <w:bCs/>
                <w:sz w:val="21"/>
                <w:szCs w:val="21"/>
              </w:rPr>
            </w:pPr>
            <w:r>
              <w:rPr>
                <w:rFonts w:hint="eastAsia" w:ascii="宋体" w:hAnsi="宋体" w:eastAsia="宋体" w:cs="宋体"/>
                <w:kern w:val="0"/>
                <w:sz w:val="21"/>
                <w:szCs w:val="21"/>
              </w:rPr>
              <w:t>40%</w:t>
            </w:r>
          </w:p>
        </w:tc>
        <w:tc>
          <w:tcPr>
            <w:tcW w:w="2518" w:type="dxa"/>
            <w:tcBorders>
              <w:right w:val="double" w:color="auto" w:sz="4" w:space="0"/>
            </w:tcBorders>
            <w:vAlign w:val="center"/>
          </w:tcPr>
          <w:p w14:paraId="49308777">
            <w:pPr>
              <w:pStyle w:val="8"/>
              <w:keepNext w:val="0"/>
              <w:keepLines w:val="0"/>
              <w:widowControl/>
              <w:suppressLineNumbers w:val="0"/>
              <w:jc w:val="both"/>
              <w:rPr>
                <w:rFonts w:hint="eastAsia" w:ascii="宋体" w:hAnsi="宋体" w:eastAsia="宋体" w:cs="宋体"/>
                <w:b w:val="0"/>
                <w:bCs/>
                <w:sz w:val="21"/>
                <w:szCs w:val="21"/>
              </w:rPr>
            </w:pPr>
            <w:r>
              <w:rPr>
                <w:rFonts w:hint="eastAsia" w:ascii="宋体" w:hAnsi="宋体" w:eastAsia="宋体" w:cs="宋体"/>
                <w:b w:val="0"/>
                <w:bCs/>
                <w:color w:val="000000"/>
                <w:sz w:val="21"/>
                <w:szCs w:val="21"/>
              </w:rPr>
              <w:t>期末随堂测试</w:t>
            </w:r>
          </w:p>
        </w:tc>
        <w:tc>
          <w:tcPr>
            <w:tcW w:w="655" w:type="dxa"/>
            <w:tcBorders>
              <w:left w:val="double" w:color="auto" w:sz="4" w:space="0"/>
            </w:tcBorders>
            <w:vAlign w:val="center"/>
          </w:tcPr>
          <w:p w14:paraId="2B4F8637">
            <w:pPr>
              <w:pStyle w:val="17"/>
              <w:widowControl w:val="0"/>
              <w:rPr>
                <w:rFonts w:hint="eastAsia" w:ascii="宋体" w:hAnsi="宋体" w:eastAsia="宋体" w:cs="宋体"/>
                <w:b w:val="0"/>
                <w:bCs/>
                <w:sz w:val="21"/>
                <w:szCs w:val="21"/>
              </w:rPr>
            </w:pPr>
            <w:r>
              <w:rPr>
                <w:rFonts w:hint="eastAsia" w:ascii="宋体" w:hAnsi="宋体" w:cs="宋体"/>
                <w:b w:val="0"/>
                <w:bCs/>
                <w:sz w:val="21"/>
                <w:szCs w:val="21"/>
                <w:lang w:val="en-US" w:eastAsia="zh-CN"/>
              </w:rPr>
              <w:t>4</w:t>
            </w:r>
            <w:r>
              <w:rPr>
                <w:rFonts w:hint="eastAsia" w:ascii="宋体" w:hAnsi="宋体" w:eastAsia="宋体" w:cs="宋体"/>
                <w:b w:val="0"/>
                <w:bCs/>
                <w:sz w:val="21"/>
                <w:szCs w:val="21"/>
              </w:rPr>
              <w:t>0</w:t>
            </w:r>
          </w:p>
        </w:tc>
        <w:tc>
          <w:tcPr>
            <w:tcW w:w="655" w:type="dxa"/>
            <w:vAlign w:val="center"/>
          </w:tcPr>
          <w:p w14:paraId="39420E64">
            <w:pPr>
              <w:pStyle w:val="17"/>
              <w:widowControl w:val="0"/>
              <w:rPr>
                <w:rFonts w:hint="eastAsia" w:ascii="宋体" w:hAnsi="宋体" w:eastAsia="宋体" w:cs="宋体"/>
                <w:b w:val="0"/>
                <w:bCs/>
                <w:sz w:val="21"/>
                <w:szCs w:val="21"/>
              </w:rPr>
            </w:pPr>
            <w:r>
              <w:rPr>
                <w:rFonts w:hint="eastAsia" w:ascii="宋体" w:hAnsi="宋体" w:eastAsia="宋体" w:cs="宋体"/>
                <w:b w:val="0"/>
                <w:bCs/>
                <w:sz w:val="21"/>
                <w:szCs w:val="21"/>
              </w:rPr>
              <w:t>10</w:t>
            </w:r>
          </w:p>
        </w:tc>
        <w:tc>
          <w:tcPr>
            <w:tcW w:w="655" w:type="dxa"/>
            <w:vAlign w:val="center"/>
          </w:tcPr>
          <w:p w14:paraId="435506BD">
            <w:pPr>
              <w:pStyle w:val="17"/>
              <w:widowControl w:val="0"/>
              <w:rPr>
                <w:rFonts w:hint="eastAsia" w:ascii="宋体" w:hAnsi="宋体" w:eastAsia="宋体" w:cs="宋体"/>
                <w:b w:val="0"/>
                <w:bCs/>
                <w:sz w:val="21"/>
                <w:szCs w:val="21"/>
              </w:rPr>
            </w:pPr>
            <w:r>
              <w:rPr>
                <w:rFonts w:hint="eastAsia" w:ascii="宋体" w:hAnsi="宋体" w:eastAsia="宋体" w:cs="宋体"/>
                <w:b w:val="0"/>
                <w:bCs/>
                <w:sz w:val="21"/>
                <w:szCs w:val="21"/>
              </w:rPr>
              <w:t>20</w:t>
            </w:r>
          </w:p>
        </w:tc>
        <w:tc>
          <w:tcPr>
            <w:tcW w:w="655" w:type="dxa"/>
            <w:vAlign w:val="center"/>
          </w:tcPr>
          <w:p w14:paraId="4D797729">
            <w:pPr>
              <w:pStyle w:val="17"/>
              <w:widowControl w:val="0"/>
              <w:rPr>
                <w:rFonts w:hint="eastAsia" w:ascii="宋体" w:hAnsi="宋体" w:eastAsia="宋体" w:cs="宋体"/>
                <w:b w:val="0"/>
                <w:bCs/>
                <w:sz w:val="21"/>
                <w:szCs w:val="21"/>
              </w:rPr>
            </w:pPr>
            <w:r>
              <w:rPr>
                <w:rFonts w:hint="eastAsia" w:ascii="宋体" w:hAnsi="宋体" w:eastAsia="宋体" w:cs="宋体"/>
                <w:b w:val="0"/>
                <w:bCs/>
                <w:sz w:val="21"/>
                <w:szCs w:val="21"/>
              </w:rPr>
              <w:t>20</w:t>
            </w:r>
          </w:p>
        </w:tc>
        <w:tc>
          <w:tcPr>
            <w:tcW w:w="655" w:type="dxa"/>
            <w:vAlign w:val="center"/>
          </w:tcPr>
          <w:p w14:paraId="7916C685">
            <w:pPr>
              <w:pStyle w:val="17"/>
              <w:widowControl w:val="0"/>
              <w:rPr>
                <w:rFonts w:hint="eastAsia" w:ascii="宋体" w:hAnsi="宋体" w:eastAsia="宋体" w:cs="宋体"/>
                <w:b w:val="0"/>
                <w:bCs/>
                <w:sz w:val="21"/>
                <w:szCs w:val="21"/>
              </w:rPr>
            </w:pPr>
            <w:r>
              <w:rPr>
                <w:rFonts w:hint="eastAsia" w:ascii="宋体" w:hAnsi="宋体" w:eastAsia="宋体" w:cs="宋体"/>
                <w:b w:val="0"/>
                <w:bCs/>
                <w:sz w:val="21"/>
                <w:szCs w:val="21"/>
              </w:rPr>
              <w:t>10</w:t>
            </w:r>
          </w:p>
        </w:tc>
        <w:tc>
          <w:tcPr>
            <w:tcW w:w="755" w:type="dxa"/>
            <w:tcBorders>
              <w:right w:val="single" w:color="auto" w:sz="12" w:space="0"/>
            </w:tcBorders>
            <w:vAlign w:val="center"/>
          </w:tcPr>
          <w:p w14:paraId="727EF94F">
            <w:pPr>
              <w:pStyle w:val="17"/>
              <w:widowControl w:val="0"/>
              <w:rPr>
                <w:rFonts w:hint="eastAsia" w:ascii="宋体" w:hAnsi="宋体" w:eastAsia="宋体" w:cs="宋体"/>
                <w:b w:val="0"/>
                <w:bCs/>
                <w:sz w:val="21"/>
                <w:szCs w:val="21"/>
              </w:rPr>
            </w:pPr>
            <w:r>
              <w:rPr>
                <w:rFonts w:hint="eastAsia" w:ascii="宋体" w:hAnsi="宋体" w:eastAsia="宋体" w:cs="宋体"/>
                <w:b w:val="0"/>
                <w:bCs/>
                <w:sz w:val="21"/>
                <w:szCs w:val="21"/>
              </w:rPr>
              <w:t>100</w:t>
            </w:r>
          </w:p>
        </w:tc>
      </w:tr>
      <w:tr w14:paraId="38015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94" w:type="dxa"/>
            <w:tcBorders>
              <w:left w:val="single" w:color="auto" w:sz="12" w:space="0"/>
            </w:tcBorders>
            <w:vAlign w:val="top"/>
          </w:tcPr>
          <w:p w14:paraId="736D77FE">
            <w:pPr>
              <w:widowControl/>
              <w:spacing w:line="360" w:lineRule="auto"/>
              <w:jc w:val="center"/>
              <w:rPr>
                <w:rFonts w:hint="eastAsia" w:ascii="宋体" w:hAnsi="宋体" w:eastAsia="宋体" w:cs="宋体"/>
                <w:b w:val="0"/>
                <w:bCs/>
                <w:sz w:val="21"/>
                <w:szCs w:val="21"/>
              </w:rPr>
            </w:pPr>
            <w:r>
              <w:rPr>
                <w:rFonts w:hint="eastAsia" w:ascii="宋体" w:hAnsi="宋体" w:eastAsia="宋体" w:cs="宋体"/>
                <w:kern w:val="0"/>
                <w:sz w:val="21"/>
                <w:szCs w:val="21"/>
              </w:rPr>
              <w:t>X2</w:t>
            </w:r>
          </w:p>
        </w:tc>
        <w:tc>
          <w:tcPr>
            <w:tcW w:w="758" w:type="dxa"/>
            <w:vAlign w:val="center"/>
          </w:tcPr>
          <w:p w14:paraId="48499D4B">
            <w:pPr>
              <w:widowControl/>
              <w:spacing w:line="360" w:lineRule="auto"/>
              <w:jc w:val="center"/>
              <w:rPr>
                <w:rFonts w:hint="eastAsia" w:ascii="宋体" w:hAnsi="宋体" w:eastAsia="宋体" w:cs="宋体"/>
                <w:b w:val="0"/>
                <w:bCs/>
                <w:sz w:val="21"/>
                <w:szCs w:val="21"/>
              </w:rPr>
            </w:pPr>
            <w:r>
              <w:rPr>
                <w:rFonts w:hint="eastAsia" w:cs="宋体"/>
                <w:kern w:val="0"/>
                <w:sz w:val="21"/>
                <w:szCs w:val="21"/>
                <w:lang w:val="en-US" w:eastAsia="zh-CN"/>
              </w:rPr>
              <w:t>3</w:t>
            </w:r>
            <w:r>
              <w:rPr>
                <w:rFonts w:hint="eastAsia" w:ascii="宋体" w:hAnsi="宋体" w:eastAsia="宋体" w:cs="宋体"/>
                <w:kern w:val="0"/>
                <w:sz w:val="21"/>
                <w:szCs w:val="21"/>
              </w:rPr>
              <w:t>0%</w:t>
            </w:r>
          </w:p>
        </w:tc>
        <w:tc>
          <w:tcPr>
            <w:tcW w:w="2518" w:type="dxa"/>
            <w:tcBorders>
              <w:right w:val="double" w:color="auto" w:sz="4" w:space="0"/>
            </w:tcBorders>
            <w:vAlign w:val="center"/>
          </w:tcPr>
          <w:p w14:paraId="72BDBDF2">
            <w:pPr>
              <w:pStyle w:val="8"/>
              <w:keepNext w:val="0"/>
              <w:keepLines w:val="0"/>
              <w:widowControl/>
              <w:suppressLineNumbers w:val="0"/>
              <w:jc w:val="both"/>
              <w:rPr>
                <w:rFonts w:hint="eastAsia" w:ascii="宋体" w:hAnsi="宋体" w:eastAsia="宋体" w:cs="宋体"/>
                <w:b w:val="0"/>
                <w:bCs/>
                <w:sz w:val="21"/>
                <w:szCs w:val="21"/>
              </w:rPr>
            </w:pPr>
            <w:r>
              <w:rPr>
                <w:rFonts w:hint="eastAsia" w:ascii="宋体" w:hAnsi="宋体" w:eastAsia="宋体" w:cs="宋体"/>
                <w:b w:val="0"/>
                <w:bCs/>
                <w:color w:val="000000"/>
                <w:sz w:val="21"/>
                <w:szCs w:val="21"/>
              </w:rPr>
              <w:t>案例分析</w:t>
            </w:r>
          </w:p>
        </w:tc>
        <w:tc>
          <w:tcPr>
            <w:tcW w:w="655" w:type="dxa"/>
            <w:tcBorders>
              <w:left w:val="double" w:color="auto" w:sz="4" w:space="0"/>
            </w:tcBorders>
            <w:vAlign w:val="center"/>
          </w:tcPr>
          <w:p w14:paraId="6F0DEFDB">
            <w:pPr>
              <w:pStyle w:val="17"/>
              <w:widowControl w:val="0"/>
              <w:rPr>
                <w:rFonts w:hint="eastAsia" w:ascii="宋体" w:hAnsi="宋体" w:eastAsia="宋体" w:cs="宋体"/>
                <w:b w:val="0"/>
                <w:bCs/>
                <w:sz w:val="21"/>
                <w:szCs w:val="21"/>
              </w:rPr>
            </w:pPr>
            <w:r>
              <w:rPr>
                <w:rFonts w:hint="eastAsia" w:ascii="宋体" w:hAnsi="宋体" w:eastAsia="宋体" w:cs="宋体"/>
                <w:b w:val="0"/>
                <w:bCs/>
                <w:sz w:val="21"/>
                <w:szCs w:val="21"/>
              </w:rPr>
              <w:t>40</w:t>
            </w:r>
          </w:p>
        </w:tc>
        <w:tc>
          <w:tcPr>
            <w:tcW w:w="655" w:type="dxa"/>
            <w:vAlign w:val="center"/>
          </w:tcPr>
          <w:p w14:paraId="0765E3A6">
            <w:pPr>
              <w:pStyle w:val="17"/>
              <w:widowControl w:val="0"/>
              <w:rPr>
                <w:rFonts w:hint="eastAsia" w:ascii="宋体" w:hAnsi="宋体" w:eastAsia="宋体" w:cs="宋体"/>
                <w:b w:val="0"/>
                <w:bCs/>
                <w:sz w:val="21"/>
                <w:szCs w:val="21"/>
              </w:rPr>
            </w:pPr>
            <w:r>
              <w:rPr>
                <w:rFonts w:hint="eastAsia" w:ascii="宋体" w:hAnsi="宋体" w:eastAsia="宋体" w:cs="宋体"/>
                <w:b w:val="0"/>
                <w:bCs/>
                <w:sz w:val="21"/>
                <w:szCs w:val="21"/>
              </w:rPr>
              <w:t>30</w:t>
            </w:r>
          </w:p>
        </w:tc>
        <w:tc>
          <w:tcPr>
            <w:tcW w:w="655" w:type="dxa"/>
            <w:vAlign w:val="center"/>
          </w:tcPr>
          <w:p w14:paraId="6E1E5883">
            <w:pPr>
              <w:pStyle w:val="17"/>
              <w:widowControl w:val="0"/>
              <w:rPr>
                <w:rFonts w:hint="eastAsia" w:ascii="宋体" w:hAnsi="宋体" w:eastAsia="宋体" w:cs="宋体"/>
                <w:b w:val="0"/>
                <w:bCs/>
                <w:sz w:val="21"/>
                <w:szCs w:val="21"/>
              </w:rPr>
            </w:pPr>
            <w:r>
              <w:rPr>
                <w:rFonts w:hint="eastAsia" w:ascii="宋体" w:hAnsi="宋体" w:eastAsia="宋体" w:cs="宋体"/>
                <w:b w:val="0"/>
                <w:bCs/>
                <w:sz w:val="21"/>
                <w:szCs w:val="21"/>
              </w:rPr>
              <w:t>30</w:t>
            </w:r>
          </w:p>
        </w:tc>
        <w:tc>
          <w:tcPr>
            <w:tcW w:w="655" w:type="dxa"/>
            <w:vAlign w:val="center"/>
          </w:tcPr>
          <w:p w14:paraId="5F3D476C">
            <w:pPr>
              <w:pStyle w:val="17"/>
              <w:widowControl w:val="0"/>
              <w:rPr>
                <w:rFonts w:hint="eastAsia" w:ascii="宋体" w:hAnsi="宋体" w:eastAsia="宋体" w:cs="宋体"/>
                <w:b w:val="0"/>
                <w:bCs/>
                <w:sz w:val="21"/>
                <w:szCs w:val="21"/>
              </w:rPr>
            </w:pPr>
          </w:p>
        </w:tc>
        <w:tc>
          <w:tcPr>
            <w:tcW w:w="655" w:type="dxa"/>
            <w:vAlign w:val="center"/>
          </w:tcPr>
          <w:p w14:paraId="7AFA1615">
            <w:pPr>
              <w:pStyle w:val="17"/>
              <w:widowControl w:val="0"/>
              <w:rPr>
                <w:rFonts w:hint="eastAsia" w:ascii="宋体" w:hAnsi="宋体" w:eastAsia="宋体" w:cs="宋体"/>
                <w:b w:val="0"/>
                <w:bCs/>
                <w:sz w:val="21"/>
                <w:szCs w:val="21"/>
              </w:rPr>
            </w:pPr>
          </w:p>
        </w:tc>
        <w:tc>
          <w:tcPr>
            <w:tcW w:w="755" w:type="dxa"/>
            <w:tcBorders>
              <w:right w:val="single" w:color="auto" w:sz="12" w:space="0"/>
            </w:tcBorders>
            <w:vAlign w:val="center"/>
          </w:tcPr>
          <w:p w14:paraId="66A13B45">
            <w:pPr>
              <w:pStyle w:val="17"/>
              <w:widowControl w:val="0"/>
              <w:rPr>
                <w:rFonts w:hint="eastAsia" w:ascii="宋体" w:hAnsi="宋体" w:eastAsia="宋体" w:cs="宋体"/>
                <w:b w:val="0"/>
                <w:bCs/>
                <w:sz w:val="21"/>
                <w:szCs w:val="21"/>
              </w:rPr>
            </w:pPr>
            <w:r>
              <w:rPr>
                <w:rFonts w:hint="eastAsia" w:ascii="宋体" w:hAnsi="宋体" w:eastAsia="宋体" w:cs="宋体"/>
                <w:b w:val="0"/>
                <w:bCs/>
                <w:sz w:val="21"/>
                <w:szCs w:val="21"/>
              </w:rPr>
              <w:t>100</w:t>
            </w:r>
          </w:p>
        </w:tc>
      </w:tr>
      <w:tr w14:paraId="0877F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94" w:type="dxa"/>
            <w:tcBorders>
              <w:left w:val="single" w:color="auto" w:sz="12" w:space="0"/>
            </w:tcBorders>
            <w:vAlign w:val="top"/>
          </w:tcPr>
          <w:p w14:paraId="2F6A644F">
            <w:pPr>
              <w:widowControl/>
              <w:spacing w:line="360" w:lineRule="auto"/>
              <w:jc w:val="center"/>
              <w:rPr>
                <w:rFonts w:hint="eastAsia" w:ascii="宋体" w:hAnsi="宋体" w:eastAsia="宋体" w:cs="宋体"/>
                <w:b w:val="0"/>
                <w:bCs/>
                <w:sz w:val="21"/>
                <w:szCs w:val="21"/>
              </w:rPr>
            </w:pPr>
            <w:r>
              <w:rPr>
                <w:rFonts w:hint="eastAsia" w:ascii="宋体" w:hAnsi="宋体" w:eastAsia="宋体" w:cs="宋体"/>
                <w:kern w:val="0"/>
                <w:sz w:val="21"/>
                <w:szCs w:val="21"/>
              </w:rPr>
              <w:t>X3</w:t>
            </w:r>
          </w:p>
        </w:tc>
        <w:tc>
          <w:tcPr>
            <w:tcW w:w="758" w:type="dxa"/>
            <w:vAlign w:val="center"/>
          </w:tcPr>
          <w:p w14:paraId="15FF6A61">
            <w:pPr>
              <w:widowControl/>
              <w:spacing w:line="360" w:lineRule="auto"/>
              <w:jc w:val="center"/>
              <w:rPr>
                <w:rFonts w:hint="eastAsia" w:ascii="宋体" w:hAnsi="宋体" w:eastAsia="宋体" w:cs="宋体"/>
                <w:b w:val="0"/>
                <w:bCs/>
                <w:sz w:val="21"/>
                <w:szCs w:val="21"/>
              </w:rPr>
            </w:pPr>
            <w:r>
              <w:rPr>
                <w:rFonts w:hint="eastAsia" w:ascii="宋体" w:hAnsi="宋体" w:eastAsia="宋体" w:cs="宋体"/>
                <w:kern w:val="0"/>
                <w:sz w:val="21"/>
                <w:szCs w:val="21"/>
              </w:rPr>
              <w:t>20%</w:t>
            </w:r>
          </w:p>
        </w:tc>
        <w:tc>
          <w:tcPr>
            <w:tcW w:w="2518" w:type="dxa"/>
            <w:tcBorders>
              <w:right w:val="double" w:color="auto" w:sz="4" w:space="0"/>
            </w:tcBorders>
            <w:vAlign w:val="center"/>
          </w:tcPr>
          <w:p w14:paraId="702E7359">
            <w:pPr>
              <w:pStyle w:val="8"/>
              <w:keepNext w:val="0"/>
              <w:keepLines w:val="0"/>
              <w:widowControl/>
              <w:suppressLineNumbers w:val="0"/>
              <w:jc w:val="both"/>
              <w:rPr>
                <w:rFonts w:hint="eastAsia" w:ascii="宋体" w:hAnsi="宋体" w:eastAsia="宋体" w:cs="宋体"/>
                <w:b w:val="0"/>
                <w:bCs/>
                <w:sz w:val="21"/>
                <w:szCs w:val="21"/>
              </w:rPr>
            </w:pPr>
            <w:r>
              <w:rPr>
                <w:rFonts w:hint="eastAsia" w:ascii="宋体" w:hAnsi="宋体" w:eastAsia="宋体" w:cs="宋体"/>
                <w:b w:val="0"/>
                <w:bCs/>
                <w:color w:val="000000"/>
                <w:sz w:val="21"/>
                <w:szCs w:val="21"/>
              </w:rPr>
              <w:t>单元测验</w:t>
            </w:r>
          </w:p>
        </w:tc>
        <w:tc>
          <w:tcPr>
            <w:tcW w:w="655" w:type="dxa"/>
            <w:tcBorders>
              <w:left w:val="double" w:color="auto" w:sz="4" w:space="0"/>
            </w:tcBorders>
            <w:vAlign w:val="center"/>
          </w:tcPr>
          <w:p w14:paraId="654DD094">
            <w:pPr>
              <w:pStyle w:val="17"/>
              <w:widowControl w:val="0"/>
              <w:rPr>
                <w:rFonts w:hint="eastAsia" w:ascii="宋体" w:hAnsi="宋体" w:eastAsia="宋体" w:cs="宋体"/>
                <w:b w:val="0"/>
                <w:bCs/>
                <w:sz w:val="21"/>
                <w:szCs w:val="21"/>
              </w:rPr>
            </w:pPr>
          </w:p>
        </w:tc>
        <w:tc>
          <w:tcPr>
            <w:tcW w:w="655" w:type="dxa"/>
            <w:vAlign w:val="center"/>
          </w:tcPr>
          <w:p w14:paraId="3DC52B7C">
            <w:pPr>
              <w:pStyle w:val="17"/>
              <w:widowControl w:val="0"/>
              <w:rPr>
                <w:rFonts w:hint="eastAsia" w:ascii="宋体" w:hAnsi="宋体" w:eastAsia="宋体" w:cs="宋体"/>
                <w:b w:val="0"/>
                <w:bCs/>
                <w:sz w:val="21"/>
                <w:szCs w:val="21"/>
              </w:rPr>
            </w:pPr>
            <w:r>
              <w:rPr>
                <w:rFonts w:hint="eastAsia" w:ascii="宋体" w:hAnsi="宋体" w:eastAsia="宋体" w:cs="宋体"/>
                <w:b w:val="0"/>
                <w:bCs/>
                <w:sz w:val="21"/>
                <w:szCs w:val="21"/>
              </w:rPr>
              <w:t>20</w:t>
            </w:r>
          </w:p>
        </w:tc>
        <w:tc>
          <w:tcPr>
            <w:tcW w:w="655" w:type="dxa"/>
            <w:vAlign w:val="center"/>
          </w:tcPr>
          <w:p w14:paraId="24B946AE">
            <w:pPr>
              <w:pStyle w:val="17"/>
              <w:widowControl w:val="0"/>
              <w:rPr>
                <w:rFonts w:hint="eastAsia" w:ascii="宋体" w:hAnsi="宋体" w:eastAsia="宋体" w:cs="宋体"/>
                <w:b w:val="0"/>
                <w:bCs/>
                <w:sz w:val="21"/>
                <w:szCs w:val="21"/>
              </w:rPr>
            </w:pPr>
            <w:r>
              <w:rPr>
                <w:rFonts w:hint="eastAsia" w:ascii="宋体" w:hAnsi="宋体" w:eastAsia="宋体" w:cs="宋体"/>
                <w:b w:val="0"/>
                <w:bCs/>
                <w:sz w:val="21"/>
                <w:szCs w:val="21"/>
              </w:rPr>
              <w:t>20</w:t>
            </w:r>
          </w:p>
        </w:tc>
        <w:tc>
          <w:tcPr>
            <w:tcW w:w="655" w:type="dxa"/>
            <w:vAlign w:val="center"/>
          </w:tcPr>
          <w:p w14:paraId="46161E9F">
            <w:pPr>
              <w:pStyle w:val="17"/>
              <w:widowControl w:val="0"/>
              <w:rPr>
                <w:rFonts w:hint="eastAsia" w:ascii="宋体" w:hAnsi="宋体" w:eastAsia="宋体" w:cs="宋体"/>
                <w:b w:val="0"/>
                <w:bCs/>
                <w:sz w:val="21"/>
                <w:szCs w:val="21"/>
              </w:rPr>
            </w:pPr>
            <w:r>
              <w:rPr>
                <w:rFonts w:hint="eastAsia" w:ascii="宋体" w:hAnsi="宋体" w:eastAsia="宋体" w:cs="宋体"/>
                <w:b w:val="0"/>
                <w:bCs/>
                <w:sz w:val="21"/>
                <w:szCs w:val="21"/>
              </w:rPr>
              <w:t>20</w:t>
            </w:r>
          </w:p>
        </w:tc>
        <w:tc>
          <w:tcPr>
            <w:tcW w:w="655" w:type="dxa"/>
            <w:vAlign w:val="center"/>
          </w:tcPr>
          <w:p w14:paraId="6DAA2DD2">
            <w:pPr>
              <w:pStyle w:val="17"/>
              <w:widowControl w:val="0"/>
              <w:rPr>
                <w:rFonts w:hint="eastAsia" w:ascii="宋体" w:hAnsi="宋体" w:eastAsia="宋体" w:cs="宋体"/>
                <w:b w:val="0"/>
                <w:bCs/>
                <w:sz w:val="21"/>
                <w:szCs w:val="21"/>
              </w:rPr>
            </w:pPr>
            <w:r>
              <w:rPr>
                <w:rFonts w:hint="eastAsia" w:ascii="宋体" w:hAnsi="宋体" w:eastAsia="宋体" w:cs="宋体"/>
                <w:b w:val="0"/>
                <w:bCs/>
                <w:sz w:val="21"/>
                <w:szCs w:val="21"/>
              </w:rPr>
              <w:t>40</w:t>
            </w:r>
          </w:p>
        </w:tc>
        <w:tc>
          <w:tcPr>
            <w:tcW w:w="755" w:type="dxa"/>
            <w:tcBorders>
              <w:right w:val="single" w:color="auto" w:sz="12" w:space="0"/>
            </w:tcBorders>
            <w:vAlign w:val="center"/>
          </w:tcPr>
          <w:p w14:paraId="16EF420D">
            <w:pPr>
              <w:pStyle w:val="17"/>
              <w:widowControl w:val="0"/>
              <w:rPr>
                <w:rFonts w:hint="eastAsia" w:ascii="宋体" w:hAnsi="宋体" w:eastAsia="宋体" w:cs="宋体"/>
                <w:b w:val="0"/>
                <w:bCs/>
                <w:sz w:val="21"/>
                <w:szCs w:val="21"/>
              </w:rPr>
            </w:pPr>
            <w:r>
              <w:rPr>
                <w:rFonts w:hint="eastAsia" w:ascii="宋体" w:hAnsi="宋体" w:eastAsia="宋体" w:cs="宋体"/>
                <w:b w:val="0"/>
                <w:bCs/>
                <w:sz w:val="21"/>
                <w:szCs w:val="21"/>
              </w:rPr>
              <w:t>100</w:t>
            </w:r>
          </w:p>
        </w:tc>
      </w:tr>
      <w:tr w14:paraId="2FD1D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94" w:type="dxa"/>
            <w:tcBorders>
              <w:left w:val="single" w:color="auto" w:sz="12" w:space="0"/>
              <w:bottom w:val="single" w:color="auto" w:sz="12" w:space="0"/>
            </w:tcBorders>
            <w:vAlign w:val="top"/>
          </w:tcPr>
          <w:p w14:paraId="4A9F87A4">
            <w:pPr>
              <w:widowControl/>
              <w:spacing w:line="360" w:lineRule="auto"/>
              <w:jc w:val="center"/>
              <w:rPr>
                <w:rFonts w:hint="eastAsia" w:ascii="宋体" w:hAnsi="宋体" w:eastAsia="宋体" w:cs="宋体"/>
                <w:b w:val="0"/>
                <w:bCs/>
                <w:sz w:val="21"/>
                <w:szCs w:val="21"/>
              </w:rPr>
            </w:pPr>
            <w:r>
              <w:rPr>
                <w:rFonts w:hint="eastAsia" w:ascii="宋体" w:hAnsi="宋体" w:eastAsia="宋体" w:cs="宋体"/>
                <w:kern w:val="0"/>
                <w:sz w:val="21"/>
                <w:szCs w:val="21"/>
              </w:rPr>
              <w:t>X</w:t>
            </w:r>
            <w:r>
              <w:rPr>
                <w:rFonts w:hint="eastAsia" w:ascii="宋体" w:hAnsi="宋体" w:eastAsia="宋体" w:cs="宋体"/>
                <w:kern w:val="0"/>
                <w:sz w:val="21"/>
                <w:szCs w:val="21"/>
                <w:lang w:val="en-US" w:eastAsia="zh-CN"/>
              </w:rPr>
              <w:t>4</w:t>
            </w:r>
          </w:p>
        </w:tc>
        <w:tc>
          <w:tcPr>
            <w:tcW w:w="758" w:type="dxa"/>
            <w:tcBorders>
              <w:bottom w:val="single" w:color="auto" w:sz="12" w:space="0"/>
            </w:tcBorders>
            <w:vAlign w:val="center"/>
          </w:tcPr>
          <w:p w14:paraId="3DA89109">
            <w:pPr>
              <w:widowControl/>
              <w:spacing w:line="360" w:lineRule="auto"/>
              <w:jc w:val="center"/>
              <w:rPr>
                <w:rFonts w:hint="eastAsia" w:ascii="宋体" w:hAnsi="宋体" w:eastAsia="宋体" w:cs="宋体"/>
                <w:b w:val="0"/>
                <w:bCs/>
                <w:sz w:val="21"/>
                <w:szCs w:val="21"/>
              </w:rPr>
            </w:pPr>
            <w:r>
              <w:rPr>
                <w:rFonts w:hint="eastAsia" w:ascii="宋体" w:hAnsi="宋体" w:eastAsia="宋体" w:cs="宋体"/>
                <w:kern w:val="0"/>
                <w:sz w:val="21"/>
                <w:szCs w:val="21"/>
              </w:rPr>
              <w:t>10%</w:t>
            </w:r>
          </w:p>
        </w:tc>
        <w:tc>
          <w:tcPr>
            <w:tcW w:w="2518" w:type="dxa"/>
            <w:tcBorders>
              <w:bottom w:val="single" w:color="auto" w:sz="12" w:space="0"/>
              <w:right w:val="double" w:color="auto" w:sz="4" w:space="0"/>
            </w:tcBorders>
            <w:vAlign w:val="center"/>
          </w:tcPr>
          <w:p w14:paraId="63ED0456">
            <w:pPr>
              <w:pStyle w:val="8"/>
              <w:keepNext w:val="0"/>
              <w:keepLines w:val="0"/>
              <w:widowControl/>
              <w:suppressLineNumbers w:val="0"/>
              <w:jc w:val="both"/>
              <w:rPr>
                <w:rFonts w:hint="eastAsia" w:ascii="宋体" w:hAnsi="宋体" w:eastAsia="宋体" w:cs="宋体"/>
                <w:b w:val="0"/>
                <w:bCs/>
                <w:sz w:val="21"/>
                <w:szCs w:val="21"/>
              </w:rPr>
            </w:pPr>
            <w:r>
              <w:rPr>
                <w:rFonts w:hint="eastAsia" w:ascii="宋体" w:hAnsi="宋体" w:eastAsia="宋体" w:cs="宋体"/>
                <w:b w:val="0"/>
                <w:bCs/>
                <w:color w:val="000000"/>
                <w:sz w:val="21"/>
                <w:szCs w:val="21"/>
              </w:rPr>
              <w:t>课堂提问</w:t>
            </w:r>
          </w:p>
        </w:tc>
        <w:tc>
          <w:tcPr>
            <w:tcW w:w="655" w:type="dxa"/>
            <w:tcBorders>
              <w:left w:val="double" w:color="auto" w:sz="4" w:space="0"/>
              <w:bottom w:val="single" w:color="auto" w:sz="12" w:space="0"/>
            </w:tcBorders>
            <w:vAlign w:val="center"/>
          </w:tcPr>
          <w:p w14:paraId="7588DB65">
            <w:pPr>
              <w:pStyle w:val="17"/>
              <w:widowControl w:val="0"/>
              <w:rPr>
                <w:rFonts w:hint="eastAsia" w:ascii="宋体" w:hAnsi="宋体" w:eastAsia="宋体" w:cs="宋体"/>
                <w:b w:val="0"/>
                <w:bCs/>
                <w:sz w:val="21"/>
                <w:szCs w:val="21"/>
              </w:rPr>
            </w:pPr>
          </w:p>
        </w:tc>
        <w:tc>
          <w:tcPr>
            <w:tcW w:w="655" w:type="dxa"/>
            <w:tcBorders>
              <w:bottom w:val="single" w:color="auto" w:sz="12" w:space="0"/>
            </w:tcBorders>
            <w:vAlign w:val="center"/>
          </w:tcPr>
          <w:p w14:paraId="64A3BD56">
            <w:pPr>
              <w:pStyle w:val="17"/>
              <w:widowControl w:val="0"/>
              <w:rPr>
                <w:rFonts w:hint="eastAsia" w:ascii="宋体" w:hAnsi="宋体" w:eastAsia="宋体" w:cs="宋体"/>
                <w:b w:val="0"/>
                <w:bCs/>
                <w:sz w:val="21"/>
                <w:szCs w:val="21"/>
              </w:rPr>
            </w:pPr>
            <w:r>
              <w:rPr>
                <w:rFonts w:hint="eastAsia" w:ascii="宋体" w:hAnsi="宋体" w:eastAsia="宋体" w:cs="宋体"/>
                <w:b w:val="0"/>
                <w:bCs/>
                <w:sz w:val="21"/>
                <w:szCs w:val="21"/>
              </w:rPr>
              <w:t>30</w:t>
            </w:r>
          </w:p>
        </w:tc>
        <w:tc>
          <w:tcPr>
            <w:tcW w:w="655" w:type="dxa"/>
            <w:tcBorders>
              <w:bottom w:val="single" w:color="auto" w:sz="12" w:space="0"/>
            </w:tcBorders>
            <w:vAlign w:val="center"/>
          </w:tcPr>
          <w:p w14:paraId="31CB62EB">
            <w:pPr>
              <w:pStyle w:val="17"/>
              <w:widowControl w:val="0"/>
              <w:rPr>
                <w:rFonts w:hint="eastAsia" w:ascii="宋体" w:hAnsi="宋体" w:eastAsia="宋体" w:cs="宋体"/>
                <w:b w:val="0"/>
                <w:bCs/>
                <w:sz w:val="21"/>
                <w:szCs w:val="21"/>
              </w:rPr>
            </w:pPr>
          </w:p>
        </w:tc>
        <w:tc>
          <w:tcPr>
            <w:tcW w:w="655" w:type="dxa"/>
            <w:tcBorders>
              <w:bottom w:val="single" w:color="auto" w:sz="12" w:space="0"/>
            </w:tcBorders>
            <w:vAlign w:val="center"/>
          </w:tcPr>
          <w:p w14:paraId="76ABA2E3">
            <w:pPr>
              <w:pStyle w:val="17"/>
              <w:widowControl w:val="0"/>
              <w:rPr>
                <w:rFonts w:hint="eastAsia" w:ascii="宋体" w:hAnsi="宋体" w:eastAsia="宋体" w:cs="宋体"/>
                <w:b w:val="0"/>
                <w:bCs/>
                <w:sz w:val="21"/>
                <w:szCs w:val="21"/>
              </w:rPr>
            </w:pPr>
            <w:r>
              <w:rPr>
                <w:rFonts w:hint="eastAsia" w:ascii="宋体" w:hAnsi="宋体" w:eastAsia="宋体" w:cs="宋体"/>
                <w:b w:val="0"/>
                <w:bCs/>
                <w:sz w:val="21"/>
                <w:szCs w:val="21"/>
              </w:rPr>
              <w:t>30</w:t>
            </w:r>
          </w:p>
        </w:tc>
        <w:tc>
          <w:tcPr>
            <w:tcW w:w="655" w:type="dxa"/>
            <w:tcBorders>
              <w:bottom w:val="single" w:color="auto" w:sz="12" w:space="0"/>
            </w:tcBorders>
            <w:vAlign w:val="center"/>
          </w:tcPr>
          <w:p w14:paraId="7C746EAC">
            <w:pPr>
              <w:pStyle w:val="17"/>
              <w:widowControl w:val="0"/>
              <w:rPr>
                <w:rFonts w:hint="eastAsia" w:ascii="宋体" w:hAnsi="宋体" w:eastAsia="宋体" w:cs="宋体"/>
                <w:b w:val="0"/>
                <w:bCs/>
                <w:sz w:val="21"/>
                <w:szCs w:val="21"/>
              </w:rPr>
            </w:pPr>
            <w:r>
              <w:rPr>
                <w:rFonts w:hint="eastAsia" w:ascii="宋体" w:hAnsi="宋体" w:eastAsia="宋体" w:cs="宋体"/>
                <w:b w:val="0"/>
                <w:bCs/>
                <w:sz w:val="21"/>
                <w:szCs w:val="21"/>
              </w:rPr>
              <w:t>40</w:t>
            </w:r>
          </w:p>
        </w:tc>
        <w:tc>
          <w:tcPr>
            <w:tcW w:w="755" w:type="dxa"/>
            <w:tcBorders>
              <w:bottom w:val="single" w:color="auto" w:sz="12" w:space="0"/>
              <w:right w:val="single" w:color="auto" w:sz="12" w:space="0"/>
            </w:tcBorders>
            <w:vAlign w:val="center"/>
          </w:tcPr>
          <w:p w14:paraId="5069067C">
            <w:pPr>
              <w:pStyle w:val="17"/>
              <w:widowControl w:val="0"/>
              <w:rPr>
                <w:rFonts w:hint="eastAsia" w:ascii="宋体" w:hAnsi="宋体" w:eastAsia="宋体" w:cs="宋体"/>
                <w:b w:val="0"/>
                <w:bCs/>
                <w:sz w:val="21"/>
                <w:szCs w:val="21"/>
              </w:rPr>
            </w:pPr>
            <w:r>
              <w:rPr>
                <w:rFonts w:hint="eastAsia" w:ascii="宋体" w:hAnsi="宋体" w:eastAsia="宋体" w:cs="宋体"/>
                <w:b w:val="0"/>
                <w:bCs/>
                <w:sz w:val="21"/>
                <w:szCs w:val="21"/>
              </w:rPr>
              <w:t>100</w:t>
            </w:r>
          </w:p>
        </w:tc>
      </w:tr>
      <w:bookmarkEnd w:id="2"/>
      <w:bookmarkEnd w:id="3"/>
    </w:tbl>
    <w:p w14:paraId="459EE8B6">
      <w:pPr>
        <w:pStyle w:val="20"/>
        <w:spacing w:before="326" w:beforeLines="100" w:after="163"/>
        <w:jc w:val="center"/>
      </w:pPr>
      <w:r>
        <w:rPr>
          <w:rFonts w:hint="eastAsia"/>
        </w:rPr>
        <w:t>评价标准细则（选填）</w:t>
      </w:r>
    </w:p>
    <w:tbl>
      <w:tblPr>
        <w:tblStyle w:val="10"/>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67"/>
        <w:gridCol w:w="1445"/>
        <w:gridCol w:w="1445"/>
        <w:gridCol w:w="1445"/>
        <w:gridCol w:w="1445"/>
        <w:gridCol w:w="1445"/>
      </w:tblGrid>
      <w:tr w14:paraId="40266C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restart"/>
            <w:vAlign w:val="center"/>
          </w:tcPr>
          <w:p w14:paraId="6DB5F924">
            <w:pPr>
              <w:widowControl w:val="0"/>
              <w:snapToGrid w:val="0"/>
              <w:jc w:val="center"/>
              <w:rPr>
                <w:rFonts w:ascii="黑体" w:hAnsi="黑体" w:eastAsia="黑体"/>
                <w:bCs/>
                <w:sz w:val="21"/>
                <w:szCs w:val="21"/>
              </w:rPr>
            </w:pPr>
            <w:r>
              <w:rPr>
                <w:rFonts w:hint="eastAsia" w:ascii="黑体" w:hAnsi="黑体" w:eastAsia="黑体"/>
                <w:bCs/>
                <w:sz w:val="21"/>
                <w:szCs w:val="21"/>
              </w:rPr>
              <w:t>考核项目</w:t>
            </w:r>
          </w:p>
        </w:tc>
        <w:tc>
          <w:tcPr>
            <w:tcW w:w="648" w:type="dxa"/>
            <w:vMerge w:val="restart"/>
          </w:tcPr>
          <w:p w14:paraId="3AF0A711">
            <w:pPr>
              <w:widowControl w:val="0"/>
              <w:snapToGrid w:val="0"/>
              <w:jc w:val="center"/>
              <w:rPr>
                <w:rFonts w:ascii="黑体" w:hAnsi="黑体" w:eastAsia="黑体"/>
                <w:bCs/>
                <w:sz w:val="21"/>
                <w:szCs w:val="21"/>
              </w:rPr>
            </w:pPr>
            <w:r>
              <w:rPr>
                <w:rFonts w:hint="eastAsia" w:ascii="黑体" w:hAnsi="黑体" w:eastAsia="黑体"/>
                <w:bCs/>
                <w:sz w:val="21"/>
                <w:szCs w:val="21"/>
              </w:rPr>
              <w:t>课</w:t>
            </w:r>
          </w:p>
          <w:p w14:paraId="57CE7D99">
            <w:pPr>
              <w:widowControl w:val="0"/>
              <w:snapToGrid w:val="0"/>
              <w:jc w:val="center"/>
              <w:rPr>
                <w:rFonts w:ascii="黑体" w:hAnsi="黑体" w:eastAsia="黑体"/>
                <w:bCs/>
                <w:sz w:val="21"/>
                <w:szCs w:val="21"/>
              </w:rPr>
            </w:pPr>
            <w:r>
              <w:rPr>
                <w:rFonts w:hint="eastAsia" w:ascii="黑体" w:hAnsi="黑体" w:eastAsia="黑体"/>
                <w:bCs/>
                <w:sz w:val="21"/>
                <w:szCs w:val="21"/>
              </w:rPr>
              <w:t>程</w:t>
            </w:r>
          </w:p>
          <w:p w14:paraId="050BC2BD">
            <w:pPr>
              <w:widowControl w:val="0"/>
              <w:snapToGrid w:val="0"/>
              <w:jc w:val="center"/>
              <w:rPr>
                <w:rFonts w:ascii="黑体" w:hAnsi="黑体" w:eastAsia="黑体"/>
                <w:bCs/>
                <w:sz w:val="21"/>
                <w:szCs w:val="21"/>
              </w:rPr>
            </w:pPr>
            <w:r>
              <w:rPr>
                <w:rFonts w:hint="eastAsia" w:ascii="黑体" w:hAnsi="黑体" w:eastAsia="黑体"/>
                <w:bCs/>
                <w:sz w:val="21"/>
                <w:szCs w:val="21"/>
              </w:rPr>
              <w:t>目</w:t>
            </w:r>
          </w:p>
          <w:p w14:paraId="07970565">
            <w:pPr>
              <w:widowControl w:val="0"/>
              <w:snapToGrid w:val="0"/>
              <w:jc w:val="center"/>
              <w:rPr>
                <w:rFonts w:ascii="黑体" w:hAnsi="黑体" w:eastAsia="黑体"/>
                <w:bCs/>
                <w:sz w:val="21"/>
                <w:szCs w:val="21"/>
              </w:rPr>
            </w:pPr>
            <w:r>
              <w:rPr>
                <w:rFonts w:hint="eastAsia" w:ascii="黑体" w:hAnsi="黑体" w:eastAsia="黑体"/>
                <w:bCs/>
                <w:sz w:val="21"/>
                <w:szCs w:val="21"/>
              </w:rPr>
              <w:t>标</w:t>
            </w:r>
          </w:p>
        </w:tc>
        <w:tc>
          <w:tcPr>
            <w:tcW w:w="1403" w:type="dxa"/>
            <w:vMerge w:val="restart"/>
            <w:vAlign w:val="center"/>
          </w:tcPr>
          <w:p w14:paraId="2AD702B5">
            <w:pPr>
              <w:widowControl w:val="0"/>
              <w:snapToGrid w:val="0"/>
              <w:jc w:val="center"/>
              <w:rPr>
                <w:rFonts w:ascii="黑体" w:hAnsi="黑体" w:eastAsia="黑体"/>
                <w:bCs/>
                <w:sz w:val="21"/>
                <w:szCs w:val="21"/>
              </w:rPr>
            </w:pPr>
            <w:r>
              <w:rPr>
                <w:rFonts w:hint="eastAsia" w:ascii="黑体" w:hAnsi="黑体" w:eastAsia="黑体"/>
                <w:bCs/>
                <w:sz w:val="21"/>
                <w:szCs w:val="21"/>
              </w:rPr>
              <w:t>考核要求</w:t>
            </w:r>
          </w:p>
        </w:tc>
        <w:tc>
          <w:tcPr>
            <w:tcW w:w="5612" w:type="dxa"/>
            <w:gridSpan w:val="4"/>
            <w:vAlign w:val="center"/>
          </w:tcPr>
          <w:p w14:paraId="34C32829">
            <w:pPr>
              <w:pStyle w:val="19"/>
              <w:widowControl w:val="0"/>
              <w:spacing w:line="240" w:lineRule="auto"/>
              <w:jc w:val="center"/>
              <w:rPr>
                <w:rFonts w:ascii="黑体" w:hAnsi="黑体"/>
                <w:bCs/>
                <w:sz w:val="21"/>
                <w:szCs w:val="21"/>
              </w:rPr>
            </w:pPr>
            <w:r>
              <w:rPr>
                <w:rFonts w:hint="eastAsia" w:ascii="黑体" w:hAnsi="黑体"/>
                <w:bCs/>
                <w:sz w:val="21"/>
                <w:szCs w:val="21"/>
              </w:rPr>
              <w:t>评价标准</w:t>
            </w:r>
          </w:p>
        </w:tc>
      </w:tr>
      <w:tr w14:paraId="66D42C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continue"/>
          </w:tcPr>
          <w:p w14:paraId="46181748">
            <w:pPr>
              <w:widowControl w:val="0"/>
              <w:snapToGrid w:val="0"/>
              <w:jc w:val="center"/>
              <w:rPr>
                <w:rFonts w:ascii="黑体" w:hAnsi="黑体" w:eastAsia="黑体"/>
                <w:bCs/>
                <w:sz w:val="21"/>
                <w:szCs w:val="21"/>
              </w:rPr>
            </w:pPr>
          </w:p>
        </w:tc>
        <w:tc>
          <w:tcPr>
            <w:tcW w:w="648" w:type="dxa"/>
            <w:vMerge w:val="continue"/>
          </w:tcPr>
          <w:p w14:paraId="1CB0A4A1">
            <w:pPr>
              <w:pStyle w:val="19"/>
              <w:widowControl w:val="0"/>
              <w:jc w:val="both"/>
              <w:rPr>
                <w:rFonts w:ascii="黑体" w:hAnsi="黑体"/>
                <w:bCs/>
                <w:sz w:val="21"/>
                <w:szCs w:val="21"/>
              </w:rPr>
            </w:pPr>
          </w:p>
        </w:tc>
        <w:tc>
          <w:tcPr>
            <w:tcW w:w="1403" w:type="dxa"/>
            <w:vMerge w:val="continue"/>
          </w:tcPr>
          <w:p w14:paraId="000BFFD3">
            <w:pPr>
              <w:pStyle w:val="19"/>
              <w:widowControl w:val="0"/>
              <w:jc w:val="both"/>
              <w:rPr>
                <w:rFonts w:ascii="黑体" w:hAnsi="黑体"/>
                <w:bCs/>
                <w:sz w:val="21"/>
                <w:szCs w:val="21"/>
              </w:rPr>
            </w:pPr>
          </w:p>
        </w:tc>
        <w:tc>
          <w:tcPr>
            <w:tcW w:w="1403" w:type="dxa"/>
            <w:vAlign w:val="center"/>
          </w:tcPr>
          <w:p w14:paraId="6D6226E9">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14:paraId="73645E92">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403" w:type="dxa"/>
            <w:vAlign w:val="center"/>
          </w:tcPr>
          <w:p w14:paraId="4B787C32">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14:paraId="0B25B244">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403" w:type="dxa"/>
            <w:vAlign w:val="center"/>
          </w:tcPr>
          <w:p w14:paraId="6C3E3350">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14:paraId="3363504A">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403" w:type="dxa"/>
            <w:vAlign w:val="center"/>
          </w:tcPr>
          <w:p w14:paraId="4C1970A9">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14:paraId="24606961">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14:paraId="5FECCB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39D87D1F">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648" w:type="dxa"/>
            <w:vAlign w:val="center"/>
          </w:tcPr>
          <w:p w14:paraId="2740C99A">
            <w:pPr>
              <w:widowControl w:val="0"/>
              <w:snapToGrid w:val="0"/>
              <w:jc w:val="center"/>
              <w:rPr>
                <w:rFonts w:ascii="Arial" w:hAnsi="Arial" w:eastAsia="黑体" w:cs="Arial"/>
                <w:bCs/>
                <w:sz w:val="21"/>
                <w:szCs w:val="21"/>
              </w:rPr>
            </w:pPr>
          </w:p>
        </w:tc>
        <w:tc>
          <w:tcPr>
            <w:tcW w:w="1403" w:type="dxa"/>
          </w:tcPr>
          <w:p w14:paraId="628B75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tcPr>
          <w:p w14:paraId="19941AEB">
            <w:pPr>
              <w:pStyle w:val="17"/>
              <w:widowControl w:val="0"/>
              <w:jc w:val="both"/>
            </w:pPr>
          </w:p>
        </w:tc>
        <w:tc>
          <w:tcPr>
            <w:tcW w:w="1403" w:type="dxa"/>
          </w:tcPr>
          <w:p w14:paraId="46656004">
            <w:pPr>
              <w:pStyle w:val="17"/>
              <w:widowControl w:val="0"/>
              <w:jc w:val="both"/>
            </w:pPr>
          </w:p>
        </w:tc>
        <w:tc>
          <w:tcPr>
            <w:tcW w:w="1403" w:type="dxa"/>
          </w:tcPr>
          <w:p w14:paraId="7749FB4C">
            <w:pPr>
              <w:pStyle w:val="17"/>
              <w:widowControl w:val="0"/>
              <w:jc w:val="both"/>
            </w:pPr>
          </w:p>
        </w:tc>
        <w:tc>
          <w:tcPr>
            <w:tcW w:w="1403" w:type="dxa"/>
          </w:tcPr>
          <w:p w14:paraId="1903F611">
            <w:pPr>
              <w:pStyle w:val="8"/>
              <w:widowControl/>
              <w:shd w:val="clear" w:color="auto" w:fill="FFFFFF"/>
              <w:jc w:val="both"/>
            </w:pPr>
          </w:p>
        </w:tc>
      </w:tr>
      <w:tr w14:paraId="44B886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18F6FB37">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48" w:type="dxa"/>
            <w:vAlign w:val="center"/>
          </w:tcPr>
          <w:p w14:paraId="4EF85A70">
            <w:pPr>
              <w:widowControl w:val="0"/>
              <w:snapToGrid w:val="0"/>
              <w:jc w:val="center"/>
              <w:rPr>
                <w:rFonts w:ascii="Arial" w:hAnsi="Arial" w:eastAsia="黑体" w:cs="Arial"/>
                <w:bCs/>
                <w:sz w:val="21"/>
                <w:szCs w:val="21"/>
              </w:rPr>
            </w:pPr>
          </w:p>
        </w:tc>
        <w:tc>
          <w:tcPr>
            <w:tcW w:w="1403" w:type="dxa"/>
            <w:vAlign w:val="center"/>
          </w:tcPr>
          <w:p w14:paraId="4E74D4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683E4E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653C5F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11C0D7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378C2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7DC1FC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6D4938B3">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48" w:type="dxa"/>
            <w:vAlign w:val="center"/>
          </w:tcPr>
          <w:p w14:paraId="1B7B6D83">
            <w:pPr>
              <w:widowControl w:val="0"/>
              <w:snapToGrid w:val="0"/>
              <w:jc w:val="center"/>
              <w:rPr>
                <w:rFonts w:ascii="Arial" w:hAnsi="Arial" w:eastAsia="黑体" w:cs="Arial"/>
                <w:bCs/>
                <w:sz w:val="21"/>
                <w:szCs w:val="21"/>
              </w:rPr>
            </w:pPr>
          </w:p>
        </w:tc>
        <w:tc>
          <w:tcPr>
            <w:tcW w:w="1403" w:type="dxa"/>
            <w:vAlign w:val="center"/>
          </w:tcPr>
          <w:p w14:paraId="4EFCB9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439DB9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30218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DF8F8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4DB92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6E4EF1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1CC367BA">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48" w:type="dxa"/>
            <w:vAlign w:val="center"/>
          </w:tcPr>
          <w:p w14:paraId="23AA494F">
            <w:pPr>
              <w:widowControl w:val="0"/>
              <w:snapToGrid w:val="0"/>
              <w:jc w:val="center"/>
              <w:rPr>
                <w:rFonts w:ascii="Arial" w:hAnsi="Arial" w:eastAsia="黑体" w:cs="Arial"/>
                <w:bCs/>
                <w:sz w:val="21"/>
                <w:szCs w:val="21"/>
              </w:rPr>
            </w:pPr>
          </w:p>
        </w:tc>
        <w:tc>
          <w:tcPr>
            <w:tcW w:w="1403" w:type="dxa"/>
            <w:vAlign w:val="center"/>
          </w:tcPr>
          <w:p w14:paraId="053980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11702A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398D3C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2E9BAE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A42B0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42D7F2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21E472BB">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648" w:type="dxa"/>
            <w:vAlign w:val="center"/>
          </w:tcPr>
          <w:p w14:paraId="64BDBECD">
            <w:pPr>
              <w:widowControl w:val="0"/>
              <w:snapToGrid w:val="0"/>
              <w:jc w:val="center"/>
              <w:rPr>
                <w:rFonts w:ascii="Arial" w:hAnsi="Arial" w:eastAsia="黑体" w:cs="Arial"/>
                <w:bCs/>
                <w:sz w:val="21"/>
                <w:szCs w:val="21"/>
              </w:rPr>
            </w:pPr>
          </w:p>
        </w:tc>
        <w:tc>
          <w:tcPr>
            <w:tcW w:w="1403" w:type="dxa"/>
            <w:vAlign w:val="center"/>
          </w:tcPr>
          <w:p w14:paraId="66B769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2844D6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B27CF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6DA0F0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345D18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78B448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3750AA37">
            <w:pPr>
              <w:widowControl w:val="0"/>
              <w:snapToGrid w:val="0"/>
              <w:jc w:val="center"/>
              <w:rPr>
                <w:rFonts w:ascii="Arial" w:hAnsi="Arial" w:eastAsia="黑体" w:cs="Arial"/>
                <w:bCs/>
                <w:sz w:val="21"/>
                <w:szCs w:val="21"/>
              </w:rPr>
            </w:pPr>
            <w:r>
              <w:rPr>
                <w:rFonts w:ascii="Arial" w:hAnsi="Arial" w:eastAsia="黑体" w:cs="Arial"/>
                <w:bCs/>
                <w:sz w:val="21"/>
                <w:szCs w:val="21"/>
              </w:rPr>
              <w:t>X5</w:t>
            </w:r>
          </w:p>
        </w:tc>
        <w:tc>
          <w:tcPr>
            <w:tcW w:w="648" w:type="dxa"/>
            <w:vAlign w:val="center"/>
          </w:tcPr>
          <w:p w14:paraId="0C500159">
            <w:pPr>
              <w:widowControl w:val="0"/>
              <w:snapToGrid w:val="0"/>
              <w:jc w:val="center"/>
              <w:rPr>
                <w:rFonts w:ascii="Arial" w:hAnsi="Arial" w:eastAsia="黑体" w:cs="Arial"/>
                <w:bCs/>
                <w:sz w:val="21"/>
                <w:szCs w:val="21"/>
              </w:rPr>
            </w:pPr>
          </w:p>
        </w:tc>
        <w:tc>
          <w:tcPr>
            <w:tcW w:w="1403" w:type="dxa"/>
            <w:vAlign w:val="center"/>
          </w:tcPr>
          <w:p w14:paraId="3977DD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1C7574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622F1E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2B01E2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39C49E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bl>
    <w:p w14:paraId="3F8F8612">
      <w:pPr>
        <w:pStyle w:val="19"/>
        <w:spacing w:before="326" w:beforeLines="100" w:line="360" w:lineRule="auto"/>
        <w:rPr>
          <w:rFonts w:ascii="黑体" w:hAnsi="宋体"/>
        </w:rPr>
      </w:pPr>
      <w:r>
        <w:rPr>
          <w:rFonts w:hint="eastAsia" w:ascii="黑体" w:hAnsi="宋体"/>
        </w:rPr>
        <w:t xml:space="preserve">六、其他需要说明的问题 </w:t>
      </w:r>
    </w:p>
    <w:tbl>
      <w:tblPr>
        <w:tblStyle w:val="10"/>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6B53E10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14:paraId="59E41242">
            <w:pPr>
              <w:pStyle w:val="17"/>
              <w:widowControl w:val="0"/>
              <w:jc w:val="left"/>
              <w:rPr>
                <w:rFonts w:ascii="仿宋" w:hAnsi="仿宋" w:eastAsia="仿宋" w:cs="仿宋"/>
              </w:rPr>
            </w:pPr>
          </w:p>
          <w:p w14:paraId="0618416E">
            <w:pPr>
              <w:pStyle w:val="17"/>
              <w:widowControl w:val="0"/>
              <w:jc w:val="left"/>
              <w:rPr>
                <w:rFonts w:ascii="宋体" w:hAnsi="宋体"/>
                <w:bCs/>
              </w:rPr>
            </w:pPr>
            <w:r>
              <w:rPr>
                <w:rFonts w:hint="eastAsia" w:ascii="宋体" w:hAnsi="宋体"/>
                <w:bCs/>
              </w:rPr>
              <w:t>无</w:t>
            </w:r>
          </w:p>
          <w:p w14:paraId="154ED6F5">
            <w:pPr>
              <w:pStyle w:val="17"/>
              <w:widowControl w:val="0"/>
              <w:jc w:val="left"/>
              <w:rPr>
                <w:rFonts w:ascii="黑体"/>
              </w:rPr>
            </w:pPr>
          </w:p>
        </w:tc>
      </w:tr>
    </w:tbl>
    <w:p w14:paraId="4367C8AF">
      <w:pPr>
        <w:pStyle w:val="19"/>
        <w:rPr>
          <w:rFonts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2000019F" w:csb1="4F01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9A052">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6E62FC1F">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6E62FC1F">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2915B9"/>
    <w:multiLevelType w:val="multilevel"/>
    <w:tmpl w:val="0D2915B9"/>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FiZDY5N2E3ZDBhZjA4MGVkNjI5MWE1YjQzN2UwNDUifQ=="/>
  </w:docVars>
  <w:rsids>
    <w:rsidRoot w:val="00B7651F"/>
    <w:rsid w:val="00006DA3"/>
    <w:rsid w:val="00017B8F"/>
    <w:rsid w:val="000203E0"/>
    <w:rsid w:val="000210E0"/>
    <w:rsid w:val="000244B1"/>
    <w:rsid w:val="00033082"/>
    <w:rsid w:val="00044088"/>
    <w:rsid w:val="000514AE"/>
    <w:rsid w:val="00053590"/>
    <w:rsid w:val="0006001D"/>
    <w:rsid w:val="0006395F"/>
    <w:rsid w:val="00066041"/>
    <w:rsid w:val="000662F5"/>
    <w:rsid w:val="00076794"/>
    <w:rsid w:val="0008122A"/>
    <w:rsid w:val="00087488"/>
    <w:rsid w:val="0009050A"/>
    <w:rsid w:val="0009476E"/>
    <w:rsid w:val="00096040"/>
    <w:rsid w:val="0009721F"/>
    <w:rsid w:val="000A4E73"/>
    <w:rsid w:val="000B1BD2"/>
    <w:rsid w:val="000B62FF"/>
    <w:rsid w:val="000C0F0D"/>
    <w:rsid w:val="000C13BC"/>
    <w:rsid w:val="000C1752"/>
    <w:rsid w:val="000D1A86"/>
    <w:rsid w:val="000D28E5"/>
    <w:rsid w:val="000D34D7"/>
    <w:rsid w:val="000E3403"/>
    <w:rsid w:val="000E3709"/>
    <w:rsid w:val="000F5A72"/>
    <w:rsid w:val="00100633"/>
    <w:rsid w:val="0010288A"/>
    <w:rsid w:val="001072BC"/>
    <w:rsid w:val="00114BD6"/>
    <w:rsid w:val="00117076"/>
    <w:rsid w:val="00122B14"/>
    <w:rsid w:val="0012396B"/>
    <w:rsid w:val="00125717"/>
    <w:rsid w:val="00130F6D"/>
    <w:rsid w:val="00133554"/>
    <w:rsid w:val="00134AAA"/>
    <w:rsid w:val="00144082"/>
    <w:rsid w:val="0016381F"/>
    <w:rsid w:val="00163A48"/>
    <w:rsid w:val="00164E36"/>
    <w:rsid w:val="001678A2"/>
    <w:rsid w:val="00183AA1"/>
    <w:rsid w:val="0018767C"/>
    <w:rsid w:val="001A135C"/>
    <w:rsid w:val="001B0D49"/>
    <w:rsid w:val="001B546F"/>
    <w:rsid w:val="001C0F80"/>
    <w:rsid w:val="001C16FC"/>
    <w:rsid w:val="001C2E3E"/>
    <w:rsid w:val="001C388D"/>
    <w:rsid w:val="001D4562"/>
    <w:rsid w:val="001E0494"/>
    <w:rsid w:val="001E1D2D"/>
    <w:rsid w:val="001E5A17"/>
    <w:rsid w:val="001F284E"/>
    <w:rsid w:val="001F332E"/>
    <w:rsid w:val="00203421"/>
    <w:rsid w:val="0020688A"/>
    <w:rsid w:val="002104B4"/>
    <w:rsid w:val="0021393C"/>
    <w:rsid w:val="00217861"/>
    <w:rsid w:val="002204E4"/>
    <w:rsid w:val="002211BF"/>
    <w:rsid w:val="002319E2"/>
    <w:rsid w:val="00233F15"/>
    <w:rsid w:val="002420F1"/>
    <w:rsid w:val="00245CC1"/>
    <w:rsid w:val="00246816"/>
    <w:rsid w:val="00253AC8"/>
    <w:rsid w:val="00256B39"/>
    <w:rsid w:val="0026033C"/>
    <w:rsid w:val="00262361"/>
    <w:rsid w:val="00264AE4"/>
    <w:rsid w:val="0027339A"/>
    <w:rsid w:val="00274E82"/>
    <w:rsid w:val="002757AB"/>
    <w:rsid w:val="0027777C"/>
    <w:rsid w:val="00277FE7"/>
    <w:rsid w:val="00285AA2"/>
    <w:rsid w:val="002877FA"/>
    <w:rsid w:val="00287C29"/>
    <w:rsid w:val="00290962"/>
    <w:rsid w:val="0029110B"/>
    <w:rsid w:val="0029259E"/>
    <w:rsid w:val="00294E36"/>
    <w:rsid w:val="002A3501"/>
    <w:rsid w:val="002A4649"/>
    <w:rsid w:val="002A7227"/>
    <w:rsid w:val="002B0773"/>
    <w:rsid w:val="002B0C48"/>
    <w:rsid w:val="002B0DB2"/>
    <w:rsid w:val="002B13CA"/>
    <w:rsid w:val="002B3650"/>
    <w:rsid w:val="002B7322"/>
    <w:rsid w:val="002C1676"/>
    <w:rsid w:val="002C58B6"/>
    <w:rsid w:val="002D0E86"/>
    <w:rsid w:val="002D3F7D"/>
    <w:rsid w:val="002D6899"/>
    <w:rsid w:val="002D7C47"/>
    <w:rsid w:val="002E33CE"/>
    <w:rsid w:val="002E3721"/>
    <w:rsid w:val="002E6F95"/>
    <w:rsid w:val="002E764D"/>
    <w:rsid w:val="002E7A06"/>
    <w:rsid w:val="002F3157"/>
    <w:rsid w:val="002F6BD5"/>
    <w:rsid w:val="003025FD"/>
    <w:rsid w:val="00302C4E"/>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47F94"/>
    <w:rsid w:val="00353F74"/>
    <w:rsid w:val="003557DE"/>
    <w:rsid w:val="00361BEB"/>
    <w:rsid w:val="00365704"/>
    <w:rsid w:val="00370184"/>
    <w:rsid w:val="00373C8A"/>
    <w:rsid w:val="00377C10"/>
    <w:rsid w:val="0038278C"/>
    <w:rsid w:val="00384A1F"/>
    <w:rsid w:val="00384D60"/>
    <w:rsid w:val="00385D41"/>
    <w:rsid w:val="003861BA"/>
    <w:rsid w:val="0039657B"/>
    <w:rsid w:val="00396A3C"/>
    <w:rsid w:val="003A1680"/>
    <w:rsid w:val="003A373C"/>
    <w:rsid w:val="003A5874"/>
    <w:rsid w:val="003B1258"/>
    <w:rsid w:val="003B4A81"/>
    <w:rsid w:val="003B732D"/>
    <w:rsid w:val="003C1F8D"/>
    <w:rsid w:val="003C61A5"/>
    <w:rsid w:val="003D1968"/>
    <w:rsid w:val="003D4994"/>
    <w:rsid w:val="003E10A5"/>
    <w:rsid w:val="003E26EF"/>
    <w:rsid w:val="003E67AE"/>
    <w:rsid w:val="003E7D72"/>
    <w:rsid w:val="003F2774"/>
    <w:rsid w:val="003F3923"/>
    <w:rsid w:val="003F43F6"/>
    <w:rsid w:val="003F4D30"/>
    <w:rsid w:val="003F7CF7"/>
    <w:rsid w:val="004019DB"/>
    <w:rsid w:val="00402B67"/>
    <w:rsid w:val="00403C91"/>
    <w:rsid w:val="0040433E"/>
    <w:rsid w:val="00404974"/>
    <w:rsid w:val="0040726A"/>
    <w:rsid w:val="004100B0"/>
    <w:rsid w:val="0041267F"/>
    <w:rsid w:val="00413AA0"/>
    <w:rsid w:val="00417636"/>
    <w:rsid w:val="00424BA5"/>
    <w:rsid w:val="00425431"/>
    <w:rsid w:val="00431829"/>
    <w:rsid w:val="00437B60"/>
    <w:rsid w:val="004405E6"/>
    <w:rsid w:val="00443C84"/>
    <w:rsid w:val="00443C89"/>
    <w:rsid w:val="004540AA"/>
    <w:rsid w:val="00456BD8"/>
    <w:rsid w:val="00456DC8"/>
    <w:rsid w:val="0046549D"/>
    <w:rsid w:val="00471668"/>
    <w:rsid w:val="00472B18"/>
    <w:rsid w:val="004743C8"/>
    <w:rsid w:val="00476A70"/>
    <w:rsid w:val="004812FA"/>
    <w:rsid w:val="00481F98"/>
    <w:rsid w:val="004852BF"/>
    <w:rsid w:val="00487A46"/>
    <w:rsid w:val="00493504"/>
    <w:rsid w:val="00494579"/>
    <w:rsid w:val="00496F07"/>
    <w:rsid w:val="00497334"/>
    <w:rsid w:val="004A4645"/>
    <w:rsid w:val="004A5DB5"/>
    <w:rsid w:val="004A6F3A"/>
    <w:rsid w:val="004B00F0"/>
    <w:rsid w:val="004B29AC"/>
    <w:rsid w:val="004B408D"/>
    <w:rsid w:val="004B40E2"/>
    <w:rsid w:val="004B5EC0"/>
    <w:rsid w:val="004B6F68"/>
    <w:rsid w:val="004B73F7"/>
    <w:rsid w:val="004C38D4"/>
    <w:rsid w:val="004C7073"/>
    <w:rsid w:val="004D03FB"/>
    <w:rsid w:val="004D28C9"/>
    <w:rsid w:val="004D4FB3"/>
    <w:rsid w:val="004D6A9A"/>
    <w:rsid w:val="004D75A6"/>
    <w:rsid w:val="004E3456"/>
    <w:rsid w:val="004F3DF0"/>
    <w:rsid w:val="00504DF9"/>
    <w:rsid w:val="00505EF5"/>
    <w:rsid w:val="005074E1"/>
    <w:rsid w:val="005126F1"/>
    <w:rsid w:val="00513F2F"/>
    <w:rsid w:val="0051612A"/>
    <w:rsid w:val="00517176"/>
    <w:rsid w:val="0052192E"/>
    <w:rsid w:val="00524300"/>
    <w:rsid w:val="00532FD6"/>
    <w:rsid w:val="0054115E"/>
    <w:rsid w:val="00541F72"/>
    <w:rsid w:val="00542388"/>
    <w:rsid w:val="00544523"/>
    <w:rsid w:val="005467DC"/>
    <w:rsid w:val="00546A82"/>
    <w:rsid w:val="00547C51"/>
    <w:rsid w:val="00551290"/>
    <w:rsid w:val="00551335"/>
    <w:rsid w:val="005519BB"/>
    <w:rsid w:val="005523FD"/>
    <w:rsid w:val="00553D03"/>
    <w:rsid w:val="00555BA0"/>
    <w:rsid w:val="00555E07"/>
    <w:rsid w:val="00556809"/>
    <w:rsid w:val="00556E41"/>
    <w:rsid w:val="0057496F"/>
    <w:rsid w:val="005770A6"/>
    <w:rsid w:val="0059045B"/>
    <w:rsid w:val="00592B66"/>
    <w:rsid w:val="00597EC2"/>
    <w:rsid w:val="005A13AB"/>
    <w:rsid w:val="005B1150"/>
    <w:rsid w:val="005B1FFC"/>
    <w:rsid w:val="005B2B6D"/>
    <w:rsid w:val="005B4B4E"/>
    <w:rsid w:val="005B5E42"/>
    <w:rsid w:val="005C3A76"/>
    <w:rsid w:val="005C6D52"/>
    <w:rsid w:val="005D391F"/>
    <w:rsid w:val="005D5B6F"/>
    <w:rsid w:val="005E38A5"/>
    <w:rsid w:val="005F5185"/>
    <w:rsid w:val="00620FCF"/>
    <w:rsid w:val="0062115C"/>
    <w:rsid w:val="0062265B"/>
    <w:rsid w:val="00624B5C"/>
    <w:rsid w:val="00624FE1"/>
    <w:rsid w:val="0062577D"/>
    <w:rsid w:val="00630BE7"/>
    <w:rsid w:val="0063249D"/>
    <w:rsid w:val="006331EE"/>
    <w:rsid w:val="00633858"/>
    <w:rsid w:val="006355E6"/>
    <w:rsid w:val="00637E00"/>
    <w:rsid w:val="0064038A"/>
    <w:rsid w:val="00640E49"/>
    <w:rsid w:val="0064580A"/>
    <w:rsid w:val="0065167D"/>
    <w:rsid w:val="00652D13"/>
    <w:rsid w:val="0066595A"/>
    <w:rsid w:val="00666206"/>
    <w:rsid w:val="00672788"/>
    <w:rsid w:val="00676183"/>
    <w:rsid w:val="0068060F"/>
    <w:rsid w:val="00680DA3"/>
    <w:rsid w:val="0068377F"/>
    <w:rsid w:val="00691B24"/>
    <w:rsid w:val="00695B93"/>
    <w:rsid w:val="00697C16"/>
    <w:rsid w:val="006A5A89"/>
    <w:rsid w:val="006B3BB9"/>
    <w:rsid w:val="006B4034"/>
    <w:rsid w:val="006B48AC"/>
    <w:rsid w:val="006B5977"/>
    <w:rsid w:val="006C243D"/>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1663B"/>
    <w:rsid w:val="007208D6"/>
    <w:rsid w:val="007252BA"/>
    <w:rsid w:val="0072584A"/>
    <w:rsid w:val="00726786"/>
    <w:rsid w:val="00732152"/>
    <w:rsid w:val="007428DF"/>
    <w:rsid w:val="00742BD1"/>
    <w:rsid w:val="00742E7A"/>
    <w:rsid w:val="0074424F"/>
    <w:rsid w:val="00755DB7"/>
    <w:rsid w:val="00761EE5"/>
    <w:rsid w:val="00764FD9"/>
    <w:rsid w:val="007740B2"/>
    <w:rsid w:val="00774C1F"/>
    <w:rsid w:val="0078194F"/>
    <w:rsid w:val="00790CDF"/>
    <w:rsid w:val="007934A4"/>
    <w:rsid w:val="007971F6"/>
    <w:rsid w:val="007A0AC9"/>
    <w:rsid w:val="007A1B70"/>
    <w:rsid w:val="007A57F6"/>
    <w:rsid w:val="007B4FFB"/>
    <w:rsid w:val="007C0BCE"/>
    <w:rsid w:val="007C1D1B"/>
    <w:rsid w:val="007C3566"/>
    <w:rsid w:val="007C4238"/>
    <w:rsid w:val="007C794A"/>
    <w:rsid w:val="007C7F05"/>
    <w:rsid w:val="007D5326"/>
    <w:rsid w:val="007D5A33"/>
    <w:rsid w:val="007E0700"/>
    <w:rsid w:val="007E4F3A"/>
    <w:rsid w:val="007E4F5A"/>
    <w:rsid w:val="007E620F"/>
    <w:rsid w:val="007E663C"/>
    <w:rsid w:val="007E7795"/>
    <w:rsid w:val="0080066B"/>
    <w:rsid w:val="00803578"/>
    <w:rsid w:val="00810588"/>
    <w:rsid w:val="00815B8D"/>
    <w:rsid w:val="00815B8E"/>
    <w:rsid w:val="00816D99"/>
    <w:rsid w:val="0082324C"/>
    <w:rsid w:val="00823D71"/>
    <w:rsid w:val="008245AF"/>
    <w:rsid w:val="008256B9"/>
    <w:rsid w:val="00835F16"/>
    <w:rsid w:val="0083705D"/>
    <w:rsid w:val="0084242F"/>
    <w:rsid w:val="00845795"/>
    <w:rsid w:val="00847437"/>
    <w:rsid w:val="00857FA5"/>
    <w:rsid w:val="00864BC1"/>
    <w:rsid w:val="00882E15"/>
    <w:rsid w:val="00883C73"/>
    <w:rsid w:val="008874A7"/>
    <w:rsid w:val="008901A2"/>
    <w:rsid w:val="008A0344"/>
    <w:rsid w:val="008A08B0"/>
    <w:rsid w:val="008B0385"/>
    <w:rsid w:val="008B1082"/>
    <w:rsid w:val="008B188E"/>
    <w:rsid w:val="008B397C"/>
    <w:rsid w:val="008B3D54"/>
    <w:rsid w:val="008B47F4"/>
    <w:rsid w:val="008B7448"/>
    <w:rsid w:val="008B7E1E"/>
    <w:rsid w:val="008C2483"/>
    <w:rsid w:val="008C2AE6"/>
    <w:rsid w:val="008C2DE8"/>
    <w:rsid w:val="008C5113"/>
    <w:rsid w:val="008C5B8A"/>
    <w:rsid w:val="008D3D5F"/>
    <w:rsid w:val="008D4E81"/>
    <w:rsid w:val="008D505F"/>
    <w:rsid w:val="008E0F55"/>
    <w:rsid w:val="008E71C7"/>
    <w:rsid w:val="008F253F"/>
    <w:rsid w:val="008F7F31"/>
    <w:rsid w:val="00900019"/>
    <w:rsid w:val="009023B1"/>
    <w:rsid w:val="009147D6"/>
    <w:rsid w:val="00914D98"/>
    <w:rsid w:val="00916256"/>
    <w:rsid w:val="00925F8C"/>
    <w:rsid w:val="00927324"/>
    <w:rsid w:val="00932E8B"/>
    <w:rsid w:val="00932ED7"/>
    <w:rsid w:val="00933990"/>
    <w:rsid w:val="00941B89"/>
    <w:rsid w:val="00941DEA"/>
    <w:rsid w:val="009521C2"/>
    <w:rsid w:val="0096414A"/>
    <w:rsid w:val="009656CC"/>
    <w:rsid w:val="00970E8C"/>
    <w:rsid w:val="00971671"/>
    <w:rsid w:val="00972174"/>
    <w:rsid w:val="00977128"/>
    <w:rsid w:val="00977738"/>
    <w:rsid w:val="00981A37"/>
    <w:rsid w:val="009830B2"/>
    <w:rsid w:val="0099063E"/>
    <w:rsid w:val="00992356"/>
    <w:rsid w:val="00992674"/>
    <w:rsid w:val="00994793"/>
    <w:rsid w:val="00996AE3"/>
    <w:rsid w:val="00997841"/>
    <w:rsid w:val="009A0450"/>
    <w:rsid w:val="009A1446"/>
    <w:rsid w:val="009A1E27"/>
    <w:rsid w:val="009A307B"/>
    <w:rsid w:val="009B04E7"/>
    <w:rsid w:val="009B14E8"/>
    <w:rsid w:val="009B4D21"/>
    <w:rsid w:val="009B5A73"/>
    <w:rsid w:val="009C54C9"/>
    <w:rsid w:val="009C589C"/>
    <w:rsid w:val="009D192B"/>
    <w:rsid w:val="009D2582"/>
    <w:rsid w:val="009D33E1"/>
    <w:rsid w:val="009D3B45"/>
    <w:rsid w:val="009D7CF9"/>
    <w:rsid w:val="009E017A"/>
    <w:rsid w:val="009E2CCC"/>
    <w:rsid w:val="009E2CDD"/>
    <w:rsid w:val="009E366E"/>
    <w:rsid w:val="009E6FC4"/>
    <w:rsid w:val="009F00DC"/>
    <w:rsid w:val="009F3199"/>
    <w:rsid w:val="009F3355"/>
    <w:rsid w:val="009F3648"/>
    <w:rsid w:val="009F3B7A"/>
    <w:rsid w:val="009F54D0"/>
    <w:rsid w:val="00A0198D"/>
    <w:rsid w:val="00A029C1"/>
    <w:rsid w:val="00A04523"/>
    <w:rsid w:val="00A135A1"/>
    <w:rsid w:val="00A16159"/>
    <w:rsid w:val="00A161E6"/>
    <w:rsid w:val="00A17885"/>
    <w:rsid w:val="00A22C73"/>
    <w:rsid w:val="00A2337D"/>
    <w:rsid w:val="00A25A31"/>
    <w:rsid w:val="00A31BBE"/>
    <w:rsid w:val="00A31D34"/>
    <w:rsid w:val="00A33215"/>
    <w:rsid w:val="00A333EF"/>
    <w:rsid w:val="00A33F85"/>
    <w:rsid w:val="00A40645"/>
    <w:rsid w:val="00A44FF0"/>
    <w:rsid w:val="00A6016C"/>
    <w:rsid w:val="00A64D90"/>
    <w:rsid w:val="00A769B1"/>
    <w:rsid w:val="00A77DA3"/>
    <w:rsid w:val="00A837D5"/>
    <w:rsid w:val="00A83E04"/>
    <w:rsid w:val="00A91091"/>
    <w:rsid w:val="00A91CF7"/>
    <w:rsid w:val="00A93EE3"/>
    <w:rsid w:val="00A94BA9"/>
    <w:rsid w:val="00A9535A"/>
    <w:rsid w:val="00AA4970"/>
    <w:rsid w:val="00AA536D"/>
    <w:rsid w:val="00AA7069"/>
    <w:rsid w:val="00AB22C0"/>
    <w:rsid w:val="00AB28FC"/>
    <w:rsid w:val="00AB49E4"/>
    <w:rsid w:val="00AC1479"/>
    <w:rsid w:val="00AC2AAC"/>
    <w:rsid w:val="00AC40F1"/>
    <w:rsid w:val="00AC4C45"/>
    <w:rsid w:val="00AD1085"/>
    <w:rsid w:val="00AD3DB7"/>
    <w:rsid w:val="00AD5B40"/>
    <w:rsid w:val="00AD69FB"/>
    <w:rsid w:val="00AF0DAC"/>
    <w:rsid w:val="00AF1D10"/>
    <w:rsid w:val="00AF289F"/>
    <w:rsid w:val="00AF30B9"/>
    <w:rsid w:val="00AF43DF"/>
    <w:rsid w:val="00AF67A4"/>
    <w:rsid w:val="00AF7510"/>
    <w:rsid w:val="00B063B5"/>
    <w:rsid w:val="00B12D31"/>
    <w:rsid w:val="00B15F6E"/>
    <w:rsid w:val="00B21BEE"/>
    <w:rsid w:val="00B23284"/>
    <w:rsid w:val="00B37D43"/>
    <w:rsid w:val="00B46F21"/>
    <w:rsid w:val="00B505F4"/>
    <w:rsid w:val="00B511A5"/>
    <w:rsid w:val="00B51CDE"/>
    <w:rsid w:val="00B56541"/>
    <w:rsid w:val="00B605ED"/>
    <w:rsid w:val="00B714CC"/>
    <w:rsid w:val="00B71F97"/>
    <w:rsid w:val="00B72538"/>
    <w:rsid w:val="00B736A7"/>
    <w:rsid w:val="00B7651F"/>
    <w:rsid w:val="00B76730"/>
    <w:rsid w:val="00B919FA"/>
    <w:rsid w:val="00B94A16"/>
    <w:rsid w:val="00BA55AD"/>
    <w:rsid w:val="00BA6044"/>
    <w:rsid w:val="00BB13D9"/>
    <w:rsid w:val="00BB1A93"/>
    <w:rsid w:val="00BB5A2C"/>
    <w:rsid w:val="00BC14BF"/>
    <w:rsid w:val="00BC2625"/>
    <w:rsid w:val="00BC3200"/>
    <w:rsid w:val="00BC338A"/>
    <w:rsid w:val="00BD6A30"/>
    <w:rsid w:val="00BD7AB0"/>
    <w:rsid w:val="00BE7B4A"/>
    <w:rsid w:val="00BF3C20"/>
    <w:rsid w:val="00C011BC"/>
    <w:rsid w:val="00C02423"/>
    <w:rsid w:val="00C03DBA"/>
    <w:rsid w:val="00C112E7"/>
    <w:rsid w:val="00C11C78"/>
    <w:rsid w:val="00C11CD4"/>
    <w:rsid w:val="00C15061"/>
    <w:rsid w:val="00C15AB4"/>
    <w:rsid w:val="00C1713D"/>
    <w:rsid w:val="00C20D9D"/>
    <w:rsid w:val="00C2134F"/>
    <w:rsid w:val="00C24718"/>
    <w:rsid w:val="00C24FC2"/>
    <w:rsid w:val="00C2675D"/>
    <w:rsid w:val="00C30AEE"/>
    <w:rsid w:val="00C33362"/>
    <w:rsid w:val="00C353AE"/>
    <w:rsid w:val="00C4194E"/>
    <w:rsid w:val="00C4578C"/>
    <w:rsid w:val="00C516B1"/>
    <w:rsid w:val="00C5350C"/>
    <w:rsid w:val="00C56E09"/>
    <w:rsid w:val="00C61B1B"/>
    <w:rsid w:val="00C63656"/>
    <w:rsid w:val="00C66AB7"/>
    <w:rsid w:val="00C673D1"/>
    <w:rsid w:val="00C7260D"/>
    <w:rsid w:val="00C746CB"/>
    <w:rsid w:val="00C77BBF"/>
    <w:rsid w:val="00C77D64"/>
    <w:rsid w:val="00C81564"/>
    <w:rsid w:val="00C9080C"/>
    <w:rsid w:val="00C94429"/>
    <w:rsid w:val="00CA18FD"/>
    <w:rsid w:val="00CA27E5"/>
    <w:rsid w:val="00CA3570"/>
    <w:rsid w:val="00CA4897"/>
    <w:rsid w:val="00CA6928"/>
    <w:rsid w:val="00CB1793"/>
    <w:rsid w:val="00CB3D3F"/>
    <w:rsid w:val="00CB5A1A"/>
    <w:rsid w:val="00CB7C49"/>
    <w:rsid w:val="00CC3A40"/>
    <w:rsid w:val="00CC59E6"/>
    <w:rsid w:val="00CD1888"/>
    <w:rsid w:val="00CD4F7E"/>
    <w:rsid w:val="00CD5BDD"/>
    <w:rsid w:val="00CE0D56"/>
    <w:rsid w:val="00CE41E7"/>
    <w:rsid w:val="00CF096B"/>
    <w:rsid w:val="00CF10F7"/>
    <w:rsid w:val="00CF5EE3"/>
    <w:rsid w:val="00CF691F"/>
    <w:rsid w:val="00D00D99"/>
    <w:rsid w:val="00D013A4"/>
    <w:rsid w:val="00D026DC"/>
    <w:rsid w:val="00D03E88"/>
    <w:rsid w:val="00D15595"/>
    <w:rsid w:val="00D30C32"/>
    <w:rsid w:val="00D336F9"/>
    <w:rsid w:val="00D343A8"/>
    <w:rsid w:val="00D37832"/>
    <w:rsid w:val="00D44860"/>
    <w:rsid w:val="00D47689"/>
    <w:rsid w:val="00D50656"/>
    <w:rsid w:val="00D50C42"/>
    <w:rsid w:val="00D57CF5"/>
    <w:rsid w:val="00D602FB"/>
    <w:rsid w:val="00D60DEA"/>
    <w:rsid w:val="00D612BC"/>
    <w:rsid w:val="00D62F98"/>
    <w:rsid w:val="00D66FD6"/>
    <w:rsid w:val="00D8285B"/>
    <w:rsid w:val="00D862EB"/>
    <w:rsid w:val="00D86619"/>
    <w:rsid w:val="00D922E5"/>
    <w:rsid w:val="00D93E7C"/>
    <w:rsid w:val="00DB2BE6"/>
    <w:rsid w:val="00DB76B3"/>
    <w:rsid w:val="00DD1052"/>
    <w:rsid w:val="00DD167C"/>
    <w:rsid w:val="00DD3C7B"/>
    <w:rsid w:val="00DD5966"/>
    <w:rsid w:val="00DE2B21"/>
    <w:rsid w:val="00DE48DE"/>
    <w:rsid w:val="00DF25F2"/>
    <w:rsid w:val="00DF3B32"/>
    <w:rsid w:val="00DF4166"/>
    <w:rsid w:val="00DF6484"/>
    <w:rsid w:val="00E000F4"/>
    <w:rsid w:val="00E01231"/>
    <w:rsid w:val="00E04279"/>
    <w:rsid w:val="00E11393"/>
    <w:rsid w:val="00E1184C"/>
    <w:rsid w:val="00E125D9"/>
    <w:rsid w:val="00E16D30"/>
    <w:rsid w:val="00E20DE0"/>
    <w:rsid w:val="00E31E69"/>
    <w:rsid w:val="00E33169"/>
    <w:rsid w:val="00E34A7B"/>
    <w:rsid w:val="00E3751F"/>
    <w:rsid w:val="00E40973"/>
    <w:rsid w:val="00E45507"/>
    <w:rsid w:val="00E47CD1"/>
    <w:rsid w:val="00E5013C"/>
    <w:rsid w:val="00E545FF"/>
    <w:rsid w:val="00E555C8"/>
    <w:rsid w:val="00E6080E"/>
    <w:rsid w:val="00E64168"/>
    <w:rsid w:val="00E655B3"/>
    <w:rsid w:val="00E6769A"/>
    <w:rsid w:val="00E7081D"/>
    <w:rsid w:val="00E70904"/>
    <w:rsid w:val="00E71319"/>
    <w:rsid w:val="00E72715"/>
    <w:rsid w:val="00E75171"/>
    <w:rsid w:val="00E804B0"/>
    <w:rsid w:val="00E834AC"/>
    <w:rsid w:val="00E86772"/>
    <w:rsid w:val="00E879D2"/>
    <w:rsid w:val="00E90B8B"/>
    <w:rsid w:val="00E93ADD"/>
    <w:rsid w:val="00E952D8"/>
    <w:rsid w:val="00EB00E4"/>
    <w:rsid w:val="00EB28DA"/>
    <w:rsid w:val="00EB3812"/>
    <w:rsid w:val="00EB44EB"/>
    <w:rsid w:val="00EB66B8"/>
    <w:rsid w:val="00EB791E"/>
    <w:rsid w:val="00EC1FEA"/>
    <w:rsid w:val="00EC70A9"/>
    <w:rsid w:val="00ED4C3A"/>
    <w:rsid w:val="00ED6C27"/>
    <w:rsid w:val="00EE1C85"/>
    <w:rsid w:val="00EE54BF"/>
    <w:rsid w:val="00EE5FFC"/>
    <w:rsid w:val="00EF21D9"/>
    <w:rsid w:val="00EF2A94"/>
    <w:rsid w:val="00EF32FB"/>
    <w:rsid w:val="00EF44B1"/>
    <w:rsid w:val="00EF4865"/>
    <w:rsid w:val="00EF5954"/>
    <w:rsid w:val="00F048B3"/>
    <w:rsid w:val="00F100D2"/>
    <w:rsid w:val="00F12942"/>
    <w:rsid w:val="00F13C41"/>
    <w:rsid w:val="00F14496"/>
    <w:rsid w:val="00F14886"/>
    <w:rsid w:val="00F16421"/>
    <w:rsid w:val="00F201EE"/>
    <w:rsid w:val="00F323FE"/>
    <w:rsid w:val="00F35AA0"/>
    <w:rsid w:val="00F43C49"/>
    <w:rsid w:val="00F454B9"/>
    <w:rsid w:val="00F45C12"/>
    <w:rsid w:val="00F53DD4"/>
    <w:rsid w:val="00F544A2"/>
    <w:rsid w:val="00F73D03"/>
    <w:rsid w:val="00F76CB9"/>
    <w:rsid w:val="00F77A73"/>
    <w:rsid w:val="00F80E46"/>
    <w:rsid w:val="00F96236"/>
    <w:rsid w:val="00F96468"/>
    <w:rsid w:val="00F972B3"/>
    <w:rsid w:val="00FA10CE"/>
    <w:rsid w:val="00FA222F"/>
    <w:rsid w:val="00FA26A4"/>
    <w:rsid w:val="00FA2891"/>
    <w:rsid w:val="00FB693D"/>
    <w:rsid w:val="00FB7768"/>
    <w:rsid w:val="00FC7489"/>
    <w:rsid w:val="00FD1BA8"/>
    <w:rsid w:val="00FD218F"/>
    <w:rsid w:val="00FD5663"/>
    <w:rsid w:val="00FD56C6"/>
    <w:rsid w:val="00FE1921"/>
    <w:rsid w:val="00FE3070"/>
    <w:rsid w:val="00FE3221"/>
    <w:rsid w:val="00FE48EA"/>
    <w:rsid w:val="00FE571F"/>
    <w:rsid w:val="00FF47F6"/>
    <w:rsid w:val="00FF5CF4"/>
    <w:rsid w:val="016E63C2"/>
    <w:rsid w:val="024B0C39"/>
    <w:rsid w:val="0A8128A6"/>
    <w:rsid w:val="0BF32A1B"/>
    <w:rsid w:val="10BD2C22"/>
    <w:rsid w:val="1CFE9B69"/>
    <w:rsid w:val="22987C80"/>
    <w:rsid w:val="24192CCC"/>
    <w:rsid w:val="2B3D25E4"/>
    <w:rsid w:val="33D44035"/>
    <w:rsid w:val="39A66CD4"/>
    <w:rsid w:val="3CD52CE1"/>
    <w:rsid w:val="410F2E6A"/>
    <w:rsid w:val="4430136C"/>
    <w:rsid w:val="4967562F"/>
    <w:rsid w:val="4AB0382B"/>
    <w:rsid w:val="52516D64"/>
    <w:rsid w:val="529D6E31"/>
    <w:rsid w:val="53B836E0"/>
    <w:rsid w:val="569868B5"/>
    <w:rsid w:val="5F3A45C6"/>
    <w:rsid w:val="611F6817"/>
    <w:rsid w:val="62F04295"/>
    <w:rsid w:val="66CA1754"/>
    <w:rsid w:val="6EB7E8F5"/>
    <w:rsid w:val="6F1E65D4"/>
    <w:rsid w:val="6F266C86"/>
    <w:rsid w:val="6F5042C2"/>
    <w:rsid w:val="74316312"/>
    <w:rsid w:val="780F13C8"/>
    <w:rsid w:val="7C385448"/>
    <w:rsid w:val="7CB3663D"/>
    <w:rsid w:val="D95FF37D"/>
    <w:rsid w:val="FEFD58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3"/>
    <w:qFormat/>
    <w:uiPriority w:val="99"/>
    <w:pPr>
      <w:widowControl w:val="0"/>
    </w:pPr>
    <w:rPr>
      <w:rFonts w:ascii="Times New Roman" w:hAnsi="Times New Roman" w:cs="Times New Roman"/>
      <w:kern w:val="2"/>
      <w:sz w:val="21"/>
    </w:rPr>
  </w:style>
  <w:style w:type="paragraph" w:styleId="4">
    <w:name w:val="Body Text Indent"/>
    <w:basedOn w:val="1"/>
    <w:link w:val="26"/>
    <w:qFormat/>
    <w:uiPriority w:val="0"/>
    <w:pPr>
      <w:spacing w:line="480" w:lineRule="exact"/>
      <w:ind w:firstLine="425"/>
    </w:pPr>
    <w:rPr>
      <w:rFonts w:ascii="Calibri" w:hAnsi="Calibri" w:cs="Times New Roman"/>
      <w:kern w:val="2"/>
      <w:sz w:val="21"/>
      <w:szCs w:val="20"/>
    </w:rPr>
  </w:style>
  <w:style w:type="paragraph" w:styleId="5">
    <w:name w:val="Balloon Text"/>
    <w:basedOn w:val="1"/>
    <w:link w:val="31"/>
    <w:semiHidden/>
    <w:uiPriority w:val="99"/>
    <w:rPr>
      <w:rFonts w:asciiTheme="minorHAnsi" w:hAnsiTheme="minorHAnsi" w:eastAsiaTheme="minorEastAsia" w:cstheme="minorBidi"/>
      <w:sz w:val="2"/>
      <w:szCs w:val="20"/>
    </w:rPr>
  </w:style>
  <w:style w:type="paragraph" w:styleId="6">
    <w:name w:val="footer"/>
    <w:basedOn w:val="1"/>
    <w:link w:val="15"/>
    <w:autoRedefine/>
    <w:unhideWhenUsed/>
    <w:qFormat/>
    <w:uiPriority w:val="0"/>
    <w:pPr>
      <w:tabs>
        <w:tab w:val="center" w:pos="4153"/>
        <w:tab w:val="right" w:pos="8306"/>
      </w:tabs>
      <w:snapToGrid w:val="0"/>
    </w:pPr>
    <w:rPr>
      <w:rFonts w:asciiTheme="minorHAnsi" w:hAnsiTheme="minorHAnsi" w:eastAsiaTheme="minorEastAsia" w:cstheme="minorBidi"/>
      <w:sz w:val="18"/>
      <w:szCs w:val="18"/>
    </w:rPr>
  </w:style>
  <w:style w:type="paragraph" w:styleId="7">
    <w:name w:val="header"/>
    <w:basedOn w:val="1"/>
    <w:link w:val="14"/>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Normal (Web)"/>
    <w:basedOn w:val="1"/>
    <w:unhideWhenUsed/>
    <w:qFormat/>
    <w:uiPriority w:val="0"/>
    <w:pPr>
      <w:spacing w:before="100" w:beforeAutospacing="1" w:after="100" w:afterAutospacing="1"/>
    </w:pPr>
  </w:style>
  <w:style w:type="table" w:styleId="10">
    <w:name w:val="Table Grid"/>
    <w:basedOn w:val="9"/>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bCs/>
    </w:rPr>
  </w:style>
  <w:style w:type="character" w:styleId="13">
    <w:name w:val="Emphasis"/>
    <w:qFormat/>
    <w:uiPriority w:val="0"/>
    <w:rPr>
      <w:color w:val="C60A00"/>
    </w:rPr>
  </w:style>
  <w:style w:type="character" w:customStyle="1" w:styleId="14">
    <w:name w:val="页眉 字符"/>
    <w:basedOn w:val="11"/>
    <w:link w:val="7"/>
    <w:semiHidden/>
    <w:qFormat/>
    <w:uiPriority w:val="99"/>
    <w:rPr>
      <w:sz w:val="18"/>
      <w:szCs w:val="18"/>
    </w:rPr>
  </w:style>
  <w:style w:type="character" w:customStyle="1" w:styleId="15">
    <w:name w:val="页脚 字符"/>
    <w:basedOn w:val="11"/>
    <w:link w:val="6"/>
    <w:autoRedefine/>
    <w:semiHidden/>
    <w:qFormat/>
    <w:uiPriority w:val="99"/>
    <w:rPr>
      <w:sz w:val="18"/>
      <w:szCs w:val="18"/>
    </w:rPr>
  </w:style>
  <w:style w:type="paragraph" w:customStyle="1" w:styleId="16">
    <w:name w:val="表格标题DG"/>
    <w:basedOn w:val="1"/>
    <w:qFormat/>
    <w:uiPriority w:val="0"/>
    <w:pPr>
      <w:snapToGrid w:val="0"/>
      <w:jc w:val="center"/>
    </w:pPr>
    <w:rPr>
      <w:rFonts w:ascii="Arial" w:hAnsi="Arial" w:eastAsia="黑体"/>
      <w:bCs/>
      <w:color w:val="000000"/>
      <w:sz w:val="21"/>
      <w:szCs w:val="20"/>
    </w:rPr>
  </w:style>
  <w:style w:type="paragraph" w:customStyle="1" w:styleId="17">
    <w:name w:val="表格正文DG"/>
    <w:basedOn w:val="1"/>
    <w:autoRedefine/>
    <w:qFormat/>
    <w:uiPriority w:val="0"/>
    <w:pPr>
      <w:jc w:val="center"/>
    </w:pPr>
    <w:rPr>
      <w:rFonts w:ascii="Times New Roman" w:hAnsi="Times New Roman"/>
      <w:color w:val="000000"/>
      <w:sz w:val="21"/>
      <w:szCs w:val="21"/>
    </w:rPr>
  </w:style>
  <w:style w:type="paragraph" w:styleId="18">
    <w:name w:val="List Paragraph"/>
    <w:basedOn w:val="1"/>
    <w:unhideWhenUsed/>
    <w:qFormat/>
    <w:uiPriority w:val="99"/>
    <w:pPr>
      <w:ind w:firstLine="420" w:firstLineChars="200"/>
    </w:pPr>
  </w:style>
  <w:style w:type="paragraph" w:customStyle="1" w:styleId="19">
    <w:name w:val="一级标题DG"/>
    <w:basedOn w:val="1"/>
    <w:qFormat/>
    <w:uiPriority w:val="0"/>
    <w:pPr>
      <w:spacing w:line="480" w:lineRule="auto"/>
      <w:outlineLvl w:val="0"/>
    </w:pPr>
    <w:rPr>
      <w:rFonts w:ascii="Arial" w:hAnsi="Arial" w:eastAsia="黑体"/>
      <w:sz w:val="28"/>
    </w:rPr>
  </w:style>
  <w:style w:type="paragraph" w:customStyle="1" w:styleId="20">
    <w:name w:val="二级标题DG"/>
    <w:basedOn w:val="8"/>
    <w:autoRedefine/>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21">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22">
    <w:name w:val="标题 1 字符"/>
    <w:basedOn w:val="11"/>
    <w:link w:val="2"/>
    <w:autoRedefine/>
    <w:qFormat/>
    <w:uiPriority w:val="9"/>
    <w:rPr>
      <w:rFonts w:ascii="Calibri" w:hAnsi="Calibri" w:eastAsia="宋体" w:cs="Times New Roman"/>
      <w:b/>
      <w:bCs/>
      <w:kern w:val="44"/>
      <w:sz w:val="44"/>
      <w:szCs w:val="44"/>
    </w:rPr>
  </w:style>
  <w:style w:type="character" w:customStyle="1" w:styleId="23">
    <w:name w:val="批注文字 字符"/>
    <w:basedOn w:val="11"/>
    <w:link w:val="3"/>
    <w:qFormat/>
    <w:uiPriority w:val="99"/>
    <w:rPr>
      <w:rFonts w:ascii="Times New Roman" w:hAnsi="Times New Roman" w:eastAsia="宋体" w:cs="Times New Roman"/>
      <w:kern w:val="2"/>
      <w:sz w:val="21"/>
      <w:szCs w:val="24"/>
    </w:rPr>
  </w:style>
  <w:style w:type="character" w:customStyle="1" w:styleId="24">
    <w:name w:val="editor-text-node"/>
    <w:basedOn w:val="11"/>
    <w:qFormat/>
    <w:uiPriority w:val="0"/>
  </w:style>
  <w:style w:type="character" w:styleId="25">
    <w:name w:val="Placeholder Text"/>
    <w:basedOn w:val="11"/>
    <w:unhideWhenUsed/>
    <w:qFormat/>
    <w:uiPriority w:val="99"/>
    <w:rPr>
      <w:color w:val="808080"/>
    </w:rPr>
  </w:style>
  <w:style w:type="character" w:customStyle="1" w:styleId="26">
    <w:name w:val="正文文本缩进 字符1"/>
    <w:link w:val="4"/>
    <w:qFormat/>
    <w:locked/>
    <w:uiPriority w:val="0"/>
    <w:rPr>
      <w:rFonts w:ascii="Calibri" w:hAnsi="Calibri" w:eastAsia="宋体" w:cs="Times New Roman"/>
      <w:kern w:val="2"/>
      <w:sz w:val="21"/>
    </w:rPr>
  </w:style>
  <w:style w:type="character" w:customStyle="1" w:styleId="27">
    <w:name w:val="正文文本缩进 字符"/>
    <w:basedOn w:val="11"/>
    <w:autoRedefine/>
    <w:semiHidden/>
    <w:qFormat/>
    <w:uiPriority w:val="0"/>
    <w:rPr>
      <w:rFonts w:ascii="宋体" w:hAnsi="宋体" w:eastAsia="宋体" w:cs="宋体"/>
      <w:sz w:val="24"/>
      <w:szCs w:val="24"/>
    </w:rPr>
  </w:style>
  <w:style w:type="character" w:customStyle="1" w:styleId="28">
    <w:name w:val="页眉 Char"/>
    <w:autoRedefine/>
    <w:qFormat/>
    <w:locked/>
    <w:uiPriority w:val="0"/>
    <w:rPr>
      <w:sz w:val="18"/>
    </w:rPr>
  </w:style>
  <w:style w:type="character" w:customStyle="1" w:styleId="29">
    <w:name w:val="页脚 Char"/>
    <w:qFormat/>
    <w:locked/>
    <w:uiPriority w:val="0"/>
    <w:rPr>
      <w:sz w:val="18"/>
    </w:rPr>
  </w:style>
  <w:style w:type="character" w:customStyle="1" w:styleId="30">
    <w:name w:val="正文文本缩进 Char"/>
    <w:qFormat/>
    <w:locked/>
    <w:uiPriority w:val="0"/>
    <w:rPr>
      <w:kern w:val="2"/>
      <w:sz w:val="21"/>
    </w:rPr>
  </w:style>
  <w:style w:type="character" w:customStyle="1" w:styleId="31">
    <w:name w:val="批注框文本 字符1"/>
    <w:link w:val="5"/>
    <w:semiHidden/>
    <w:qFormat/>
    <w:locked/>
    <w:uiPriority w:val="0"/>
    <w:rPr>
      <w:sz w:val="2"/>
    </w:rPr>
  </w:style>
  <w:style w:type="paragraph" w:customStyle="1" w:styleId="32">
    <w:name w:val="样式1"/>
    <w:basedOn w:val="1"/>
    <w:autoRedefine/>
    <w:qFormat/>
    <w:uiPriority w:val="0"/>
    <w:rPr>
      <w:rFonts w:ascii="Times New Roman" w:hAnsi="Times New Roman" w:cs="Times New Roman"/>
      <w:sz w:val="20"/>
      <w:szCs w:val="20"/>
    </w:rPr>
  </w:style>
  <w:style w:type="character" w:customStyle="1" w:styleId="33">
    <w:name w:val="批注框文本 字符"/>
    <w:basedOn w:val="11"/>
    <w:autoRedefine/>
    <w:semiHidden/>
    <w:qFormat/>
    <w:uiPriority w:val="99"/>
    <w:rPr>
      <w:rFonts w:ascii="宋体" w:hAnsi="宋体" w:eastAsia="宋体" w:cs="宋体"/>
      <w:sz w:val="18"/>
      <w:szCs w:val="18"/>
    </w:rPr>
  </w:style>
  <w:style w:type="paragraph" w:customStyle="1" w:styleId="34">
    <w:name w:val="Revision"/>
    <w:autoRedefine/>
    <w:hidden/>
    <w:unhideWhenUsed/>
    <w:qFormat/>
    <w:uiPriority w:val="99"/>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3470</Words>
  <Characters>3603</Characters>
  <Lines>43</Lines>
  <Paragraphs>12</Paragraphs>
  <TotalTime>0</TotalTime>
  <ScaleCrop>false</ScaleCrop>
  <LinksUpToDate>false</LinksUpToDate>
  <CharactersWithSpaces>3609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2023-11-22T10:39:00Z</dcterms:created>
  <dc:creator>juvg</dc:creator>
  <cp:lastModifiedBy>归晚.</cp:lastModifiedBy>
  <cp:lastPrinted>2025-02-23T10:18:00Z</cp:lastPrinted>
  <dcterms:modified xsi:type="dcterms:W3CDTF">2025-03-25T01:16:53Z</dcterms:modified>
  <cp:revision>138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146360E1A91E32F668D0C265CAE34ECA_43</vt:lpwstr>
  </property>
  <property fmtid="{D5CDD505-2E9C-101B-9397-08002B2CF9AE}" pid="4" name="KSOTemplateDocerSaveRecord">
    <vt:lpwstr>eyJoZGlkIjoiOGYyZTQwNzY0YmUwZjVjNTE5NzMzOGJiOTgwZmM0NTEiLCJ1c2VySWQiOiI1NTQ0NjQ5MzAifQ==</vt:lpwstr>
  </property>
</Properties>
</file>