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eastAsia="方正小标宋简体"/>
          <w:bCs/>
          <w:kern w:val="0"/>
          <w:sz w:val="40"/>
          <w:szCs w:val="40"/>
        </w:rPr>
      </w:pPr>
      <w:r>
        <w:pict>
          <v:shape id="_x0000_s2050"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【病人安全护理学】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color w:val="000000" w:themeColor="text1"/>
          <w:sz w:val="28"/>
          <w:szCs w:val="30"/>
        </w:rPr>
        <w:t>Patient  Safety</w:t>
      </w:r>
      <w:r>
        <w:rPr>
          <w:rFonts w:hint="eastAsia"/>
          <w:b/>
          <w:color w:val="000000" w:themeColor="text1"/>
          <w:sz w:val="28"/>
          <w:szCs w:val="30"/>
        </w:rPr>
        <w:t xml:space="preserve"> </w:t>
      </w:r>
      <w:r>
        <w:rPr>
          <w:rFonts w:hint="eastAsia"/>
          <w:color w:val="FF0000"/>
          <w:sz w:val="28"/>
          <w:szCs w:val="28"/>
        </w:rPr>
        <w:t xml:space="preserve"> </w:t>
      </w:r>
      <w:bookmarkStart w:id="0" w:name="a2"/>
      <w:bookmarkEnd w:id="0"/>
      <w:r>
        <w:rPr>
          <w:b/>
          <w:color w:val="000000" w:themeColor="text1"/>
          <w:sz w:val="28"/>
          <w:szCs w:val="30"/>
        </w:rPr>
        <w:t>Nursing</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【1170022】</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w:t>
      </w:r>
      <w:r>
        <w:rPr>
          <w:rFonts w:hint="eastAsia"/>
          <w:color w:val="000000"/>
          <w:sz w:val="20"/>
          <w:szCs w:val="20"/>
          <w:lang w:val="en-US" w:eastAsia="zh-CN"/>
        </w:rPr>
        <w:t>专业</w:t>
      </w:r>
      <w:r>
        <w:rPr>
          <w:rFonts w:hint="eastAsia"/>
          <w:color w:val="000000"/>
          <w:sz w:val="20"/>
          <w:szCs w:val="20"/>
        </w:rPr>
        <w:t>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健康管理学院护理系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rPr>
        <w:t>《病人安全护理学》，黄美萍、李云芳，人民卫生出版社，2019第1版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firstLine="792" w:firstLineChars="396"/>
        <w:rPr>
          <w:color w:val="000000"/>
          <w:sz w:val="20"/>
          <w:szCs w:val="20"/>
        </w:rPr>
      </w:pPr>
      <w:r>
        <w:rPr>
          <w:color w:val="000000"/>
          <w:sz w:val="20"/>
          <w:szCs w:val="20"/>
        </w:rPr>
        <w:t>【</w:t>
      </w:r>
      <w:r>
        <w:rPr>
          <w:rFonts w:hint="eastAsia"/>
          <w:color w:val="000000"/>
          <w:sz w:val="20"/>
          <w:szCs w:val="20"/>
        </w:rPr>
        <w:t>1.《患者安全教程指南》，多学科综合版，世界卫生组织，2012</w:t>
      </w:r>
      <w:r>
        <w:rPr>
          <w:color w:val="000000"/>
          <w:sz w:val="20"/>
          <w:szCs w:val="20"/>
        </w:rPr>
        <w:t>】</w:t>
      </w:r>
    </w:p>
    <w:p>
      <w:pPr>
        <w:snapToGrid w:val="0"/>
        <w:spacing w:line="288" w:lineRule="auto"/>
        <w:ind w:firstLine="800" w:firstLineChars="400"/>
        <w:rPr>
          <w:color w:val="000000"/>
          <w:sz w:val="20"/>
          <w:szCs w:val="20"/>
        </w:rPr>
      </w:pPr>
      <w:r>
        <w:rPr>
          <w:color w:val="000000"/>
          <w:sz w:val="20"/>
          <w:szCs w:val="20"/>
        </w:rPr>
        <w:t>【</w:t>
      </w:r>
      <w:r>
        <w:rPr>
          <w:rFonts w:hint="eastAsia"/>
          <w:color w:val="000000"/>
          <w:sz w:val="20"/>
          <w:szCs w:val="20"/>
        </w:rPr>
        <w:t>2.《护理管理学》，吴欣娟、王艳梅，人民卫生出版社，2017第4版】</w:t>
      </w:r>
    </w:p>
    <w:p>
      <w:pPr>
        <w:snapToGrid w:val="0"/>
        <w:spacing w:line="288" w:lineRule="auto"/>
        <w:ind w:firstLine="800" w:firstLineChars="400"/>
        <w:rPr>
          <w:color w:val="000000"/>
          <w:sz w:val="20"/>
          <w:szCs w:val="20"/>
        </w:rPr>
      </w:pPr>
      <w:r>
        <w:rPr>
          <w:color w:val="000000"/>
          <w:sz w:val="20"/>
          <w:szCs w:val="20"/>
        </w:rPr>
        <w:t>【3.</w:t>
      </w:r>
      <w:r>
        <w:rPr>
          <w:rFonts w:hint="eastAsia"/>
          <w:color w:val="000000"/>
          <w:sz w:val="20"/>
          <w:szCs w:val="20"/>
        </w:rPr>
        <w:t>《安全护理手册》，徐得保、马玉芬，湖南科学技术出版社，2017年1</w:t>
      </w:r>
      <w:r>
        <w:rPr>
          <w:color w:val="000000"/>
          <w:sz w:val="20"/>
          <w:szCs w:val="20"/>
        </w:rPr>
        <w:t>0</w:t>
      </w:r>
      <w:r>
        <w:rPr>
          <w:rFonts w:hint="eastAsia"/>
          <w:color w:val="000000"/>
          <w:sz w:val="20"/>
          <w:szCs w:val="20"/>
        </w:rPr>
        <w:t>月</w:t>
      </w:r>
      <w:r>
        <w:rPr>
          <w:color w:val="000000"/>
          <w:sz w:val="20"/>
          <w:szCs w:val="20"/>
        </w:rPr>
        <w:t>】</w:t>
      </w:r>
    </w:p>
    <w:p>
      <w:pPr>
        <w:snapToGrid w:val="0"/>
        <w:spacing w:line="288" w:lineRule="auto"/>
        <w:ind w:firstLine="800" w:firstLineChars="400"/>
        <w:rPr>
          <w:color w:val="000000"/>
          <w:sz w:val="20"/>
          <w:szCs w:val="20"/>
        </w:rPr>
      </w:pPr>
      <w:r>
        <w:rPr>
          <w:color w:val="000000"/>
          <w:sz w:val="20"/>
          <w:szCs w:val="20"/>
        </w:rPr>
        <w:t>【4.</w:t>
      </w:r>
      <w:r>
        <w:rPr>
          <w:rFonts w:hint="eastAsia"/>
          <w:color w:val="000000"/>
          <w:sz w:val="20"/>
          <w:szCs w:val="20"/>
        </w:rPr>
        <w:t>《内科护理学》，尤黎明、吴瑛，人民卫生出版社，2017第6版</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w:t>
      </w:r>
      <w:r>
        <w:rPr>
          <w:rFonts w:hint="eastAsia"/>
          <w:color w:val="000000"/>
          <w:sz w:val="20"/>
          <w:szCs w:val="20"/>
        </w:rPr>
        <w:t>人体解剖学</w:t>
      </w:r>
      <w:r>
        <w:rPr>
          <w:rFonts w:hint="eastAsia"/>
          <w:b/>
          <w:bCs/>
          <w:color w:val="000000"/>
          <w:sz w:val="20"/>
          <w:szCs w:val="20"/>
        </w:rPr>
        <w:t>》</w:t>
      </w:r>
      <w:r>
        <w:rPr>
          <w:rFonts w:hint="eastAsia"/>
          <w:color w:val="000000"/>
          <w:sz w:val="20"/>
          <w:szCs w:val="20"/>
        </w:rPr>
        <w:t>2</w:t>
      </w:r>
      <w:r>
        <w:rPr>
          <w:color w:val="000000"/>
          <w:sz w:val="20"/>
          <w:szCs w:val="20"/>
        </w:rPr>
        <w:t>070001</w:t>
      </w:r>
      <w:r>
        <w:rPr>
          <w:rFonts w:hint="eastAsia"/>
          <w:color w:val="000000"/>
          <w:sz w:val="20"/>
          <w:szCs w:val="20"/>
        </w:rPr>
        <w:t>（6）；《护士人文修养》2</w:t>
      </w:r>
      <w:r>
        <w:rPr>
          <w:color w:val="000000"/>
          <w:sz w:val="20"/>
          <w:szCs w:val="20"/>
        </w:rPr>
        <w:t>0070016</w:t>
      </w:r>
      <w:r>
        <w:rPr>
          <w:rFonts w:hint="eastAsia"/>
          <w:color w:val="000000"/>
          <w:sz w:val="20"/>
          <w:szCs w:val="20"/>
        </w:rPr>
        <w:t>（2）；《基础护理学1、2；》《内科护理学》；《外科护理学》；《妇产科护理学》；《儿科护理学》；》《护理管理学》</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792" w:firstLineChars="396"/>
        <w:rPr>
          <w:color w:val="000000"/>
          <w:sz w:val="20"/>
          <w:szCs w:val="20"/>
        </w:rPr>
      </w:pPr>
      <w:r>
        <w:rPr>
          <w:rFonts w:hint="eastAsia"/>
          <w:color w:val="000000"/>
          <w:sz w:val="20"/>
          <w:szCs w:val="20"/>
        </w:rPr>
        <w:t>《病人安全护理学》是护理学专业的专业选修课，病人安全教育作为一门新兴学科，是高等医药院校创新课程，是2</w:t>
      </w:r>
      <w:r>
        <w:rPr>
          <w:color w:val="000000"/>
          <w:sz w:val="20"/>
          <w:szCs w:val="20"/>
        </w:rPr>
        <w:t>1</w:t>
      </w:r>
      <w:r>
        <w:rPr>
          <w:rFonts w:hint="eastAsia"/>
          <w:color w:val="000000"/>
          <w:sz w:val="20"/>
          <w:szCs w:val="20"/>
        </w:rPr>
        <w:t>世纪医学教育的重要内容之一。安全护理既是现代护理的重要内涵，也是中华人民共和国卫健委关于医疗护理服务过程中“质量、安全、效益”的组成部分，而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践和未来的从业过程中自觉执行安全的医疗护理行为规范和程序，为服务对象提供优质的健康服务，防止和减少伤害病人的事件发生。</w:t>
      </w:r>
    </w:p>
    <w:p>
      <w:pPr>
        <w:adjustRightInd w:val="0"/>
        <w:snapToGrid w:val="0"/>
        <w:spacing w:before="156" w:beforeLines="50" w:after="156" w:afterLines="50" w:line="288" w:lineRule="auto"/>
        <w:ind w:firstLine="348" w:firstLineChars="145"/>
        <w:rPr>
          <w:rFonts w:ascii="黑体" w:hAnsi="宋体" w:eastAsia="黑体"/>
          <w:sz w:val="24"/>
        </w:rPr>
      </w:pPr>
      <w:r>
        <w:rPr>
          <w:rFonts w:hint="eastAsia" w:ascii="黑体" w:hAnsi="宋体" w:eastAsia="黑体"/>
          <w:sz w:val="24"/>
        </w:rPr>
        <w:t>三、选课建议</w:t>
      </w:r>
    </w:p>
    <w:p>
      <w:pPr>
        <w:snapToGrid w:val="0"/>
        <w:spacing w:line="288" w:lineRule="auto"/>
        <w:ind w:firstLine="792" w:firstLineChars="396"/>
        <w:rPr>
          <w:color w:val="000000"/>
          <w:sz w:val="20"/>
          <w:szCs w:val="20"/>
          <w:highlight w:val="yellow"/>
        </w:rPr>
      </w:pPr>
      <w:r>
        <w:rPr>
          <w:rFonts w:hint="eastAsia"/>
          <w:color w:val="000000"/>
          <w:sz w:val="20"/>
          <w:szCs w:val="20"/>
          <w:highlight w:val="yellow"/>
        </w:rPr>
        <w:t>适用于护理学</w:t>
      </w:r>
      <w:r>
        <w:rPr>
          <w:rFonts w:hint="eastAsia"/>
          <w:color w:val="000000"/>
          <w:sz w:val="20"/>
          <w:szCs w:val="20"/>
          <w:highlight w:val="yellow"/>
          <w:lang w:val="en-US" w:eastAsia="zh-Hans"/>
        </w:rPr>
        <w:t>专升本年级</w:t>
      </w:r>
      <w:r>
        <w:rPr>
          <w:rFonts w:hint="eastAsia"/>
          <w:color w:val="000000"/>
          <w:sz w:val="20"/>
          <w:szCs w:val="20"/>
          <w:highlight w:val="yellow"/>
        </w:rPr>
        <w:t>，开设于第2学期选修课，为今后的专业知识学习提供解决问题的方向和思路。</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w:t>
            </w:r>
            <w:r>
              <w:rPr>
                <w:rFonts w:ascii="宋体" w:hAnsi="宋体" w:cs="宋体"/>
                <w:color w:val="000000"/>
                <w:sz w:val="20"/>
                <w:szCs w:val="20"/>
              </w:rPr>
              <w:t>011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r>
        <w:rPr>
          <w:rFonts w:hint="eastAsia"/>
        </w:rPr>
        <w:t>备注：LO=</w:t>
      </w:r>
      <w:r>
        <w:t>learning outcomes</w:t>
      </w:r>
      <w:r>
        <w:rPr>
          <w:rFonts w:hint="eastAsia"/>
        </w:rPr>
        <w:t>（学习成果）</w:t>
      </w:r>
    </w:p>
    <w:p/>
    <w:p>
      <w:pPr>
        <w:spacing w:line="360" w:lineRule="auto"/>
        <w:ind w:firstLine="600" w:firstLineChars="250"/>
        <w:rPr>
          <w:rFonts w:eastAsia="黑体"/>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hAnsi="宋体" w:cs="宋体"/>
                <w:color w:val="000000"/>
                <w:kern w:val="0"/>
                <w:sz w:val="20"/>
                <w:szCs w:val="20"/>
              </w:rPr>
            </w:pPr>
            <w:r>
              <w:rPr>
                <w:rFonts w:hint="eastAsia" w:ascii="宋体" w:hAnsi="宋体"/>
                <w:color w:val="000000"/>
                <w:sz w:val="20"/>
                <w:szCs w:val="20"/>
              </w:rPr>
              <w:t>表达沟通</w:t>
            </w:r>
          </w:p>
        </w:tc>
        <w:tc>
          <w:tcPr>
            <w:tcW w:w="2535" w:type="dxa"/>
            <w:vAlign w:val="center"/>
          </w:tcPr>
          <w:p>
            <w:pPr>
              <w:rPr>
                <w:rFonts w:ascii="宋体" w:hAnsi="宋体" w:cs="宋体"/>
                <w:color w:val="000000"/>
                <w:kern w:val="0"/>
                <w:sz w:val="20"/>
                <w:szCs w:val="20"/>
              </w:rPr>
            </w:pPr>
            <w:r>
              <w:rPr>
                <w:rFonts w:hint="eastAsia" w:ascii="宋体" w:hAnsi="宋体" w:cs="宋体"/>
                <w:color w:val="000000"/>
                <w:sz w:val="20"/>
                <w:szCs w:val="20"/>
              </w:rPr>
              <w:t>具有在护理专业实践中有效沟通与合作的能力。</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小组汇报与展示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w:t>
            </w:r>
            <w:r>
              <w:rPr>
                <w:rFonts w:ascii="宋体" w:hAnsi="宋体" w:cs="宋体"/>
                <w:color w:val="000000"/>
                <w:kern w:val="0"/>
                <w:sz w:val="20"/>
                <w:szCs w:val="20"/>
              </w:rPr>
              <w:t>031</w:t>
            </w:r>
          </w:p>
          <w:p>
            <w:pPr>
              <w:jc w:val="center"/>
              <w:rPr>
                <w:rFonts w:ascii="宋体" w:hAnsi="宋体" w:cs="宋体"/>
                <w:color w:val="000000"/>
                <w:kern w:val="0"/>
                <w:sz w:val="20"/>
                <w:szCs w:val="20"/>
              </w:rPr>
            </w:pPr>
            <w:r>
              <w:rPr>
                <w:rFonts w:hint="eastAsia" w:ascii="宋体" w:hAnsi="宋体" w:cs="宋体"/>
                <w:color w:val="000000"/>
                <w:kern w:val="0"/>
                <w:sz w:val="20"/>
                <w:szCs w:val="20"/>
              </w:rPr>
              <w:t>专业基础能力</w:t>
            </w:r>
          </w:p>
        </w:tc>
        <w:tc>
          <w:tcPr>
            <w:tcW w:w="2535" w:type="dxa"/>
            <w:vAlign w:val="center"/>
          </w:tcPr>
          <w:p>
            <w:pPr>
              <w:rPr>
                <w:rFonts w:ascii="宋体" w:hAnsi="宋体"/>
                <w:sz w:val="20"/>
                <w:szCs w:val="20"/>
              </w:rPr>
            </w:pPr>
            <w:r>
              <w:rPr>
                <w:rFonts w:hint="eastAsia" w:ascii="宋体" w:hAnsi="宋体"/>
                <w:sz w:val="20"/>
                <w:szCs w:val="20"/>
              </w:rPr>
              <w:t xml:space="preserve">能说出医疗安全、医疗安全管理、护理安全、护理安全管理、护理风险的概念；解释护理风险产生的原因及护理风险控制的主要措施。 </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课程思政</w:t>
            </w:r>
          </w:p>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课堂提问</w:t>
            </w:r>
          </w:p>
          <w:p>
            <w:pP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restart"/>
            <w:vAlign w:val="center"/>
          </w:tcPr>
          <w:p>
            <w:pPr>
              <w:rPr>
                <w:rFonts w:ascii="宋体" w:hAnsi="宋体" w:cs="宋体"/>
                <w:color w:val="000000"/>
                <w:kern w:val="0"/>
                <w:sz w:val="20"/>
                <w:szCs w:val="20"/>
              </w:rPr>
            </w:pPr>
            <w:r>
              <w:rPr>
                <w:rFonts w:ascii="宋体" w:hAnsi="宋体" w:cs="宋体"/>
                <w:color w:val="000000"/>
                <w:kern w:val="0"/>
                <w:sz w:val="20"/>
                <w:szCs w:val="20"/>
              </w:rPr>
              <w:t>3</w:t>
            </w:r>
          </w:p>
        </w:tc>
        <w:tc>
          <w:tcPr>
            <w:tcW w:w="1137"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LO41</w:t>
            </w:r>
          </w:p>
          <w:p>
            <w:pPr>
              <w:jc w:val="center"/>
              <w:rPr>
                <w:rFonts w:ascii="宋体" w:hAnsi="宋体" w:cs="宋体"/>
                <w:color w:val="000000"/>
                <w:kern w:val="0"/>
                <w:sz w:val="20"/>
                <w:szCs w:val="20"/>
              </w:rPr>
            </w:pPr>
            <w:r>
              <w:rPr>
                <w:rFonts w:ascii="宋体" w:hAnsi="宋体" w:cs="宋体"/>
                <w:color w:val="000000"/>
                <w:kern w:val="0"/>
                <w:sz w:val="20"/>
                <w:szCs w:val="20"/>
              </w:rPr>
              <w:t>尽责抗压</w:t>
            </w:r>
          </w:p>
        </w:tc>
        <w:tc>
          <w:tcPr>
            <w:tcW w:w="2535" w:type="dxa"/>
            <w:vAlign w:val="center"/>
          </w:tcPr>
          <w:p>
            <w:pPr>
              <w:rPr>
                <w:rFonts w:ascii="宋体" w:hAnsi="宋体" w:cs="宋体"/>
                <w:color w:val="000000"/>
                <w:kern w:val="0"/>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遵守校纪、校规，具备法律意识。具有保护服务对象和自身权益不受侵害的意识和能力。</w:t>
            </w:r>
          </w:p>
        </w:tc>
        <w:tc>
          <w:tcPr>
            <w:tcW w:w="225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课程思政</w:t>
            </w:r>
          </w:p>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r>
              <w:rPr>
                <w:rFonts w:hint="eastAsia" w:ascii="宋体" w:hAnsi="宋体" w:cs="宋体"/>
                <w:color w:val="000000"/>
                <w:kern w:val="0"/>
                <w:sz w:val="20"/>
                <w:szCs w:val="20"/>
              </w:rPr>
              <w:t>情景演示</w:t>
            </w:r>
          </w:p>
        </w:tc>
        <w:tc>
          <w:tcPr>
            <w:tcW w:w="1310"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平时表现</w:t>
            </w:r>
          </w:p>
          <w:p>
            <w:pPr>
              <w:rPr>
                <w:rFonts w:ascii="宋体" w:hAnsi="宋体" w:cs="宋体"/>
                <w:color w:val="000000"/>
                <w:kern w:val="0"/>
                <w:sz w:val="20"/>
                <w:szCs w:val="20"/>
              </w:rPr>
            </w:pPr>
            <w:r>
              <w:rPr>
                <w:rFonts w:hint="eastAsia" w:ascii="宋体" w:hAnsi="宋体" w:cs="宋体"/>
                <w:color w:val="000000"/>
                <w:kern w:val="0"/>
                <w:sz w:val="20"/>
                <w:szCs w:val="20"/>
              </w:rPr>
              <w:t>小组项目汇报与展示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jc w:val="center"/>
              <w:rPr>
                <w:rFonts w:ascii="宋体" w:hAnsi="宋体" w:cs="宋体"/>
                <w:color w:val="000000"/>
                <w:kern w:val="0"/>
                <w:sz w:val="20"/>
                <w:szCs w:val="20"/>
              </w:rPr>
            </w:pPr>
          </w:p>
        </w:tc>
        <w:tc>
          <w:tcPr>
            <w:tcW w:w="2535" w:type="dxa"/>
            <w:vAlign w:val="center"/>
          </w:tcPr>
          <w:p>
            <w:pPr>
              <w:rPr>
                <w:rFonts w:ascii="宋体" w:hAnsi="宋体"/>
                <w:sz w:val="20"/>
                <w:szCs w:val="20"/>
              </w:rPr>
            </w:pPr>
            <w:r>
              <w:rPr>
                <w:rFonts w:ascii="宋体" w:hAnsi="宋体"/>
                <w:sz w:val="20"/>
                <w:szCs w:val="20"/>
              </w:rPr>
              <w:t>2.</w:t>
            </w:r>
            <w:r>
              <w:rPr>
                <w:rFonts w:hint="eastAsia" w:ascii="宋体" w:hAnsi="宋体"/>
                <w:sz w:val="20"/>
                <w:szCs w:val="20"/>
              </w:rPr>
              <w:t>为人诚实，信守承诺，尽职尽责。</w:t>
            </w:r>
          </w:p>
        </w:tc>
        <w:tc>
          <w:tcPr>
            <w:tcW w:w="2259" w:type="dxa"/>
            <w:vMerge w:val="continue"/>
            <w:vAlign w:val="center"/>
          </w:tcPr>
          <w:p>
            <w:pPr>
              <w:rPr>
                <w:rFonts w:ascii="宋体" w:hAnsi="宋体" w:cs="宋体"/>
                <w:color w:val="000000"/>
                <w:kern w:val="0"/>
                <w:sz w:val="20"/>
                <w:szCs w:val="20"/>
              </w:rPr>
            </w:pPr>
          </w:p>
        </w:tc>
        <w:tc>
          <w:tcPr>
            <w:tcW w:w="1310" w:type="dxa"/>
            <w:vMerge w:val="continue"/>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jc w:val="center"/>
              <w:rPr>
                <w:rFonts w:ascii="宋体" w:hAnsi="宋体" w:cs="宋体"/>
                <w:color w:val="000000"/>
                <w:kern w:val="0"/>
                <w:sz w:val="20"/>
                <w:szCs w:val="20"/>
              </w:rPr>
            </w:pP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能说出医院感染的主要防控方法；能正确使用和处理锐器；在预期发生血液体液暴露时，能采取标准防护措施；能正确处理锐器伤</w:t>
            </w:r>
          </w:p>
        </w:tc>
        <w:tc>
          <w:tcPr>
            <w:tcW w:w="2259" w:type="dxa"/>
            <w:vMerge w:val="continue"/>
            <w:vAlign w:val="center"/>
          </w:tcPr>
          <w:p>
            <w:pPr>
              <w:rPr>
                <w:rFonts w:ascii="宋体" w:hAnsi="宋体" w:cs="宋体"/>
                <w:color w:val="000000"/>
                <w:kern w:val="0"/>
                <w:sz w:val="20"/>
                <w:szCs w:val="20"/>
              </w:rPr>
            </w:pPr>
          </w:p>
        </w:tc>
        <w:tc>
          <w:tcPr>
            <w:tcW w:w="1310" w:type="dxa"/>
            <w:vMerge w:val="continue"/>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19" w:type="dxa"/>
            <w:vMerge w:val="restart"/>
            <w:vAlign w:val="center"/>
          </w:tcPr>
          <w:p>
            <w:pPr>
              <w:rPr>
                <w:rFonts w:ascii="宋体" w:hAnsi="宋体" w:cs="宋体"/>
                <w:color w:val="000000"/>
                <w:kern w:val="0"/>
                <w:sz w:val="20"/>
                <w:szCs w:val="20"/>
              </w:rPr>
            </w:pPr>
            <w:r>
              <w:rPr>
                <w:rFonts w:ascii="宋体" w:hAnsi="宋体" w:cs="宋体"/>
                <w:color w:val="000000"/>
                <w:kern w:val="0"/>
                <w:sz w:val="20"/>
                <w:szCs w:val="20"/>
              </w:rPr>
              <w:t>4</w:t>
            </w:r>
          </w:p>
        </w:tc>
        <w:tc>
          <w:tcPr>
            <w:tcW w:w="113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1.能利用团队的力量，共同应对学习中的各种挑战。</w:t>
            </w:r>
          </w:p>
        </w:tc>
        <w:tc>
          <w:tcPr>
            <w:tcW w:w="225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p>
          <w:p>
            <w:pPr>
              <w:rPr>
                <w:rFonts w:ascii="宋体" w:hAnsi="宋体" w:cs="宋体"/>
                <w:color w:val="000000"/>
                <w:kern w:val="0"/>
                <w:sz w:val="20"/>
                <w:szCs w:val="20"/>
              </w:rPr>
            </w:pPr>
          </w:p>
        </w:tc>
        <w:tc>
          <w:tcPr>
            <w:tcW w:w="1310"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小组项目汇报</w:t>
            </w:r>
          </w:p>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sz w:val="20"/>
                <w:szCs w:val="20"/>
              </w:rPr>
              <w:t>2.能密切结合临床护理实践，在实际工作中合理运用临床思维、评判性思维和创新性思维。</w:t>
            </w:r>
          </w:p>
        </w:tc>
        <w:tc>
          <w:tcPr>
            <w:tcW w:w="2259" w:type="dxa"/>
            <w:vMerge w:val="continue"/>
            <w:vAlign w:val="center"/>
          </w:tcPr>
          <w:p>
            <w:pPr>
              <w:rPr>
                <w:rFonts w:ascii="宋体" w:hAnsi="宋体" w:cs="宋体"/>
                <w:color w:val="000000"/>
                <w:kern w:val="0"/>
                <w:sz w:val="20"/>
                <w:szCs w:val="20"/>
              </w:rPr>
            </w:pPr>
          </w:p>
        </w:tc>
        <w:tc>
          <w:tcPr>
            <w:tcW w:w="1310" w:type="dxa"/>
            <w:vMerge w:val="continue"/>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Align w:val="center"/>
          </w:tcPr>
          <w:p>
            <w:pPr>
              <w:rPr>
                <w:rFonts w:ascii="宋体" w:hAnsi="宋体" w:cs="宋体"/>
                <w:color w:val="000000"/>
                <w:kern w:val="0"/>
                <w:sz w:val="20"/>
                <w:szCs w:val="20"/>
              </w:rPr>
            </w:pPr>
            <w:r>
              <w:rPr>
                <w:rFonts w:ascii="宋体" w:hAnsi="宋体" w:cs="宋体"/>
                <w:color w:val="000000"/>
                <w:kern w:val="0"/>
                <w:sz w:val="20"/>
                <w:szCs w:val="20"/>
              </w:rPr>
              <w:t>5</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LO71</w:t>
            </w:r>
          </w:p>
          <w:p>
            <w:pPr>
              <w:jc w:val="left"/>
              <w:rPr>
                <w:rFonts w:ascii="宋体" w:hAnsi="宋体" w:cs="宋体"/>
                <w:color w:val="000000"/>
                <w:kern w:val="0"/>
                <w:sz w:val="20"/>
                <w:szCs w:val="20"/>
              </w:rPr>
            </w:pPr>
            <w:r>
              <w:rPr>
                <w:rFonts w:ascii="宋体" w:hAnsi="宋体" w:cs="宋体"/>
                <w:color w:val="000000"/>
                <w:kern w:val="0"/>
                <w:sz w:val="20"/>
                <w:szCs w:val="20"/>
              </w:rPr>
              <w:t>服务关爱</w:t>
            </w:r>
          </w:p>
          <w:p>
            <w:pPr>
              <w:rPr>
                <w:rFonts w:ascii="宋体" w:hAnsi="宋体" w:cs="宋体"/>
                <w:color w:val="000000"/>
                <w:kern w:val="0"/>
                <w:sz w:val="20"/>
                <w:szCs w:val="20"/>
              </w:rPr>
            </w:pPr>
          </w:p>
        </w:tc>
        <w:tc>
          <w:tcPr>
            <w:tcW w:w="2535" w:type="dxa"/>
            <w:vAlign w:val="center"/>
          </w:tcPr>
          <w:p>
            <w:pPr>
              <w:rPr>
                <w:rFonts w:ascii="宋体" w:hAnsi="宋体"/>
                <w:sz w:val="20"/>
                <w:szCs w:val="20"/>
              </w:rPr>
            </w:pPr>
            <w:r>
              <w:rPr>
                <w:rFonts w:hint="eastAsia" w:ascii="宋体" w:hAnsi="宋体"/>
                <w:sz w:val="20"/>
                <w:szCs w:val="20"/>
              </w:rPr>
              <w:t>确立安全第一的职业价值观念，从源头遏制或减少医疗护理不良事件的发生，确保病人安全。</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平时表现</w:t>
            </w:r>
          </w:p>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618"/>
        <w:gridCol w:w="1610"/>
        <w:gridCol w:w="2079"/>
        <w:gridCol w:w="1328"/>
        <w:gridCol w:w="1177"/>
        <w:gridCol w:w="417"/>
        <w:gridCol w:w="433"/>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44"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363"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945"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219"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779"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690"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教学重点与难点</w:t>
            </w:r>
          </w:p>
        </w:tc>
        <w:tc>
          <w:tcPr>
            <w:tcW w:w="24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25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57"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4" w:type="pct"/>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p>
        </w:tc>
        <w:tc>
          <w:tcPr>
            <w:tcW w:w="363" w:type="pct"/>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绪论</w:t>
            </w:r>
            <w:r>
              <w:rPr>
                <w:rFonts w:ascii="宋体" w:hAnsi="宋体"/>
                <w:color w:val="000000"/>
                <w:sz w:val="20"/>
                <w:szCs w:val="20"/>
              </w:rPr>
              <w:t xml:space="preserve"> </w:t>
            </w:r>
          </w:p>
        </w:tc>
        <w:tc>
          <w:tcPr>
            <w:tcW w:w="945" w:type="pct"/>
          </w:tcPr>
          <w:p>
            <w:pPr>
              <w:snapToGrid w:val="0"/>
              <w:spacing w:line="288" w:lineRule="auto"/>
              <w:jc w:val="left"/>
              <w:rPr>
                <w:rFonts w:ascii="宋体" w:hAnsi="宋体"/>
                <w:color w:val="000000"/>
                <w:sz w:val="20"/>
                <w:szCs w:val="20"/>
              </w:rPr>
            </w:pPr>
            <w:bookmarkStart w:id="1" w:name="OLE_LINK3"/>
            <w:r>
              <w:rPr>
                <w:rFonts w:hint="eastAsia" w:ascii="宋体" w:hAnsi="宋体"/>
                <w:color w:val="000000"/>
                <w:sz w:val="20"/>
                <w:szCs w:val="20"/>
              </w:rPr>
              <w:t>1.知道病人安全、不良事件的相关概念；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2.分析国内外病人安全教育状况；</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3.理解医学生病人安全教育的意义。</w:t>
            </w:r>
            <w:bookmarkEnd w:id="1"/>
          </w:p>
          <w:p>
            <w:pPr>
              <w:snapToGrid w:val="0"/>
              <w:spacing w:line="288" w:lineRule="auto"/>
              <w:jc w:val="left"/>
              <w:rPr>
                <w:rFonts w:ascii="宋体" w:hAnsi="宋体"/>
                <w:color w:val="000000"/>
                <w:sz w:val="20"/>
                <w:szCs w:val="20"/>
              </w:rPr>
            </w:pPr>
          </w:p>
        </w:tc>
        <w:tc>
          <w:tcPr>
            <w:tcW w:w="1219"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1.能说出W</w:t>
            </w:r>
            <w:r>
              <w:rPr>
                <w:rFonts w:ascii="宋体" w:hAnsi="宋体"/>
                <w:color w:val="000000"/>
                <w:sz w:val="20"/>
                <w:szCs w:val="20"/>
              </w:rPr>
              <w:t>HO</w:t>
            </w:r>
            <w:r>
              <w:rPr>
                <w:rFonts w:hint="eastAsia" w:ascii="宋体" w:hAnsi="宋体"/>
                <w:color w:val="000000"/>
                <w:sz w:val="20"/>
                <w:szCs w:val="20"/>
              </w:rPr>
              <w:t>对病人安全的解释、护理不良事件的概念；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2.能描述医学本科生病人安全教育指南的1</w:t>
            </w:r>
            <w:r>
              <w:rPr>
                <w:rFonts w:ascii="宋体" w:hAnsi="宋体"/>
                <w:color w:val="000000"/>
                <w:sz w:val="20"/>
                <w:szCs w:val="20"/>
              </w:rPr>
              <w:t>1</w:t>
            </w:r>
            <w:r>
              <w:rPr>
                <w:rFonts w:hint="eastAsia" w:ascii="宋体" w:hAnsi="宋体"/>
                <w:color w:val="000000"/>
                <w:sz w:val="20"/>
                <w:szCs w:val="20"/>
              </w:rPr>
              <w:t>个课题；</w:t>
            </w:r>
          </w:p>
          <w:p>
            <w:pPr>
              <w:snapToGrid w:val="0"/>
              <w:spacing w:line="288" w:lineRule="auto"/>
              <w:jc w:val="left"/>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能说出病人安全护理研究的内容；</w:t>
            </w:r>
          </w:p>
          <w:p>
            <w:pPr>
              <w:snapToGrid w:val="0"/>
              <w:spacing w:line="288" w:lineRule="auto"/>
              <w:jc w:val="left"/>
              <w:rPr>
                <w:rFonts w:ascii="宋体" w:hAnsi="宋体"/>
                <w:color w:val="000000"/>
                <w:sz w:val="20"/>
                <w:szCs w:val="20"/>
              </w:rPr>
            </w:pPr>
          </w:p>
        </w:tc>
        <w:tc>
          <w:tcPr>
            <w:tcW w:w="779"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1.在校学习期间接受病人安全的理念、原则和措施作为医学教育的内容，为临床医疗护理服务实践做好准备。</w:t>
            </w:r>
          </w:p>
        </w:tc>
        <w:tc>
          <w:tcPr>
            <w:tcW w:w="690"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1.病人安全、不良事件的相关概念的理解；</w:t>
            </w:r>
          </w:p>
          <w:p>
            <w:pPr>
              <w:snapToGrid w:val="0"/>
              <w:spacing w:line="288" w:lineRule="auto"/>
              <w:jc w:val="left"/>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病人安全护理的研究。</w:t>
            </w:r>
          </w:p>
          <w:p>
            <w:pPr>
              <w:snapToGrid w:val="0"/>
              <w:spacing w:line="288" w:lineRule="auto"/>
              <w:jc w:val="left"/>
              <w:rPr>
                <w:rFonts w:ascii="宋体" w:hAnsi="宋体"/>
                <w:color w:val="000000"/>
                <w:sz w:val="20"/>
                <w:szCs w:val="20"/>
              </w:rPr>
            </w:pPr>
          </w:p>
        </w:tc>
        <w:tc>
          <w:tcPr>
            <w:tcW w:w="244" w:type="pct"/>
          </w:tcPr>
          <w:p>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Cs w:val="21"/>
              </w:rPr>
            </w:pPr>
            <w:r>
              <w:rPr>
                <w:rFonts w:hint="eastAsia" w:ascii="宋体" w:hAnsi="宋体"/>
                <w:color w:val="000000"/>
                <w:szCs w:val="21"/>
              </w:rPr>
              <w:t>0</w:t>
            </w:r>
          </w:p>
        </w:tc>
        <w:tc>
          <w:tcPr>
            <w:tcW w:w="257" w:type="pct"/>
          </w:tcPr>
          <w:p>
            <w:pPr>
              <w:rPr>
                <w:rFonts w:ascii="宋体" w:hAnsi="宋体"/>
                <w:color w:val="000000"/>
                <w:szCs w:val="21"/>
              </w:rPr>
            </w:pPr>
            <w:r>
              <w:rPr>
                <w:rFonts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病人安全管理组织与团队</w:t>
            </w:r>
          </w:p>
        </w:tc>
        <w:tc>
          <w:tcPr>
            <w:tcW w:w="945" w:type="pct"/>
          </w:tcPr>
          <w:p>
            <w:pPr>
              <w:snapToGrid w:val="0"/>
              <w:spacing w:line="288" w:lineRule="auto"/>
              <w:rPr>
                <w:rFonts w:ascii="宋体" w:hAnsi="宋体"/>
                <w:sz w:val="20"/>
                <w:szCs w:val="20"/>
              </w:rPr>
            </w:pPr>
            <w:r>
              <w:rPr>
                <w:rFonts w:hint="eastAsia" w:ascii="宋体" w:hAnsi="宋体"/>
                <w:sz w:val="20"/>
                <w:szCs w:val="20"/>
              </w:rPr>
              <w:t>1.知道医疗安全、医疗安全管理、护理安全、护理安全管理的概念；</w:t>
            </w:r>
          </w:p>
          <w:p>
            <w:pPr>
              <w:snapToGrid w:val="0"/>
              <w:spacing w:line="288" w:lineRule="auto"/>
              <w:rPr>
                <w:rFonts w:ascii="宋体" w:hAnsi="宋体"/>
                <w:sz w:val="20"/>
                <w:szCs w:val="20"/>
              </w:rPr>
            </w:pPr>
            <w:r>
              <w:rPr>
                <w:rFonts w:hint="eastAsia" w:ascii="宋体" w:hAnsi="宋体"/>
                <w:sz w:val="20"/>
                <w:szCs w:val="20"/>
              </w:rPr>
              <w:t>2.分析护理风险产生的原因及控制的主要措施；</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理解团队的概念及成功卫生保健团队的特点。</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1.能说出护理安全的概念；能分析护理风险产生的原因及护理风险控制的主要措施；</w:t>
            </w:r>
          </w:p>
          <w:p>
            <w:pPr>
              <w:snapToGrid w:val="0"/>
              <w:spacing w:line="288" w:lineRule="auto"/>
              <w:rPr>
                <w:rFonts w:ascii="宋体" w:hAnsi="宋体"/>
                <w:sz w:val="20"/>
                <w:szCs w:val="20"/>
              </w:rPr>
            </w:pPr>
            <w:r>
              <w:rPr>
                <w:rFonts w:hint="eastAsia" w:ascii="宋体" w:hAnsi="宋体"/>
                <w:sz w:val="20"/>
                <w:szCs w:val="20"/>
              </w:rPr>
              <w:t>2.能够运用护理风险管理程序；</w:t>
            </w:r>
          </w:p>
          <w:p>
            <w:pPr>
              <w:snapToGrid w:val="0"/>
              <w:spacing w:line="288" w:lineRule="auto"/>
              <w:rPr>
                <w:rFonts w:ascii="宋体" w:hAnsi="宋体"/>
                <w:sz w:val="20"/>
                <w:szCs w:val="20"/>
              </w:rPr>
            </w:pPr>
            <w:r>
              <w:rPr>
                <w:rFonts w:hint="eastAsia" w:ascii="宋体" w:hAnsi="宋体"/>
                <w:sz w:val="20"/>
                <w:szCs w:val="20"/>
              </w:rPr>
              <w:t>3.能理解成功卫生保健团队的特点</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1</w:t>
            </w:r>
            <w:bookmarkStart w:id="2" w:name="OLE_LINK2"/>
            <w:r>
              <w:rPr>
                <w:rFonts w:hint="eastAsia" w:ascii="宋体" w:hAnsi="宋体"/>
                <w:sz w:val="20"/>
                <w:szCs w:val="20"/>
              </w:rPr>
              <w:t>.培养多学科团队合作意识。</w:t>
            </w:r>
          </w:p>
          <w:bookmarkEnd w:id="2"/>
          <w:p>
            <w:pPr>
              <w:snapToGrid w:val="0"/>
              <w:spacing w:line="288" w:lineRule="auto"/>
              <w:rPr>
                <w:rFonts w:ascii="宋体" w:hAnsi="宋体"/>
                <w:sz w:val="20"/>
                <w:szCs w:val="20"/>
              </w:rPr>
            </w:pPr>
          </w:p>
          <w:p>
            <w:pPr>
              <w:snapToGrid w:val="0"/>
              <w:spacing w:line="288" w:lineRule="auto"/>
              <w:rPr>
                <w:rFonts w:ascii="宋体" w:hAnsi="宋体"/>
                <w:sz w:val="20"/>
                <w:szCs w:val="20"/>
              </w:rPr>
            </w:pPr>
          </w:p>
        </w:tc>
        <w:tc>
          <w:tcPr>
            <w:tcW w:w="690" w:type="pct"/>
          </w:tcPr>
          <w:p>
            <w:pPr>
              <w:snapToGrid w:val="0"/>
              <w:spacing w:line="288" w:lineRule="auto"/>
              <w:rPr>
                <w:rFonts w:ascii="宋体" w:hAnsi="宋体"/>
                <w:sz w:val="20"/>
                <w:szCs w:val="20"/>
              </w:rPr>
            </w:pPr>
            <w:r>
              <w:rPr>
                <w:rFonts w:hint="eastAsia" w:ascii="宋体" w:hAnsi="宋体"/>
                <w:sz w:val="20"/>
                <w:szCs w:val="20"/>
              </w:rPr>
              <w:t>1.护理风险产生原因的认识；</w:t>
            </w:r>
          </w:p>
          <w:p>
            <w:pPr>
              <w:snapToGrid w:val="0"/>
              <w:spacing w:line="288" w:lineRule="auto"/>
              <w:rPr>
                <w:rFonts w:ascii="宋体" w:hAnsi="Times New Roman"/>
                <w:b/>
                <w:color w:val="000000"/>
                <w:sz w:val="20"/>
                <w:szCs w:val="20"/>
              </w:rPr>
            </w:pPr>
            <w:r>
              <w:rPr>
                <w:rFonts w:hint="eastAsia" w:ascii="宋体" w:hAnsi="宋体"/>
                <w:sz w:val="20"/>
                <w:szCs w:val="20"/>
              </w:rPr>
              <w:t>2.有效团队合作作用的认识。</w:t>
            </w:r>
          </w:p>
        </w:tc>
        <w:tc>
          <w:tcPr>
            <w:tcW w:w="244" w:type="pct"/>
          </w:tcPr>
          <w:p>
            <w:pPr>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人为因素工程学与病人安全</w:t>
            </w:r>
          </w:p>
        </w:tc>
        <w:tc>
          <w:tcPr>
            <w:tcW w:w="945" w:type="pct"/>
          </w:tcPr>
          <w:p>
            <w:pPr>
              <w:snapToGrid w:val="0"/>
              <w:spacing w:line="288" w:lineRule="auto"/>
              <w:jc w:val="left"/>
              <w:rPr>
                <w:rFonts w:ascii="宋体" w:hAnsi="宋体"/>
                <w:sz w:val="20"/>
                <w:szCs w:val="20"/>
              </w:rPr>
            </w:pPr>
            <w:r>
              <w:rPr>
                <w:rFonts w:hint="eastAsia" w:ascii="宋体" w:hAnsi="宋体"/>
                <w:sz w:val="20"/>
                <w:szCs w:val="20"/>
              </w:rPr>
              <w:t>1.知道人因工程学的概念；分析护理工作中的不安全因素；了解容易导致犯错的个人因素；</w:t>
            </w:r>
          </w:p>
          <w:p>
            <w:pPr>
              <w:snapToGrid w:val="0"/>
              <w:spacing w:line="288" w:lineRule="auto"/>
              <w:jc w:val="left"/>
              <w:rPr>
                <w:rFonts w:ascii="宋体" w:hAnsi="宋体"/>
                <w:sz w:val="20"/>
                <w:szCs w:val="20"/>
              </w:rPr>
            </w:pPr>
            <w:r>
              <w:rPr>
                <w:rFonts w:hint="eastAsia" w:ascii="宋体" w:hAnsi="宋体"/>
                <w:sz w:val="20"/>
                <w:szCs w:val="20"/>
              </w:rPr>
              <w:t>2.评价管理疲劳与压力；</w:t>
            </w:r>
          </w:p>
          <w:p>
            <w:pPr>
              <w:snapToGrid w:val="0"/>
              <w:spacing w:line="288" w:lineRule="auto"/>
              <w:jc w:val="left"/>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1.能分析实习学生存在的不安全因素及提高学生安全意识的应对措施；</w:t>
            </w:r>
          </w:p>
          <w:p>
            <w:pPr>
              <w:snapToGrid w:val="0"/>
              <w:spacing w:line="288" w:lineRule="auto"/>
              <w:rPr>
                <w:rFonts w:ascii="宋体" w:hAnsi="宋体"/>
                <w:sz w:val="20"/>
                <w:szCs w:val="20"/>
              </w:rPr>
            </w:pPr>
            <w:r>
              <w:rPr>
                <w:rFonts w:hint="eastAsia" w:ascii="宋体" w:hAnsi="宋体"/>
                <w:sz w:val="20"/>
                <w:szCs w:val="20"/>
              </w:rPr>
              <w:t>2.能说出常用自我状态监控的工具；</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培养运用人因工程学思维方式构建科学的管理模式。</w:t>
            </w:r>
          </w:p>
        </w:tc>
        <w:tc>
          <w:tcPr>
            <w:tcW w:w="690" w:type="pct"/>
          </w:tcPr>
          <w:p>
            <w:pPr>
              <w:snapToGrid w:val="0"/>
              <w:spacing w:line="288" w:lineRule="auto"/>
              <w:rPr>
                <w:rFonts w:ascii="宋体" w:hAnsi="宋体"/>
                <w:sz w:val="20"/>
                <w:szCs w:val="20"/>
              </w:rPr>
            </w:pPr>
            <w:r>
              <w:rPr>
                <w:rFonts w:hint="eastAsia" w:ascii="宋体" w:hAnsi="宋体"/>
                <w:sz w:val="20"/>
                <w:szCs w:val="20"/>
              </w:rPr>
              <w:t>1.护理工作中的不安全因素的认识；</w:t>
            </w:r>
          </w:p>
          <w:p>
            <w:pPr>
              <w:snapToGrid w:val="0"/>
              <w:spacing w:line="288" w:lineRule="auto"/>
              <w:rPr>
                <w:rFonts w:ascii="宋体" w:hAnsi="宋体"/>
                <w:sz w:val="20"/>
                <w:szCs w:val="20"/>
              </w:rPr>
            </w:pPr>
            <w:r>
              <w:rPr>
                <w:rFonts w:hint="eastAsia" w:ascii="宋体" w:hAnsi="宋体"/>
                <w:sz w:val="20"/>
                <w:szCs w:val="20"/>
              </w:rPr>
              <w:t>2.健全科学的人因工程措施的探究。</w:t>
            </w:r>
          </w:p>
        </w:tc>
        <w:tc>
          <w:tcPr>
            <w:tcW w:w="244" w:type="pct"/>
          </w:tcPr>
          <w:p>
            <w:pPr>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病人安全文化</w:t>
            </w:r>
          </w:p>
        </w:tc>
        <w:tc>
          <w:tcPr>
            <w:tcW w:w="945" w:type="pct"/>
          </w:tcPr>
          <w:p>
            <w:pPr>
              <w:snapToGrid w:val="0"/>
              <w:spacing w:line="288" w:lineRule="auto"/>
              <w:rPr>
                <w:rFonts w:ascii="宋体" w:hAnsi="宋体"/>
                <w:sz w:val="20"/>
                <w:szCs w:val="20"/>
              </w:rPr>
            </w:pPr>
            <w:r>
              <w:rPr>
                <w:rFonts w:hint="eastAsia" w:ascii="宋体" w:hAnsi="宋体"/>
                <w:sz w:val="20"/>
                <w:szCs w:val="20"/>
              </w:rPr>
              <w:t>1.理解病人安全文化的概念和特征；</w:t>
            </w:r>
          </w:p>
          <w:p>
            <w:pPr>
              <w:snapToGrid w:val="0"/>
              <w:spacing w:line="288" w:lineRule="auto"/>
              <w:rPr>
                <w:rFonts w:ascii="宋体" w:hAnsi="宋体"/>
                <w:sz w:val="20"/>
                <w:szCs w:val="20"/>
              </w:rPr>
            </w:pPr>
            <w:r>
              <w:rPr>
                <w:rFonts w:hint="eastAsia" w:ascii="宋体" w:hAnsi="宋体"/>
                <w:sz w:val="20"/>
                <w:szCs w:val="20"/>
              </w:rPr>
              <w:t>2.分析传统观念与安全文化观念对待错误的观念与做法；</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理解不良事件报告的意义与原则。</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1.能说出护理不良事件的分级标准；</w:t>
            </w:r>
          </w:p>
          <w:p>
            <w:pPr>
              <w:snapToGrid w:val="0"/>
              <w:spacing w:line="288" w:lineRule="auto"/>
              <w:rPr>
                <w:rFonts w:ascii="宋体" w:hAnsi="宋体"/>
                <w:sz w:val="20"/>
                <w:szCs w:val="20"/>
              </w:rPr>
            </w:pPr>
            <w:r>
              <w:rPr>
                <w:rFonts w:hint="eastAsia" w:ascii="宋体" w:hAnsi="宋体"/>
                <w:sz w:val="20"/>
                <w:szCs w:val="20"/>
              </w:rPr>
              <w:t>2.能理解不良事件报告的内容及原则；</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树立正确对待不良事件的态度。</w:t>
            </w:r>
          </w:p>
        </w:tc>
        <w:tc>
          <w:tcPr>
            <w:tcW w:w="690" w:type="pct"/>
          </w:tcPr>
          <w:p>
            <w:pPr>
              <w:snapToGrid w:val="0"/>
              <w:spacing w:line="288" w:lineRule="auto"/>
              <w:rPr>
                <w:rFonts w:ascii="宋体" w:hAnsi="宋体"/>
                <w:sz w:val="20"/>
                <w:szCs w:val="20"/>
              </w:rPr>
            </w:pPr>
            <w:r>
              <w:rPr>
                <w:rFonts w:hint="eastAsia" w:ascii="宋体" w:hAnsi="宋体"/>
                <w:sz w:val="20"/>
                <w:szCs w:val="20"/>
              </w:rPr>
              <w:t>1.不良事件报告的理解；</w:t>
            </w:r>
          </w:p>
          <w:p>
            <w:pPr>
              <w:snapToGrid w:val="0"/>
              <w:spacing w:line="288" w:lineRule="auto"/>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病人安全文化的内涵的理解。</w:t>
            </w:r>
          </w:p>
        </w:tc>
        <w:tc>
          <w:tcPr>
            <w:tcW w:w="244" w:type="pct"/>
          </w:tcPr>
          <w:p>
            <w:pPr>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 w:val="20"/>
                <w:szCs w:val="20"/>
              </w:rPr>
            </w:pPr>
            <w:r>
              <w:rPr>
                <w:rFonts w:hint="eastAsia"/>
                <w:bCs/>
                <w:sz w:val="20"/>
                <w:szCs w:val="20"/>
              </w:rPr>
              <w:t>0</w:t>
            </w:r>
          </w:p>
        </w:tc>
        <w:tc>
          <w:tcPr>
            <w:tcW w:w="257" w:type="pct"/>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沟通与病人安全</w:t>
            </w:r>
          </w:p>
        </w:tc>
        <w:tc>
          <w:tcPr>
            <w:tcW w:w="945" w:type="pct"/>
          </w:tcPr>
          <w:p>
            <w:pPr>
              <w:numPr>
                <w:ilvl w:val="0"/>
                <w:numId w:val="2"/>
              </w:numPr>
              <w:snapToGrid w:val="0"/>
              <w:spacing w:line="288" w:lineRule="auto"/>
              <w:rPr>
                <w:rFonts w:ascii="宋体" w:hAnsi="宋体"/>
                <w:sz w:val="20"/>
                <w:szCs w:val="20"/>
              </w:rPr>
            </w:pPr>
            <w:r>
              <w:rPr>
                <w:rFonts w:hint="eastAsia" w:ascii="宋体" w:hAnsi="宋体"/>
                <w:sz w:val="20"/>
                <w:szCs w:val="20"/>
              </w:rPr>
              <w:t>理解护士与病人沟通的重要性及常见的沟通风险；</w:t>
            </w:r>
          </w:p>
          <w:p>
            <w:pPr>
              <w:numPr>
                <w:ilvl w:val="0"/>
                <w:numId w:val="2"/>
              </w:numPr>
              <w:snapToGrid w:val="0"/>
              <w:spacing w:line="288" w:lineRule="auto"/>
              <w:rPr>
                <w:rFonts w:ascii="宋体" w:hAnsi="宋体"/>
                <w:sz w:val="20"/>
                <w:szCs w:val="20"/>
              </w:rPr>
            </w:pPr>
            <w:r>
              <w:rPr>
                <w:rFonts w:hint="eastAsia" w:ascii="宋体" w:hAnsi="宋体"/>
                <w:sz w:val="20"/>
                <w:szCs w:val="20"/>
              </w:rPr>
              <w:t>理解知情同意的概念和病人知情的内容；3</w:t>
            </w:r>
            <w:r>
              <w:rPr>
                <w:rFonts w:ascii="宋体" w:hAnsi="宋体"/>
                <w:sz w:val="20"/>
                <w:szCs w:val="20"/>
              </w:rPr>
              <w:t>.</w:t>
            </w:r>
            <w:r>
              <w:rPr>
                <w:rFonts w:hint="eastAsia" w:ascii="宋体" w:hAnsi="宋体"/>
                <w:sz w:val="20"/>
                <w:szCs w:val="20"/>
              </w:rPr>
              <w:t>综合运用不良事件发生后与病人沟通的原则和技术。</w:t>
            </w:r>
          </w:p>
          <w:p>
            <w:pPr>
              <w:tabs>
                <w:tab w:val="left" w:pos="312"/>
              </w:tabs>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 能运用S</w:t>
            </w:r>
            <w:r>
              <w:rPr>
                <w:rFonts w:ascii="宋体" w:hAnsi="宋体"/>
                <w:sz w:val="20"/>
                <w:szCs w:val="20"/>
              </w:rPr>
              <w:t>BAR</w:t>
            </w:r>
            <w:r>
              <w:rPr>
                <w:rFonts w:hint="eastAsia" w:ascii="宋体" w:hAnsi="宋体"/>
                <w:sz w:val="20"/>
                <w:szCs w:val="20"/>
              </w:rPr>
              <w:t>标准沟通模式进行沟通；</w:t>
            </w:r>
          </w:p>
          <w:p>
            <w:pPr>
              <w:snapToGrid w:val="0"/>
              <w:spacing w:line="288" w:lineRule="auto"/>
              <w:rPr>
                <w:rFonts w:ascii="宋体" w:hAnsi="宋体"/>
                <w:sz w:val="20"/>
                <w:szCs w:val="20"/>
              </w:rPr>
            </w:pPr>
            <w:r>
              <w:rPr>
                <w:rFonts w:hint="eastAsia" w:ascii="宋体" w:hAnsi="宋体"/>
                <w:sz w:val="20"/>
                <w:szCs w:val="20"/>
              </w:rPr>
              <w:t>2.能解读护患沟通中的人文关怀。</w:t>
            </w:r>
          </w:p>
        </w:tc>
        <w:tc>
          <w:tcPr>
            <w:tcW w:w="779" w:type="pct"/>
          </w:tcPr>
          <w:p>
            <w:pPr>
              <w:snapToGrid w:val="0"/>
              <w:spacing w:line="288" w:lineRule="auto"/>
              <w:rPr>
                <w:rFonts w:ascii="宋体" w:hAnsi="宋体"/>
                <w:sz w:val="20"/>
                <w:szCs w:val="20"/>
              </w:rPr>
            </w:pPr>
            <w:r>
              <w:rPr>
                <w:rFonts w:hint="eastAsia" w:ascii="宋体" w:hAnsi="宋体"/>
                <w:sz w:val="20"/>
                <w:szCs w:val="20"/>
              </w:rPr>
              <w:t>培养从人文关怀的角度与病人进行有效沟通，创建安全、和谐的护患关系。</w:t>
            </w:r>
          </w:p>
          <w:p>
            <w:pPr>
              <w:snapToGrid w:val="0"/>
              <w:spacing w:line="288" w:lineRule="auto"/>
              <w:rPr>
                <w:rFonts w:ascii="宋体" w:hAnsi="宋体"/>
                <w:sz w:val="20"/>
                <w:szCs w:val="20"/>
              </w:rPr>
            </w:pPr>
          </w:p>
        </w:tc>
        <w:tc>
          <w:tcPr>
            <w:tcW w:w="690" w:type="pct"/>
          </w:tcPr>
          <w:p>
            <w:pPr>
              <w:tabs>
                <w:tab w:val="left" w:pos="312"/>
              </w:tabs>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 xml:space="preserve"> S</w:t>
            </w:r>
            <w:r>
              <w:rPr>
                <w:rFonts w:ascii="宋体" w:hAnsi="宋体"/>
                <w:sz w:val="20"/>
                <w:szCs w:val="20"/>
              </w:rPr>
              <w:t>BAR</w:t>
            </w:r>
            <w:r>
              <w:rPr>
                <w:rFonts w:hint="eastAsia" w:ascii="宋体" w:hAnsi="宋体"/>
                <w:sz w:val="20"/>
                <w:szCs w:val="20"/>
              </w:rPr>
              <w:t>标准化沟通模式的应用；</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不良事件发生后与病人沟通的原则及方式的理解。</w:t>
            </w:r>
          </w:p>
        </w:tc>
        <w:tc>
          <w:tcPr>
            <w:tcW w:w="244" w:type="pct"/>
          </w:tcPr>
          <w:p>
            <w:pPr>
              <w:rPr>
                <w:rFonts w:ascii="宋体" w:hAnsi="宋体"/>
                <w:color w:val="000000"/>
                <w:sz w:val="20"/>
                <w:szCs w:val="20"/>
              </w:rPr>
            </w:pPr>
            <w:r>
              <w:rPr>
                <w:rFonts w:hint="eastAsia" w:ascii="宋体" w:hAnsi="宋体"/>
                <w:color w:val="000000"/>
                <w:sz w:val="20"/>
                <w:szCs w:val="20"/>
              </w:rPr>
              <w:t>4</w:t>
            </w:r>
          </w:p>
        </w:tc>
        <w:tc>
          <w:tcPr>
            <w:tcW w:w="254" w:type="pct"/>
          </w:tcPr>
          <w:p>
            <w:pPr>
              <w:rPr>
                <w:rFonts w:ascii="宋体" w:hAnsi="宋体"/>
                <w:color w:val="000000"/>
                <w:sz w:val="20"/>
                <w:szCs w:val="20"/>
              </w:rPr>
            </w:pPr>
            <w:r>
              <w:rPr>
                <w:rFonts w:hint="eastAsia" w:ascii="宋体" w:hAnsi="宋体"/>
                <w:color w:val="000000"/>
                <w:sz w:val="20"/>
                <w:szCs w:val="20"/>
              </w:rPr>
              <w:t>2</w:t>
            </w:r>
          </w:p>
        </w:tc>
        <w:tc>
          <w:tcPr>
            <w:tcW w:w="257" w:type="pct"/>
          </w:tcPr>
          <w:p>
            <w:pPr>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医院感染的预防与控制</w:t>
            </w:r>
          </w:p>
        </w:tc>
        <w:tc>
          <w:tcPr>
            <w:tcW w:w="945" w:type="pct"/>
          </w:tcPr>
          <w:p>
            <w:pPr>
              <w:snapToGrid w:val="0"/>
              <w:spacing w:line="288" w:lineRule="auto"/>
              <w:rPr>
                <w:rFonts w:ascii="宋体" w:hAnsi="宋体"/>
                <w:sz w:val="20"/>
                <w:szCs w:val="20"/>
              </w:rPr>
            </w:pPr>
            <w:r>
              <w:rPr>
                <w:rFonts w:hint="eastAsia" w:ascii="宋体" w:hAnsi="宋体"/>
                <w:sz w:val="20"/>
                <w:szCs w:val="20"/>
              </w:rPr>
              <w:t>1.知道医院感染、交叉感染、消毒、灭菌、手卫生、无菌技术、标准预防、安全注射的概念；</w:t>
            </w:r>
          </w:p>
          <w:p>
            <w:pPr>
              <w:snapToGrid w:val="0"/>
              <w:spacing w:line="288" w:lineRule="auto"/>
              <w:rPr>
                <w:rFonts w:ascii="宋体" w:hAnsi="宋体"/>
                <w:sz w:val="20"/>
                <w:szCs w:val="20"/>
              </w:rPr>
            </w:pPr>
            <w:r>
              <w:rPr>
                <w:rFonts w:hint="eastAsia" w:ascii="宋体" w:hAnsi="宋体"/>
                <w:sz w:val="20"/>
                <w:szCs w:val="20"/>
              </w:rPr>
              <w:t>2.理解手卫生的时刻及原则；</w:t>
            </w:r>
          </w:p>
          <w:p>
            <w:pPr>
              <w:snapToGrid w:val="0"/>
              <w:spacing w:line="288" w:lineRule="auto"/>
              <w:rPr>
                <w:rFonts w:ascii="宋体" w:hAnsi="宋体"/>
                <w:sz w:val="20"/>
                <w:szCs w:val="20"/>
              </w:rPr>
            </w:pPr>
            <w:r>
              <w:rPr>
                <w:rFonts w:hint="eastAsia" w:ascii="宋体" w:hAnsi="宋体"/>
                <w:sz w:val="20"/>
                <w:szCs w:val="20"/>
              </w:rPr>
              <w:t>3.知道血源性病原体职业暴露的防护措施；分析锐器伤的原因。</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1.能说出医院感染发生的主要原因及传播途径；</w:t>
            </w:r>
          </w:p>
          <w:p>
            <w:pPr>
              <w:snapToGrid w:val="0"/>
              <w:spacing w:line="288" w:lineRule="auto"/>
              <w:rPr>
                <w:rFonts w:ascii="宋体" w:hAnsi="宋体"/>
                <w:sz w:val="20"/>
                <w:szCs w:val="20"/>
              </w:rPr>
            </w:pPr>
            <w:r>
              <w:rPr>
                <w:rFonts w:hint="eastAsia" w:ascii="宋体" w:hAnsi="宋体"/>
                <w:sz w:val="20"/>
                <w:szCs w:val="20"/>
              </w:rPr>
              <w:t>2.能说出标准预防措施的内容；</w:t>
            </w:r>
          </w:p>
          <w:p>
            <w:pPr>
              <w:snapToGrid w:val="0"/>
              <w:spacing w:line="288" w:lineRule="auto"/>
              <w:rPr>
                <w:rFonts w:ascii="宋体" w:hAnsi="宋体"/>
                <w:sz w:val="20"/>
                <w:szCs w:val="20"/>
              </w:rPr>
            </w:pPr>
            <w:r>
              <w:rPr>
                <w:rFonts w:hint="eastAsia" w:ascii="宋体" w:hAnsi="宋体"/>
                <w:sz w:val="20"/>
                <w:szCs w:val="20"/>
              </w:rPr>
              <w:t>3.能评价医疗废物的分类；</w:t>
            </w:r>
          </w:p>
          <w:p>
            <w:pPr>
              <w:snapToGrid w:val="0"/>
              <w:spacing w:line="288" w:lineRule="auto"/>
              <w:rPr>
                <w:rFonts w:ascii="宋体" w:hAnsi="宋体"/>
                <w:sz w:val="20"/>
                <w:szCs w:val="20"/>
              </w:rPr>
            </w:pPr>
            <w:r>
              <w:rPr>
                <w:rFonts w:hint="eastAsia" w:ascii="宋体" w:hAnsi="宋体"/>
                <w:sz w:val="20"/>
                <w:szCs w:val="20"/>
              </w:rPr>
              <w:t>4.能知道锐器伤的防护措施及应急处理流程；运用标准预防措施防止血源性职业暴露。</w:t>
            </w:r>
            <w:r>
              <w:rPr>
                <w:rFonts w:ascii="宋体" w:hAnsi="宋体"/>
                <w:sz w:val="20"/>
                <w:szCs w:val="20"/>
              </w:rPr>
              <w:t xml:space="preserve"> </w:t>
            </w:r>
          </w:p>
        </w:tc>
        <w:tc>
          <w:tcPr>
            <w:tcW w:w="779" w:type="pct"/>
          </w:tcPr>
          <w:p>
            <w:pPr>
              <w:snapToGrid w:val="0"/>
              <w:spacing w:line="288" w:lineRule="auto"/>
              <w:rPr>
                <w:rFonts w:ascii="宋体" w:hAnsi="宋体"/>
                <w:sz w:val="20"/>
                <w:szCs w:val="20"/>
              </w:rPr>
            </w:pPr>
            <w:r>
              <w:rPr>
                <w:rFonts w:hint="eastAsia" w:ascii="宋体" w:hAnsi="宋体"/>
                <w:sz w:val="20"/>
                <w:szCs w:val="20"/>
              </w:rPr>
              <w:t>知晓医院感染的预防与控制是医疗机构及其每个医务人员的责任，也是病人安全的组成部分。</w:t>
            </w:r>
          </w:p>
        </w:tc>
        <w:tc>
          <w:tcPr>
            <w:tcW w:w="690" w:type="pct"/>
          </w:tcPr>
          <w:p>
            <w:pPr>
              <w:snapToGrid w:val="0"/>
              <w:spacing w:line="288" w:lineRule="auto"/>
              <w:rPr>
                <w:rFonts w:ascii="宋体" w:hAnsi="宋体"/>
                <w:sz w:val="20"/>
                <w:szCs w:val="20"/>
              </w:rPr>
            </w:pPr>
            <w:r>
              <w:rPr>
                <w:rFonts w:hint="eastAsia" w:ascii="宋体" w:hAnsi="宋体"/>
                <w:sz w:val="20"/>
                <w:szCs w:val="20"/>
              </w:rPr>
              <w:t>1.各种临床情境下正确进行手卫生的深入掌握；</w:t>
            </w:r>
          </w:p>
          <w:p>
            <w:pPr>
              <w:snapToGrid w:val="0"/>
              <w:spacing w:line="288" w:lineRule="auto"/>
              <w:rPr>
                <w:rFonts w:ascii="宋体" w:hAnsi="宋体"/>
                <w:sz w:val="20"/>
                <w:szCs w:val="20"/>
              </w:rPr>
            </w:pPr>
            <w:r>
              <w:rPr>
                <w:rFonts w:hint="eastAsia" w:ascii="宋体" w:hAnsi="宋体"/>
                <w:sz w:val="20"/>
                <w:szCs w:val="20"/>
              </w:rPr>
              <w:t>2.医院感染的主要防控方法的应用。</w:t>
            </w:r>
          </w:p>
          <w:p>
            <w:pPr>
              <w:snapToGrid w:val="0"/>
              <w:spacing w:line="288" w:lineRule="auto"/>
              <w:rPr>
                <w:rFonts w:ascii="宋体" w:hAnsi="宋体"/>
                <w:sz w:val="20"/>
                <w:szCs w:val="20"/>
              </w:rPr>
            </w:pPr>
          </w:p>
        </w:tc>
        <w:tc>
          <w:tcPr>
            <w:tcW w:w="244" w:type="pct"/>
          </w:tcPr>
          <w:p>
            <w:pPr>
              <w:rPr>
                <w:rFonts w:ascii="宋体" w:hAnsi="宋体"/>
                <w:color w:val="000000"/>
                <w:sz w:val="20"/>
                <w:szCs w:val="20"/>
              </w:rPr>
            </w:pPr>
            <w:r>
              <w:rPr>
                <w:rFonts w:hint="eastAsia" w:ascii="宋体" w:hAnsi="宋体"/>
                <w:color w:val="000000"/>
                <w:sz w:val="20"/>
                <w:szCs w:val="20"/>
              </w:rPr>
              <w:t>6</w:t>
            </w:r>
          </w:p>
        </w:tc>
        <w:tc>
          <w:tcPr>
            <w:tcW w:w="254" w:type="pct"/>
          </w:tcPr>
          <w:p>
            <w:pPr>
              <w:rPr>
                <w:rFonts w:ascii="宋体" w:hAnsi="宋体"/>
                <w:color w:val="000000"/>
                <w:sz w:val="20"/>
                <w:szCs w:val="20"/>
              </w:rPr>
            </w:pPr>
            <w:r>
              <w:rPr>
                <w:rFonts w:hint="eastAsia" w:ascii="宋体" w:hAnsi="宋体"/>
                <w:color w:val="000000"/>
                <w:sz w:val="20"/>
                <w:szCs w:val="20"/>
              </w:rPr>
              <w:t>4</w:t>
            </w:r>
          </w:p>
        </w:tc>
        <w:tc>
          <w:tcPr>
            <w:tcW w:w="257" w:type="pct"/>
          </w:tcPr>
          <w:p>
            <w:pPr>
              <w:rPr>
                <w:rFonts w:ascii="宋体" w:hAnsi="宋体"/>
                <w:color w:val="000000"/>
                <w:sz w:val="20"/>
                <w:szCs w:val="20"/>
              </w:rPr>
            </w:pPr>
            <w:r>
              <w:rPr>
                <w:rFonts w:ascii="宋体" w:hAnsi="宋体"/>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侵入性操作与病人安全</w:t>
            </w:r>
          </w:p>
        </w:tc>
        <w:tc>
          <w:tcPr>
            <w:tcW w:w="945" w:type="pct"/>
          </w:tcPr>
          <w:p>
            <w:pPr>
              <w:snapToGrid w:val="0"/>
              <w:spacing w:line="288" w:lineRule="auto"/>
              <w:rPr>
                <w:rFonts w:ascii="宋体" w:hAnsi="宋体"/>
                <w:sz w:val="20"/>
                <w:szCs w:val="20"/>
              </w:rPr>
            </w:pPr>
            <w:r>
              <w:rPr>
                <w:rFonts w:hint="eastAsia" w:ascii="宋体" w:hAnsi="宋体"/>
                <w:sz w:val="20"/>
                <w:szCs w:val="20"/>
              </w:rPr>
              <w:t>1.知道侵入性操作的概念；</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2.分析常见注射法、留置导管的风险及防范；</w:t>
            </w:r>
          </w:p>
          <w:p>
            <w:pPr>
              <w:snapToGrid w:val="0"/>
              <w:spacing w:line="288" w:lineRule="auto"/>
              <w:rPr>
                <w:rFonts w:ascii="宋体" w:hAnsi="宋体"/>
                <w:sz w:val="20"/>
                <w:szCs w:val="20"/>
              </w:rPr>
            </w:pPr>
            <w:r>
              <w:rPr>
                <w:rFonts w:hint="eastAsia" w:ascii="宋体" w:hAnsi="宋体"/>
                <w:sz w:val="20"/>
                <w:szCs w:val="20"/>
              </w:rPr>
              <w:t>3.评价手术过程的安全问题。</w:t>
            </w:r>
          </w:p>
        </w:tc>
        <w:tc>
          <w:tcPr>
            <w:tcW w:w="1219" w:type="pct"/>
          </w:tcPr>
          <w:p>
            <w:pPr>
              <w:snapToGrid w:val="0"/>
              <w:spacing w:line="288" w:lineRule="auto"/>
              <w:rPr>
                <w:rFonts w:ascii="宋体" w:hAnsi="宋体"/>
                <w:sz w:val="20"/>
                <w:szCs w:val="20"/>
              </w:rPr>
            </w:pPr>
            <w:r>
              <w:rPr>
                <w:rFonts w:ascii="宋体" w:hAnsi="宋体"/>
                <w:sz w:val="20"/>
                <w:szCs w:val="20"/>
              </w:rPr>
              <w:t>1</w:t>
            </w:r>
            <w:r>
              <w:rPr>
                <w:rFonts w:hint="eastAsia" w:ascii="宋体" w:hAnsi="宋体"/>
                <w:sz w:val="20"/>
                <w:szCs w:val="20"/>
              </w:rPr>
              <w:t>.能说出静脉输液、输血、皮内、皮下注射法的风险及防范；</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.能分析引流管、留置尿管的风险及防范。</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能分析物品遗漏手术病人体内的原因及防范措施。</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培养护士严格遵守侵入性操作相关制度，有效规避风险，保证接受侵入性操作病人的安全。</w:t>
            </w:r>
          </w:p>
        </w:tc>
        <w:tc>
          <w:tcPr>
            <w:tcW w:w="690" w:type="pct"/>
          </w:tcPr>
          <w:p>
            <w:pPr>
              <w:snapToGrid w:val="0"/>
              <w:spacing w:line="288" w:lineRule="auto"/>
              <w:rPr>
                <w:rFonts w:ascii="宋体" w:hAnsi="宋体"/>
                <w:sz w:val="20"/>
                <w:szCs w:val="20"/>
              </w:rPr>
            </w:pPr>
            <w:r>
              <w:rPr>
                <w:rFonts w:hint="eastAsia" w:ascii="宋体" w:hAnsi="宋体"/>
                <w:sz w:val="20"/>
                <w:szCs w:val="20"/>
              </w:rPr>
              <w:t>1.侵入性操作引发的病人安全问题的认识；</w:t>
            </w:r>
          </w:p>
          <w:p>
            <w:pPr>
              <w:snapToGrid w:val="0"/>
              <w:spacing w:line="288" w:lineRule="auto"/>
              <w:rPr>
                <w:rFonts w:ascii="宋体" w:hAnsi="宋体"/>
                <w:sz w:val="20"/>
                <w:szCs w:val="20"/>
              </w:rPr>
            </w:pPr>
            <w:r>
              <w:rPr>
                <w:rFonts w:hint="eastAsia" w:ascii="宋体" w:hAnsi="宋体"/>
                <w:sz w:val="20"/>
                <w:szCs w:val="20"/>
              </w:rPr>
              <w:t>2.手术过程安全问题的认识。</w:t>
            </w:r>
          </w:p>
        </w:tc>
        <w:tc>
          <w:tcPr>
            <w:tcW w:w="244" w:type="pct"/>
          </w:tcPr>
          <w:p>
            <w:pPr>
              <w:rPr>
                <w:rFonts w:ascii="宋体" w:hAnsi="宋体"/>
                <w:color w:val="000000"/>
                <w:sz w:val="20"/>
                <w:szCs w:val="20"/>
              </w:rPr>
            </w:pPr>
            <w:r>
              <w:rPr>
                <w:rFonts w:ascii="宋体" w:hAnsi="宋体"/>
                <w:color w:val="000000"/>
                <w:sz w:val="20"/>
                <w:szCs w:val="20"/>
              </w:rPr>
              <w:t>2</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用药安全</w:t>
            </w:r>
          </w:p>
        </w:tc>
        <w:tc>
          <w:tcPr>
            <w:tcW w:w="945" w:type="pct"/>
          </w:tcPr>
          <w:p>
            <w:pPr>
              <w:snapToGrid w:val="0"/>
              <w:spacing w:line="288" w:lineRule="auto"/>
              <w:rPr>
                <w:rFonts w:ascii="宋体" w:hAnsi="宋体"/>
                <w:sz w:val="20"/>
                <w:szCs w:val="20"/>
              </w:rPr>
            </w:pPr>
            <w:r>
              <w:rPr>
                <w:rFonts w:hint="eastAsia" w:ascii="宋体" w:hAnsi="宋体"/>
                <w:sz w:val="20"/>
                <w:szCs w:val="20"/>
              </w:rPr>
              <w:t>1</w:t>
            </w:r>
            <w:bookmarkStart w:id="3" w:name="OLE_LINK4"/>
            <w:r>
              <w:rPr>
                <w:rFonts w:hint="eastAsia" w:ascii="宋体" w:hAnsi="宋体"/>
                <w:sz w:val="20"/>
                <w:szCs w:val="20"/>
              </w:rPr>
              <w:t>.理解药物副作用、药物不良反应以及药物不良事件的概念；</w:t>
            </w:r>
          </w:p>
          <w:p>
            <w:pPr>
              <w:snapToGrid w:val="0"/>
              <w:spacing w:line="288" w:lineRule="auto"/>
              <w:rPr>
                <w:rFonts w:ascii="宋体" w:hAnsi="宋体"/>
                <w:sz w:val="20"/>
                <w:szCs w:val="20"/>
              </w:rPr>
            </w:pPr>
            <w:r>
              <w:rPr>
                <w:rFonts w:hint="eastAsia" w:ascii="宋体" w:hAnsi="宋体"/>
                <w:sz w:val="20"/>
                <w:szCs w:val="20"/>
              </w:rPr>
              <w:t>2.了解常见用药错误的原因；</w:t>
            </w:r>
          </w:p>
          <w:p>
            <w:pPr>
              <w:snapToGrid w:val="0"/>
              <w:spacing w:line="288" w:lineRule="auto"/>
              <w:rPr>
                <w:rFonts w:ascii="宋体" w:hAnsi="宋体"/>
                <w:sz w:val="20"/>
                <w:szCs w:val="20"/>
              </w:rPr>
            </w:pPr>
            <w:r>
              <w:rPr>
                <w:rFonts w:hint="eastAsia" w:ascii="宋体" w:hAnsi="宋体"/>
                <w:sz w:val="20"/>
                <w:szCs w:val="20"/>
              </w:rPr>
              <w:t>3.理解给药的风险与防范措施。</w:t>
            </w:r>
            <w:bookmarkEnd w:id="3"/>
          </w:p>
          <w:p>
            <w:pPr>
              <w:snapToGrid w:val="0"/>
              <w:spacing w:line="288" w:lineRule="auto"/>
              <w:rPr>
                <w:rFonts w:ascii="宋体" w:hAnsi="宋体"/>
                <w:sz w:val="20"/>
                <w:szCs w:val="20"/>
              </w:rPr>
            </w:pPr>
            <w:r>
              <w:rPr>
                <w:rFonts w:ascii="宋体" w:hAnsi="宋体"/>
                <w:sz w:val="20"/>
                <w:szCs w:val="20"/>
              </w:rPr>
              <w:t xml:space="preserve"> </w:t>
            </w:r>
          </w:p>
        </w:tc>
        <w:tc>
          <w:tcPr>
            <w:tcW w:w="1219" w:type="pct"/>
          </w:tcPr>
          <w:p>
            <w:pPr>
              <w:snapToGrid w:val="0"/>
              <w:spacing w:line="288" w:lineRule="auto"/>
              <w:rPr>
                <w:rFonts w:ascii="宋体" w:hAnsi="宋体"/>
                <w:sz w:val="20"/>
                <w:szCs w:val="20"/>
              </w:rPr>
            </w:pPr>
            <w:r>
              <w:rPr>
                <w:rFonts w:hint="eastAsia" w:ascii="宋体" w:hAnsi="宋体"/>
                <w:sz w:val="20"/>
                <w:szCs w:val="20"/>
              </w:rPr>
              <w:t>1.能分析药物存放的风险与防范措施；能理解正确给药中每个环节的重要性。</w:t>
            </w:r>
          </w:p>
          <w:p>
            <w:pPr>
              <w:snapToGrid w:val="0"/>
              <w:spacing w:line="288" w:lineRule="auto"/>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能说出给药时的三查七对制度。</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能说出药物不良反应上报的程序。</w:t>
            </w:r>
          </w:p>
        </w:tc>
        <w:tc>
          <w:tcPr>
            <w:tcW w:w="779" w:type="pct"/>
          </w:tcPr>
          <w:p>
            <w:pPr>
              <w:snapToGrid w:val="0"/>
              <w:spacing w:line="288" w:lineRule="auto"/>
              <w:rPr>
                <w:rFonts w:ascii="宋体" w:hAnsi="宋体"/>
                <w:sz w:val="20"/>
                <w:szCs w:val="20"/>
              </w:rPr>
            </w:pPr>
            <w:r>
              <w:rPr>
                <w:rFonts w:hint="eastAsia" w:ascii="宋体" w:hAnsi="宋体"/>
                <w:sz w:val="20"/>
                <w:szCs w:val="20"/>
              </w:rPr>
              <w:t>1.培养护士在临床工作中提高安全用药的能力。</w:t>
            </w:r>
          </w:p>
          <w:p>
            <w:pPr>
              <w:snapToGrid w:val="0"/>
              <w:spacing w:line="288" w:lineRule="auto"/>
              <w:rPr>
                <w:rFonts w:ascii="宋体" w:hAnsi="宋体"/>
                <w:sz w:val="20"/>
                <w:szCs w:val="20"/>
              </w:rPr>
            </w:pPr>
          </w:p>
          <w:p>
            <w:pPr>
              <w:snapToGrid w:val="0"/>
              <w:spacing w:line="288" w:lineRule="auto"/>
              <w:rPr>
                <w:rFonts w:ascii="宋体" w:hAnsi="宋体"/>
                <w:sz w:val="20"/>
                <w:szCs w:val="20"/>
              </w:rPr>
            </w:pPr>
          </w:p>
        </w:tc>
        <w:tc>
          <w:tcPr>
            <w:tcW w:w="690" w:type="pct"/>
          </w:tcPr>
          <w:p>
            <w:pPr>
              <w:snapToGrid w:val="0"/>
              <w:spacing w:line="288" w:lineRule="auto"/>
              <w:rPr>
                <w:rFonts w:ascii="宋体" w:hAnsi="宋体"/>
                <w:sz w:val="20"/>
                <w:szCs w:val="20"/>
              </w:rPr>
            </w:pPr>
            <w:r>
              <w:rPr>
                <w:rFonts w:hint="eastAsia" w:ascii="宋体" w:hAnsi="宋体"/>
                <w:sz w:val="20"/>
                <w:szCs w:val="20"/>
              </w:rPr>
              <w:t>1.给药的风险与防范措施的运用；</w:t>
            </w:r>
          </w:p>
          <w:p>
            <w:pPr>
              <w:snapToGrid w:val="0"/>
              <w:spacing w:line="288" w:lineRule="auto"/>
              <w:rPr>
                <w:rFonts w:ascii="宋体" w:hAnsi="宋体"/>
                <w:sz w:val="20"/>
                <w:szCs w:val="20"/>
              </w:rPr>
            </w:pPr>
            <w:r>
              <w:rPr>
                <w:rFonts w:hint="eastAsia" w:ascii="宋体" w:hAnsi="宋体"/>
                <w:sz w:val="20"/>
                <w:szCs w:val="20"/>
              </w:rPr>
              <w:t>2.药物辨识风险及配伍风险的认识。</w:t>
            </w:r>
          </w:p>
        </w:tc>
        <w:tc>
          <w:tcPr>
            <w:tcW w:w="244" w:type="pct"/>
          </w:tcPr>
          <w:p>
            <w:pPr>
              <w:rPr>
                <w:rFonts w:ascii="宋体" w:hAnsi="宋体"/>
                <w:color w:val="000000"/>
                <w:sz w:val="20"/>
                <w:szCs w:val="20"/>
              </w:rPr>
            </w:pPr>
            <w:r>
              <w:rPr>
                <w:rFonts w:ascii="宋体" w:hAnsi="宋体"/>
                <w:color w:val="000000"/>
                <w:sz w:val="20"/>
                <w:szCs w:val="20"/>
              </w:rPr>
              <w:t>2</w:t>
            </w:r>
          </w:p>
        </w:tc>
        <w:tc>
          <w:tcPr>
            <w:tcW w:w="254" w:type="pct"/>
          </w:tcPr>
          <w:p>
            <w:pPr>
              <w:rPr>
                <w:rFonts w:ascii="宋体" w:hAnsi="宋体"/>
                <w:color w:val="000000"/>
                <w:sz w:val="20"/>
                <w:szCs w:val="20"/>
              </w:rPr>
            </w:pPr>
            <w:r>
              <w:rPr>
                <w:rFonts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临床护理中的病人安全</w:t>
            </w:r>
          </w:p>
        </w:tc>
        <w:tc>
          <w:tcPr>
            <w:tcW w:w="945" w:type="pct"/>
          </w:tcPr>
          <w:p>
            <w:pPr>
              <w:snapToGrid w:val="0"/>
              <w:spacing w:line="288" w:lineRule="auto"/>
              <w:rPr>
                <w:rFonts w:ascii="宋体" w:hAnsi="宋体"/>
                <w:sz w:val="20"/>
                <w:szCs w:val="20"/>
              </w:rPr>
            </w:pPr>
            <w:r>
              <w:rPr>
                <w:rFonts w:hint="eastAsia" w:ascii="宋体" w:hAnsi="宋体"/>
                <w:sz w:val="20"/>
                <w:szCs w:val="20"/>
              </w:rPr>
              <w:t>1.理解2</w:t>
            </w:r>
            <w:r>
              <w:rPr>
                <w:rFonts w:ascii="宋体" w:hAnsi="宋体"/>
                <w:sz w:val="20"/>
                <w:szCs w:val="20"/>
              </w:rPr>
              <w:t>017</w:t>
            </w:r>
            <w:r>
              <w:rPr>
                <w:rFonts w:hint="eastAsia" w:ascii="宋体" w:hAnsi="宋体"/>
                <w:sz w:val="20"/>
                <w:szCs w:val="20"/>
              </w:rPr>
              <w:t>病人十大安全目标；</w:t>
            </w:r>
          </w:p>
          <w:p>
            <w:pPr>
              <w:snapToGrid w:val="0"/>
              <w:spacing w:line="288" w:lineRule="auto"/>
              <w:rPr>
                <w:rFonts w:ascii="宋体" w:hAnsi="宋体"/>
                <w:sz w:val="20"/>
                <w:szCs w:val="20"/>
              </w:rPr>
            </w:pPr>
            <w:r>
              <w:rPr>
                <w:rFonts w:hint="eastAsia" w:ascii="宋体" w:hAnsi="宋体"/>
                <w:sz w:val="20"/>
                <w:szCs w:val="20"/>
              </w:rPr>
              <w:t>2.知道急诊、住院病人常见的护理风险；</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综合应用病人安全管理系统中的管理屏障和物理屏障。</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能描述急诊病情分诊依据；</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运用危重病人院内转运风险的防范措施；</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理解跌倒和压疮的护理风险评估；</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预防不良会事件的发生，确保病人在就医过程中免受伤害。</w:t>
            </w:r>
          </w:p>
        </w:tc>
        <w:tc>
          <w:tcPr>
            <w:tcW w:w="690" w:type="pct"/>
          </w:tcPr>
          <w:p>
            <w:pPr>
              <w:snapToGrid w:val="0"/>
              <w:spacing w:line="288" w:lineRule="auto"/>
              <w:rPr>
                <w:rFonts w:ascii="宋体" w:hAnsi="宋体"/>
                <w:sz w:val="20"/>
                <w:szCs w:val="20"/>
              </w:rPr>
            </w:pPr>
            <w:r>
              <w:rPr>
                <w:rFonts w:hint="eastAsia" w:ascii="宋体" w:hAnsi="宋体"/>
                <w:sz w:val="20"/>
                <w:szCs w:val="20"/>
              </w:rPr>
              <w:t>1.2</w:t>
            </w:r>
            <w:r>
              <w:rPr>
                <w:rFonts w:ascii="宋体" w:hAnsi="宋体"/>
                <w:sz w:val="20"/>
                <w:szCs w:val="20"/>
              </w:rPr>
              <w:t>017</w:t>
            </w:r>
            <w:r>
              <w:rPr>
                <w:rFonts w:hint="eastAsia" w:ascii="宋体" w:hAnsi="宋体"/>
                <w:sz w:val="20"/>
                <w:szCs w:val="20"/>
              </w:rPr>
              <w:t>病人十大安全目标的正确理解；2</w:t>
            </w:r>
            <w:r>
              <w:rPr>
                <w:rFonts w:ascii="宋体" w:hAnsi="宋体"/>
                <w:sz w:val="20"/>
                <w:szCs w:val="20"/>
              </w:rPr>
              <w:t>.PDCA</w:t>
            </w:r>
            <w:r>
              <w:rPr>
                <w:rFonts w:hint="eastAsia" w:ascii="宋体" w:hAnsi="宋体"/>
                <w:sz w:val="20"/>
                <w:szCs w:val="20"/>
              </w:rPr>
              <w:t>循环模式在护理安全质量改进中的应用；</w:t>
            </w:r>
          </w:p>
        </w:tc>
        <w:tc>
          <w:tcPr>
            <w:tcW w:w="244" w:type="pct"/>
          </w:tcPr>
          <w:p>
            <w:pPr>
              <w:rPr>
                <w:rFonts w:ascii="宋体" w:hAnsi="宋体"/>
                <w:color w:val="000000"/>
                <w:sz w:val="20"/>
                <w:szCs w:val="20"/>
              </w:rPr>
            </w:pPr>
            <w:r>
              <w:rPr>
                <w:rFonts w:ascii="宋体" w:hAnsi="宋体"/>
                <w:color w:val="000000"/>
                <w:sz w:val="20"/>
                <w:szCs w:val="20"/>
              </w:rPr>
              <w:t>4</w:t>
            </w:r>
          </w:p>
        </w:tc>
        <w:tc>
          <w:tcPr>
            <w:tcW w:w="254" w:type="pct"/>
          </w:tcPr>
          <w:p>
            <w:pPr>
              <w:rPr>
                <w:rFonts w:ascii="宋体" w:hAnsi="宋体"/>
                <w:color w:val="000000"/>
                <w:sz w:val="20"/>
                <w:szCs w:val="20"/>
              </w:rPr>
            </w:pPr>
            <w:r>
              <w:rPr>
                <w:rFonts w:ascii="宋体" w:hAnsi="宋体"/>
                <w:color w:val="000000"/>
                <w:sz w:val="20"/>
                <w:szCs w:val="20"/>
              </w:rPr>
              <w:t>2</w:t>
            </w:r>
          </w:p>
        </w:tc>
        <w:tc>
          <w:tcPr>
            <w:tcW w:w="257" w:type="pct"/>
          </w:tcPr>
          <w:p>
            <w:pPr>
              <w:rPr>
                <w:rFonts w:ascii="宋体" w:hAnsi="宋体"/>
                <w:color w:val="000000"/>
                <w:sz w:val="20"/>
                <w:szCs w:val="20"/>
              </w:rPr>
            </w:pPr>
            <w:r>
              <w:rPr>
                <w:rFonts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0</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病人参与病人安全的教育</w:t>
            </w:r>
          </w:p>
        </w:tc>
        <w:tc>
          <w:tcPr>
            <w:tcW w:w="945"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知道健康教育的概念及其相关理论；</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评价病人参与病人安全的角色作用与影响因素；</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知晓女性特殊生理时期的安全教育策略。</w:t>
            </w:r>
          </w:p>
          <w:p>
            <w:pPr>
              <w:snapToGrid w:val="0"/>
              <w:spacing w:line="288" w:lineRule="auto"/>
              <w:rPr>
                <w:rFonts w:ascii="宋体" w:hAnsi="宋体"/>
                <w:sz w:val="20"/>
                <w:szCs w:val="20"/>
              </w:rPr>
            </w:pPr>
            <w:r>
              <w:rPr>
                <w:rFonts w:hint="eastAsia" w:ascii="宋体" w:hAnsi="宋体"/>
                <w:sz w:val="20"/>
                <w:szCs w:val="20"/>
              </w:rPr>
              <w:t xml:space="preserve"> </w:t>
            </w:r>
          </w:p>
        </w:tc>
        <w:tc>
          <w:tcPr>
            <w:tcW w:w="121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能说出自我管理的任务；</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能理解医院内病人参与概念框架；</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能说出婴幼儿期和青少年期常见的安全隐患。</w:t>
            </w:r>
          </w:p>
        </w:tc>
        <w:tc>
          <w:tcPr>
            <w:tcW w:w="77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 xml:space="preserve">鼓励病人主动参与医疗过程，树立以人的健康为中心的整体护理理念。 </w:t>
            </w:r>
          </w:p>
        </w:tc>
        <w:tc>
          <w:tcPr>
            <w:tcW w:w="690"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病人参与病人安全策略的运用。</w:t>
            </w:r>
          </w:p>
        </w:tc>
        <w:tc>
          <w:tcPr>
            <w:tcW w:w="244" w:type="pct"/>
          </w:tcPr>
          <w:p>
            <w:pPr>
              <w:rPr>
                <w:rFonts w:ascii="宋体" w:hAnsi="宋体"/>
                <w:color w:val="000000"/>
                <w:sz w:val="20"/>
                <w:szCs w:val="20"/>
              </w:rPr>
            </w:pPr>
            <w:r>
              <w:rPr>
                <w:rFonts w:hint="eastAsia" w:ascii="宋体" w:hAnsi="宋体"/>
                <w:color w:val="000000"/>
                <w:sz w:val="20"/>
                <w:szCs w:val="20"/>
              </w:rPr>
              <w:t>2</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hint="eastAsia" w:ascii="宋体" w:hAnsi="宋体"/>
                <w:color w:val="000000"/>
                <w:sz w:val="20"/>
                <w:szCs w:val="20"/>
              </w:rPr>
              <w:t>2</w:t>
            </w:r>
          </w:p>
        </w:tc>
      </w:tr>
    </w:tbl>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85"/>
        <w:gridCol w:w="3060"/>
        <w:gridCol w:w="915"/>
        <w:gridCol w:w="111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1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6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S</w:t>
            </w:r>
            <w:r>
              <w:rPr>
                <w:rFonts w:ascii="宋体" w:hAnsi="宋体"/>
                <w:sz w:val="20"/>
                <w:szCs w:val="20"/>
              </w:rPr>
              <w:t>BAR</w:t>
            </w:r>
            <w:r>
              <w:rPr>
                <w:rFonts w:hint="eastAsia" w:ascii="宋体" w:hAnsi="宋体"/>
                <w:sz w:val="20"/>
                <w:szCs w:val="20"/>
              </w:rPr>
              <w:t>沟通运用</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在临床护理交班中应用S</w:t>
            </w:r>
            <w:r>
              <w:rPr>
                <w:rFonts w:ascii="宋体" w:hAnsi="宋体"/>
                <w:sz w:val="20"/>
                <w:szCs w:val="20"/>
              </w:rPr>
              <w:t>BAR</w:t>
            </w:r>
            <w:r>
              <w:rPr>
                <w:rFonts w:hint="eastAsia" w:ascii="宋体" w:hAnsi="宋体"/>
                <w:sz w:val="20"/>
                <w:szCs w:val="20"/>
              </w:rPr>
              <w:t>技术进行沟通</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手卫生</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洗手法、卫生手消毒法等</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锐器伤的防护</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锐器的规范使用与处理</w:t>
            </w:r>
          </w:p>
          <w:p>
            <w:pPr>
              <w:snapToGrid w:val="0"/>
              <w:jc w:val="left"/>
              <w:rPr>
                <w:rFonts w:ascii="宋体" w:hAnsi="宋体"/>
                <w:sz w:val="20"/>
                <w:szCs w:val="20"/>
              </w:rPr>
            </w:pPr>
            <w:r>
              <w:rPr>
                <w:rFonts w:hint="eastAsia" w:ascii="宋体" w:hAnsi="宋体"/>
                <w:sz w:val="20"/>
                <w:szCs w:val="20"/>
              </w:rPr>
              <w:t>锐器伤应急预案演练</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患者转运与交接</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急诊患者安全转送至病房</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bl>
    <w:tbl>
      <w:tblPr>
        <w:tblStyle w:val="5"/>
        <w:tblpPr w:leftFromText="180" w:rightFromText="180" w:vertAnchor="text" w:horzAnchor="page" w:tblpX="1875" w:tblpY="52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期末闭卷考试</w:t>
            </w:r>
          </w:p>
        </w:tc>
        <w:tc>
          <w:tcPr>
            <w:tcW w:w="1843" w:type="dxa"/>
            <w:shd w:val="clear" w:color="auto" w:fill="auto"/>
          </w:tcPr>
          <w:p>
            <w:pPr>
              <w:widowControl/>
              <w:spacing w:line="360" w:lineRule="auto"/>
              <w:jc w:val="center"/>
              <w:rPr>
                <w:rFonts w:ascii="宋体" w:hAnsi="宋体"/>
                <w:bCs/>
                <w:color w:val="000000"/>
                <w:szCs w:val="20"/>
              </w:rPr>
            </w:pPr>
            <w:r>
              <w:rPr>
                <w:rFonts w:ascii="宋体" w:hAnsi="宋体" w:cs="Arial"/>
                <w:kern w:val="0"/>
                <w:szCs w:val="21"/>
              </w:rPr>
              <w:t>5</w:t>
            </w:r>
            <w:r>
              <w:rPr>
                <w:rFonts w:hint="eastAsia" w:ascii="宋体" w:hAnsi="宋体" w:cs="Arial"/>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阶段测试</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X2</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bCs/>
                <w:szCs w:val="21"/>
              </w:rPr>
              <w:t>实训报告</w:t>
            </w:r>
          </w:p>
        </w:tc>
        <w:tc>
          <w:tcPr>
            <w:tcW w:w="1843" w:type="dxa"/>
            <w:shd w:val="clear" w:color="auto" w:fill="auto"/>
          </w:tcPr>
          <w:p>
            <w:pPr>
              <w:widowControl/>
              <w:spacing w:line="360" w:lineRule="auto"/>
              <w:jc w:val="center"/>
              <w:rPr>
                <w:rFonts w:ascii="宋体" w:hAnsi="宋体"/>
                <w:bCs/>
                <w:color w:val="000000"/>
                <w:szCs w:val="20"/>
              </w:rPr>
            </w:pPr>
            <w:r>
              <w:rPr>
                <w:rFonts w:ascii="宋体" w:hAnsi="宋体" w:cs="Arial"/>
                <w:kern w:val="0"/>
                <w:szCs w:val="21"/>
              </w:rPr>
              <w:t>20</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X3</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出勤率、课堂表现</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w:t>
            </w:r>
          </w:p>
        </w:tc>
      </w:tr>
    </w:tbl>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rPr>
        <w:t>八、评价方式与成绩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sz w:val="28"/>
          <w:szCs w:val="28"/>
        </w:rPr>
        <w:drawing>
          <wp:anchor distT="0" distB="0" distL="114300" distR="114300" simplePos="0" relativeHeight="251660288" behindDoc="0" locked="0" layoutInCell="1" allowOverlap="1">
            <wp:simplePos x="0" y="0"/>
            <wp:positionH relativeFrom="column">
              <wp:posOffset>1422400</wp:posOffset>
            </wp:positionH>
            <wp:positionV relativeFrom="paragraph">
              <wp:posOffset>34925</wp:posOffset>
            </wp:positionV>
            <wp:extent cx="572770" cy="2355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2770" cy="235585"/>
                    </a:xfrm>
                    <a:prstGeom prst="rect">
                      <a:avLst/>
                    </a:prstGeom>
                    <a:noFill/>
                    <a:ln>
                      <a:noFill/>
                    </a:ln>
                  </pic:spPr>
                </pic:pic>
              </a:graphicData>
            </a:graphic>
          </wp:anchor>
        </w:drawing>
      </w:r>
      <w:r>
        <w:rPr>
          <w:rFonts w:hint="eastAsia"/>
          <w:sz w:val="28"/>
          <w:szCs w:val="28"/>
        </w:rPr>
        <w:t xml:space="preserve">        系主任审核签名：</w:t>
      </w:r>
      <w:r>
        <w:drawing>
          <wp:anchor distT="0" distB="0" distL="114300" distR="114300" simplePos="0" relativeHeight="251661312" behindDoc="0" locked="0" layoutInCell="1" allowOverlap="1">
            <wp:simplePos x="0" y="0"/>
            <wp:positionH relativeFrom="column">
              <wp:posOffset>3556000</wp:posOffset>
            </wp:positionH>
            <wp:positionV relativeFrom="paragraph">
              <wp:posOffset>-2540</wp:posOffset>
            </wp:positionV>
            <wp:extent cx="628650" cy="2730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8650" cy="273050"/>
                    </a:xfrm>
                    <a:prstGeom prst="rect">
                      <a:avLst/>
                    </a:prstGeom>
                    <a:noFill/>
                    <a:ln>
                      <a:noFill/>
                    </a:ln>
                  </pic:spPr>
                </pic:pic>
              </a:graphicData>
            </a:graphic>
          </wp:anchor>
        </w:drawing>
      </w:r>
    </w:p>
    <w:p>
      <w:pPr>
        <w:snapToGrid w:val="0"/>
        <w:spacing w:line="288" w:lineRule="auto"/>
        <w:ind w:firstLine="840" w:firstLineChars="300"/>
        <w:rPr>
          <w:sz w:val="28"/>
          <w:szCs w:val="28"/>
        </w:rPr>
      </w:pPr>
      <w:r>
        <w:rPr>
          <w:rFonts w:hint="eastAsia"/>
          <w:sz w:val="28"/>
          <w:szCs w:val="28"/>
        </w:rPr>
        <w:t>审核时间：202</w:t>
      </w:r>
      <w:r>
        <w:rPr>
          <w:sz w:val="28"/>
          <w:szCs w:val="28"/>
        </w:rPr>
        <w:t>3</w:t>
      </w:r>
      <w:r>
        <w:rPr>
          <w:rFonts w:hint="eastAsia"/>
          <w:sz w:val="28"/>
          <w:szCs w:val="28"/>
        </w:rPr>
        <w:t>-</w:t>
      </w:r>
      <w:r>
        <w:rPr>
          <w:sz w:val="28"/>
          <w:szCs w:val="28"/>
        </w:rPr>
        <w:t>01</w:t>
      </w:r>
      <w:bookmarkStart w:id="4" w:name="_GoBack"/>
      <w:bookmarkEnd w:id="4"/>
      <w:r>
        <w:rPr>
          <w:rFonts w:hint="eastAsia"/>
          <w:sz w:val="28"/>
          <w:szCs w:val="28"/>
        </w:rPr>
        <w:t>-</w:t>
      </w:r>
      <w:r>
        <w:rPr>
          <w:sz w:val="28"/>
          <w:szCs w:val="28"/>
        </w:rPr>
        <w:t>10</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E49B"/>
    <w:multiLevelType w:val="singleLevel"/>
    <w:tmpl w:val="F988E49B"/>
    <w:lvl w:ilvl="0" w:tentative="0">
      <w:start w:val="1"/>
      <w:numFmt w:val="decimal"/>
      <w:lvlText w:val="%1."/>
      <w:lvlJc w:val="left"/>
      <w:pPr>
        <w:tabs>
          <w:tab w:val="left" w:pos="312"/>
        </w:tabs>
      </w:pPr>
    </w:lvl>
  </w:abstractNum>
  <w:abstractNum w:abstractNumId="1">
    <w:nsid w:val="05AE8EFB"/>
    <w:multiLevelType w:val="singleLevel"/>
    <w:tmpl w:val="05AE8EF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JiNGE1MTY1YjM1ODhmOGRiYTFkMzQ0NzZlY2E5MzIifQ=="/>
  </w:docVars>
  <w:rsids>
    <w:rsidRoot w:val="00B7651F"/>
    <w:rsid w:val="00022A05"/>
    <w:rsid w:val="000428FA"/>
    <w:rsid w:val="000543F5"/>
    <w:rsid w:val="0006219A"/>
    <w:rsid w:val="00071501"/>
    <w:rsid w:val="00072C37"/>
    <w:rsid w:val="00081D54"/>
    <w:rsid w:val="00082696"/>
    <w:rsid w:val="00082A81"/>
    <w:rsid w:val="00096697"/>
    <w:rsid w:val="000B1D0E"/>
    <w:rsid w:val="000C106F"/>
    <w:rsid w:val="000C4C1A"/>
    <w:rsid w:val="000C7C42"/>
    <w:rsid w:val="000D6F24"/>
    <w:rsid w:val="000E08A5"/>
    <w:rsid w:val="000E0C8A"/>
    <w:rsid w:val="000F1D3D"/>
    <w:rsid w:val="001055E5"/>
    <w:rsid w:val="001072BC"/>
    <w:rsid w:val="001151C2"/>
    <w:rsid w:val="0012011B"/>
    <w:rsid w:val="001241D4"/>
    <w:rsid w:val="00124DF5"/>
    <w:rsid w:val="00126416"/>
    <w:rsid w:val="00136243"/>
    <w:rsid w:val="00143571"/>
    <w:rsid w:val="001510DB"/>
    <w:rsid w:val="001733E4"/>
    <w:rsid w:val="001955CA"/>
    <w:rsid w:val="001A1732"/>
    <w:rsid w:val="001A40DC"/>
    <w:rsid w:val="001E3496"/>
    <w:rsid w:val="001E54F4"/>
    <w:rsid w:val="001E6300"/>
    <w:rsid w:val="001E7A76"/>
    <w:rsid w:val="002231D3"/>
    <w:rsid w:val="00224089"/>
    <w:rsid w:val="00237975"/>
    <w:rsid w:val="00247C8C"/>
    <w:rsid w:val="002541AF"/>
    <w:rsid w:val="002548FB"/>
    <w:rsid w:val="00256B39"/>
    <w:rsid w:val="0026033C"/>
    <w:rsid w:val="0026604A"/>
    <w:rsid w:val="0027417E"/>
    <w:rsid w:val="00274B38"/>
    <w:rsid w:val="0029706E"/>
    <w:rsid w:val="002A7643"/>
    <w:rsid w:val="002B35A1"/>
    <w:rsid w:val="002C4673"/>
    <w:rsid w:val="002E3721"/>
    <w:rsid w:val="002F2435"/>
    <w:rsid w:val="002F474C"/>
    <w:rsid w:val="003109CA"/>
    <w:rsid w:val="00313BBA"/>
    <w:rsid w:val="00320FEC"/>
    <w:rsid w:val="003248ED"/>
    <w:rsid w:val="00324993"/>
    <w:rsid w:val="003259EE"/>
    <w:rsid w:val="0032602E"/>
    <w:rsid w:val="00327B48"/>
    <w:rsid w:val="003367AE"/>
    <w:rsid w:val="003372F3"/>
    <w:rsid w:val="003505F2"/>
    <w:rsid w:val="003563E2"/>
    <w:rsid w:val="00367F09"/>
    <w:rsid w:val="00374986"/>
    <w:rsid w:val="0038058F"/>
    <w:rsid w:val="00393D26"/>
    <w:rsid w:val="003B1258"/>
    <w:rsid w:val="003B48AE"/>
    <w:rsid w:val="003C0E49"/>
    <w:rsid w:val="003C2E36"/>
    <w:rsid w:val="003C3013"/>
    <w:rsid w:val="003E5374"/>
    <w:rsid w:val="004100B0"/>
    <w:rsid w:val="00415448"/>
    <w:rsid w:val="00417ECC"/>
    <w:rsid w:val="004308CB"/>
    <w:rsid w:val="00433269"/>
    <w:rsid w:val="004418B7"/>
    <w:rsid w:val="00443B62"/>
    <w:rsid w:val="0044510B"/>
    <w:rsid w:val="0044520D"/>
    <w:rsid w:val="004473EC"/>
    <w:rsid w:val="00450ED4"/>
    <w:rsid w:val="00451503"/>
    <w:rsid w:val="00457C42"/>
    <w:rsid w:val="00461222"/>
    <w:rsid w:val="00464737"/>
    <w:rsid w:val="00471258"/>
    <w:rsid w:val="004964E5"/>
    <w:rsid w:val="004A394A"/>
    <w:rsid w:val="004B0B4F"/>
    <w:rsid w:val="004C28CE"/>
    <w:rsid w:val="004D4455"/>
    <w:rsid w:val="004E00A8"/>
    <w:rsid w:val="004F0D2C"/>
    <w:rsid w:val="004F0EC1"/>
    <w:rsid w:val="00503A1A"/>
    <w:rsid w:val="00505114"/>
    <w:rsid w:val="00511C44"/>
    <w:rsid w:val="00512FFD"/>
    <w:rsid w:val="00516D38"/>
    <w:rsid w:val="00520EA6"/>
    <w:rsid w:val="005252DC"/>
    <w:rsid w:val="00542327"/>
    <w:rsid w:val="005467DC"/>
    <w:rsid w:val="00553D03"/>
    <w:rsid w:val="005553E7"/>
    <w:rsid w:val="005604B7"/>
    <w:rsid w:val="00564737"/>
    <w:rsid w:val="00571DF4"/>
    <w:rsid w:val="00590BE3"/>
    <w:rsid w:val="005975FB"/>
    <w:rsid w:val="005A48ED"/>
    <w:rsid w:val="005A63DC"/>
    <w:rsid w:val="005B2B6D"/>
    <w:rsid w:val="005B4B4E"/>
    <w:rsid w:val="005B7CC8"/>
    <w:rsid w:val="005B7F3F"/>
    <w:rsid w:val="005C2225"/>
    <w:rsid w:val="005D1D35"/>
    <w:rsid w:val="005E0AAE"/>
    <w:rsid w:val="005F69BE"/>
    <w:rsid w:val="0060223E"/>
    <w:rsid w:val="00622D79"/>
    <w:rsid w:val="00624FE1"/>
    <w:rsid w:val="00627F79"/>
    <w:rsid w:val="00640E46"/>
    <w:rsid w:val="0064359E"/>
    <w:rsid w:val="00652156"/>
    <w:rsid w:val="006530EA"/>
    <w:rsid w:val="00653AD4"/>
    <w:rsid w:val="006717D0"/>
    <w:rsid w:val="00681010"/>
    <w:rsid w:val="00684325"/>
    <w:rsid w:val="00684B78"/>
    <w:rsid w:val="0068680F"/>
    <w:rsid w:val="00693F94"/>
    <w:rsid w:val="00694537"/>
    <w:rsid w:val="006A2067"/>
    <w:rsid w:val="006A24CA"/>
    <w:rsid w:val="006A3B72"/>
    <w:rsid w:val="006C382B"/>
    <w:rsid w:val="006D2C23"/>
    <w:rsid w:val="006F7ECD"/>
    <w:rsid w:val="007105B8"/>
    <w:rsid w:val="007208D6"/>
    <w:rsid w:val="00727305"/>
    <w:rsid w:val="0073499B"/>
    <w:rsid w:val="007470ED"/>
    <w:rsid w:val="0074787F"/>
    <w:rsid w:val="00754B98"/>
    <w:rsid w:val="00771DD9"/>
    <w:rsid w:val="007833E0"/>
    <w:rsid w:val="007A061D"/>
    <w:rsid w:val="007D088E"/>
    <w:rsid w:val="007D1D5B"/>
    <w:rsid w:val="007D2892"/>
    <w:rsid w:val="007D388A"/>
    <w:rsid w:val="007E0901"/>
    <w:rsid w:val="007E45D6"/>
    <w:rsid w:val="007E68AF"/>
    <w:rsid w:val="007E7249"/>
    <w:rsid w:val="007F568B"/>
    <w:rsid w:val="008041F5"/>
    <w:rsid w:val="00807A66"/>
    <w:rsid w:val="00810F33"/>
    <w:rsid w:val="00835607"/>
    <w:rsid w:val="00846CE9"/>
    <w:rsid w:val="00870FAC"/>
    <w:rsid w:val="00880DCE"/>
    <w:rsid w:val="00883D89"/>
    <w:rsid w:val="0089190A"/>
    <w:rsid w:val="008B397C"/>
    <w:rsid w:val="008B47F4"/>
    <w:rsid w:val="008B59FB"/>
    <w:rsid w:val="008B7E22"/>
    <w:rsid w:val="008C27D7"/>
    <w:rsid w:val="008D4284"/>
    <w:rsid w:val="008D7650"/>
    <w:rsid w:val="008E67F2"/>
    <w:rsid w:val="008F0362"/>
    <w:rsid w:val="008F7ACC"/>
    <w:rsid w:val="00900019"/>
    <w:rsid w:val="00914E60"/>
    <w:rsid w:val="00922B6F"/>
    <w:rsid w:val="00935AA3"/>
    <w:rsid w:val="00940834"/>
    <w:rsid w:val="00951ED2"/>
    <w:rsid w:val="00965B5B"/>
    <w:rsid w:val="00966362"/>
    <w:rsid w:val="009737F0"/>
    <w:rsid w:val="0099063E"/>
    <w:rsid w:val="009A5EA2"/>
    <w:rsid w:val="009B2923"/>
    <w:rsid w:val="009C43E3"/>
    <w:rsid w:val="009D21E4"/>
    <w:rsid w:val="009D47CA"/>
    <w:rsid w:val="009D567D"/>
    <w:rsid w:val="009F46CD"/>
    <w:rsid w:val="00A03767"/>
    <w:rsid w:val="00A03C35"/>
    <w:rsid w:val="00A0456A"/>
    <w:rsid w:val="00A06F3A"/>
    <w:rsid w:val="00A1199B"/>
    <w:rsid w:val="00A23D7B"/>
    <w:rsid w:val="00A2518F"/>
    <w:rsid w:val="00A36A64"/>
    <w:rsid w:val="00A452CB"/>
    <w:rsid w:val="00A537BC"/>
    <w:rsid w:val="00A769B1"/>
    <w:rsid w:val="00A81723"/>
    <w:rsid w:val="00A837D5"/>
    <w:rsid w:val="00AA09B9"/>
    <w:rsid w:val="00AC045D"/>
    <w:rsid w:val="00AC3F97"/>
    <w:rsid w:val="00AC4C45"/>
    <w:rsid w:val="00AD1D79"/>
    <w:rsid w:val="00AD4F18"/>
    <w:rsid w:val="00AD77E9"/>
    <w:rsid w:val="00AE0A40"/>
    <w:rsid w:val="00AE43C3"/>
    <w:rsid w:val="00AF5E4A"/>
    <w:rsid w:val="00AF7990"/>
    <w:rsid w:val="00B0632C"/>
    <w:rsid w:val="00B165D1"/>
    <w:rsid w:val="00B41953"/>
    <w:rsid w:val="00B43368"/>
    <w:rsid w:val="00B46F21"/>
    <w:rsid w:val="00B47CF1"/>
    <w:rsid w:val="00B511A5"/>
    <w:rsid w:val="00B5486B"/>
    <w:rsid w:val="00B54B72"/>
    <w:rsid w:val="00B61AAF"/>
    <w:rsid w:val="00B63EC3"/>
    <w:rsid w:val="00B63F48"/>
    <w:rsid w:val="00B650A0"/>
    <w:rsid w:val="00B70A67"/>
    <w:rsid w:val="00B736A7"/>
    <w:rsid w:val="00B7651F"/>
    <w:rsid w:val="00B8007D"/>
    <w:rsid w:val="00B900FD"/>
    <w:rsid w:val="00B94FF5"/>
    <w:rsid w:val="00BB3A71"/>
    <w:rsid w:val="00BC0D55"/>
    <w:rsid w:val="00BC13FE"/>
    <w:rsid w:val="00BC24F2"/>
    <w:rsid w:val="00BC265E"/>
    <w:rsid w:val="00BC2820"/>
    <w:rsid w:val="00BC43B1"/>
    <w:rsid w:val="00BD55FA"/>
    <w:rsid w:val="00BE20DE"/>
    <w:rsid w:val="00BE668B"/>
    <w:rsid w:val="00BF339D"/>
    <w:rsid w:val="00C05597"/>
    <w:rsid w:val="00C10AE7"/>
    <w:rsid w:val="00C11D0F"/>
    <w:rsid w:val="00C13D2C"/>
    <w:rsid w:val="00C14FA9"/>
    <w:rsid w:val="00C17896"/>
    <w:rsid w:val="00C2347F"/>
    <w:rsid w:val="00C2709A"/>
    <w:rsid w:val="00C31213"/>
    <w:rsid w:val="00C37825"/>
    <w:rsid w:val="00C504AF"/>
    <w:rsid w:val="00C56E09"/>
    <w:rsid w:val="00C65972"/>
    <w:rsid w:val="00C73F5A"/>
    <w:rsid w:val="00C80A2A"/>
    <w:rsid w:val="00C81289"/>
    <w:rsid w:val="00C84869"/>
    <w:rsid w:val="00C95181"/>
    <w:rsid w:val="00CA0595"/>
    <w:rsid w:val="00CA1B5D"/>
    <w:rsid w:val="00CA4927"/>
    <w:rsid w:val="00CB18AA"/>
    <w:rsid w:val="00CB5447"/>
    <w:rsid w:val="00CC6699"/>
    <w:rsid w:val="00CC7C4F"/>
    <w:rsid w:val="00CD5C8E"/>
    <w:rsid w:val="00CD74C4"/>
    <w:rsid w:val="00CF096B"/>
    <w:rsid w:val="00CF2CBF"/>
    <w:rsid w:val="00D03A55"/>
    <w:rsid w:val="00D041CC"/>
    <w:rsid w:val="00D13147"/>
    <w:rsid w:val="00D132D4"/>
    <w:rsid w:val="00D15543"/>
    <w:rsid w:val="00D179AE"/>
    <w:rsid w:val="00D20C37"/>
    <w:rsid w:val="00D23D4A"/>
    <w:rsid w:val="00D45F81"/>
    <w:rsid w:val="00D66304"/>
    <w:rsid w:val="00D6648D"/>
    <w:rsid w:val="00D70AEC"/>
    <w:rsid w:val="00D72027"/>
    <w:rsid w:val="00DA4720"/>
    <w:rsid w:val="00DA4C4A"/>
    <w:rsid w:val="00DB1AD0"/>
    <w:rsid w:val="00DC3752"/>
    <w:rsid w:val="00DC6190"/>
    <w:rsid w:val="00DC6343"/>
    <w:rsid w:val="00E05299"/>
    <w:rsid w:val="00E05E24"/>
    <w:rsid w:val="00E10BA8"/>
    <w:rsid w:val="00E1274C"/>
    <w:rsid w:val="00E15A41"/>
    <w:rsid w:val="00E16D30"/>
    <w:rsid w:val="00E16FC3"/>
    <w:rsid w:val="00E21290"/>
    <w:rsid w:val="00E33169"/>
    <w:rsid w:val="00E644EA"/>
    <w:rsid w:val="00E671EC"/>
    <w:rsid w:val="00E70904"/>
    <w:rsid w:val="00E82E71"/>
    <w:rsid w:val="00E91324"/>
    <w:rsid w:val="00E943D6"/>
    <w:rsid w:val="00E964FC"/>
    <w:rsid w:val="00E9692F"/>
    <w:rsid w:val="00EB2391"/>
    <w:rsid w:val="00EC0D9B"/>
    <w:rsid w:val="00EC4D21"/>
    <w:rsid w:val="00EE19EC"/>
    <w:rsid w:val="00EE5B3E"/>
    <w:rsid w:val="00EF1A45"/>
    <w:rsid w:val="00EF44B1"/>
    <w:rsid w:val="00EF6E95"/>
    <w:rsid w:val="00EF718B"/>
    <w:rsid w:val="00F044A2"/>
    <w:rsid w:val="00F247B8"/>
    <w:rsid w:val="00F25560"/>
    <w:rsid w:val="00F3056F"/>
    <w:rsid w:val="00F3305E"/>
    <w:rsid w:val="00F35AA0"/>
    <w:rsid w:val="00F41A5D"/>
    <w:rsid w:val="00F470C2"/>
    <w:rsid w:val="00F6385A"/>
    <w:rsid w:val="00F66B27"/>
    <w:rsid w:val="00F77B9C"/>
    <w:rsid w:val="00F82D59"/>
    <w:rsid w:val="00F86355"/>
    <w:rsid w:val="00F865B3"/>
    <w:rsid w:val="00F91631"/>
    <w:rsid w:val="00F93E73"/>
    <w:rsid w:val="00F97841"/>
    <w:rsid w:val="00FA101C"/>
    <w:rsid w:val="00FA3F70"/>
    <w:rsid w:val="00FB27F9"/>
    <w:rsid w:val="00FB5FF7"/>
    <w:rsid w:val="00FC2648"/>
    <w:rsid w:val="00FD0A7C"/>
    <w:rsid w:val="00FD314D"/>
    <w:rsid w:val="00FD7920"/>
    <w:rsid w:val="00FF0600"/>
    <w:rsid w:val="00FF0760"/>
    <w:rsid w:val="00FF379A"/>
    <w:rsid w:val="00FF4B62"/>
    <w:rsid w:val="00FF61B7"/>
    <w:rsid w:val="016E63C2"/>
    <w:rsid w:val="024B0C39"/>
    <w:rsid w:val="0A8128A6"/>
    <w:rsid w:val="0BF32A1B"/>
    <w:rsid w:val="10BD2C22"/>
    <w:rsid w:val="1E85646A"/>
    <w:rsid w:val="1EB329BC"/>
    <w:rsid w:val="22987C80"/>
    <w:rsid w:val="24192CCC"/>
    <w:rsid w:val="28D0217E"/>
    <w:rsid w:val="28EC72F4"/>
    <w:rsid w:val="29FB67FF"/>
    <w:rsid w:val="2A130957"/>
    <w:rsid w:val="2B571C22"/>
    <w:rsid w:val="2B60458C"/>
    <w:rsid w:val="2FB3311B"/>
    <w:rsid w:val="328E0110"/>
    <w:rsid w:val="39A66CD4"/>
    <w:rsid w:val="3CD52CE1"/>
    <w:rsid w:val="410F2E6A"/>
    <w:rsid w:val="4188756C"/>
    <w:rsid w:val="4430136C"/>
    <w:rsid w:val="45F2673F"/>
    <w:rsid w:val="4AB0382B"/>
    <w:rsid w:val="51A30F6D"/>
    <w:rsid w:val="521914D0"/>
    <w:rsid w:val="538A5677"/>
    <w:rsid w:val="569868B5"/>
    <w:rsid w:val="5A447F9A"/>
    <w:rsid w:val="611F6817"/>
    <w:rsid w:val="66CA1754"/>
    <w:rsid w:val="6F1E65D4"/>
    <w:rsid w:val="6F266C86"/>
    <w:rsid w:val="6F5042C2"/>
    <w:rsid w:val="74316312"/>
    <w:rsid w:val="744C792B"/>
    <w:rsid w:val="780F13C8"/>
    <w:rsid w:val="7C385448"/>
    <w:rsid w:val="7CB3663D"/>
    <w:rsid w:val="9FF65F83"/>
    <w:rsid w:val="FD918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批注框文本 字符"/>
    <w:basedOn w:val="7"/>
    <w:link w:val="2"/>
    <w:semiHidden/>
    <w:qFormat/>
    <w:uiPriority w:val="99"/>
    <w:rPr>
      <w:rFonts w:ascii="Calibri" w:hAnsi="Calibr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4303</Words>
  <Characters>4649</Characters>
  <Lines>36</Lines>
  <Paragraphs>10</Paragraphs>
  <TotalTime>0</TotalTime>
  <ScaleCrop>false</ScaleCrop>
  <LinksUpToDate>false</LinksUpToDate>
  <CharactersWithSpaces>4726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大小满妈妈</cp:lastModifiedBy>
  <dcterms:modified xsi:type="dcterms:W3CDTF">2023-03-02T06:31:33Z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DA2BB07CCD164971926D571900D5ECBF</vt:lpwstr>
  </property>
</Properties>
</file>