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AF681">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bCs/>
          <w:sz w:val="32"/>
          <w:szCs w:val="32"/>
        </w:rPr>
        <w:t>药理学</w:t>
      </w:r>
      <w:r>
        <w:rPr>
          <w:rFonts w:hint="eastAsia" w:ascii="黑体" w:hAnsi="黑体" w:eastAsia="黑体"/>
          <w:bCs/>
          <w:sz w:val="32"/>
          <w:szCs w:val="32"/>
        </w:rPr>
        <w:t>》本科课程教学大纲</w:t>
      </w:r>
    </w:p>
    <w:p w14:paraId="10CF33F7">
      <w:pPr>
        <w:pStyle w:val="22"/>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266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noWrap w:val="0"/>
            <w:vAlign w:val="center"/>
          </w:tcPr>
          <w:p w14:paraId="40DADB10">
            <w:pPr>
              <w:widowControl w:val="0"/>
              <w:jc w:val="center"/>
              <w:rPr>
                <w:rFonts w:ascii="黑体" w:hAnsi="黑体" w:eastAsia="黑体"/>
                <w:color w:val="000000"/>
                <w:sz w:val="21"/>
                <w:szCs w:val="18"/>
              </w:rPr>
            </w:pPr>
            <w:r>
              <w:rPr>
                <w:rFonts w:hint="eastAsia" w:ascii="黑体" w:hAnsi="黑体" w:eastAsia="黑体"/>
                <w:color w:val="000000"/>
                <w:sz w:val="21"/>
                <w:szCs w:val="18"/>
              </w:rPr>
              <w:t>课程名称</w:t>
            </w:r>
          </w:p>
        </w:tc>
        <w:tc>
          <w:tcPr>
            <w:tcW w:w="6585" w:type="dxa"/>
            <w:gridSpan w:val="6"/>
            <w:tcBorders>
              <w:top w:val="single" w:color="auto" w:sz="12" w:space="0"/>
              <w:right w:val="single" w:color="auto" w:sz="12" w:space="0"/>
            </w:tcBorders>
            <w:noWrap w:val="0"/>
            <w:vAlign w:val="center"/>
          </w:tcPr>
          <w:p w14:paraId="2CF0292C">
            <w:pPr>
              <w:widowControl w:val="0"/>
              <w:rPr>
                <w:color w:val="000000"/>
                <w:sz w:val="21"/>
                <w:szCs w:val="21"/>
              </w:rPr>
            </w:pPr>
            <w:r>
              <w:rPr>
                <w:rFonts w:hint="eastAsia"/>
                <w:b/>
                <w:color w:val="000000"/>
                <w:sz w:val="21"/>
                <w:szCs w:val="21"/>
              </w:rPr>
              <w:t>药理学</w:t>
            </w:r>
          </w:p>
        </w:tc>
      </w:tr>
      <w:tr w14:paraId="3451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noWrap w:val="0"/>
            <w:vAlign w:val="center"/>
          </w:tcPr>
          <w:p w14:paraId="57725E55">
            <w:pPr>
              <w:widowControl w:val="0"/>
              <w:jc w:val="center"/>
              <w:rPr>
                <w:rFonts w:ascii="黑体" w:hAnsi="黑体" w:eastAsia="黑体"/>
                <w:color w:val="000000"/>
                <w:sz w:val="21"/>
                <w:szCs w:val="18"/>
              </w:rPr>
            </w:pPr>
          </w:p>
        </w:tc>
        <w:tc>
          <w:tcPr>
            <w:tcW w:w="6585" w:type="dxa"/>
            <w:gridSpan w:val="6"/>
            <w:tcBorders>
              <w:right w:val="single" w:color="auto" w:sz="12" w:space="0"/>
            </w:tcBorders>
            <w:noWrap w:val="0"/>
            <w:vAlign w:val="center"/>
          </w:tcPr>
          <w:p w14:paraId="13C69120">
            <w:pPr>
              <w:widowControl w:val="0"/>
              <w:rPr>
                <w:color w:val="000000"/>
                <w:sz w:val="21"/>
                <w:szCs w:val="21"/>
              </w:rPr>
            </w:pPr>
            <w:r>
              <w:rPr>
                <w:rFonts w:hint="eastAsia" w:ascii="黑体" w:hAnsi="黑体" w:eastAsia="黑体"/>
                <w:b/>
                <w:color w:val="000000"/>
                <w:sz w:val="21"/>
                <w:szCs w:val="21"/>
              </w:rPr>
              <w:t>Pharmacology</w:t>
            </w:r>
          </w:p>
        </w:tc>
      </w:tr>
      <w:tr w14:paraId="5A02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3521C6DE">
            <w:pPr>
              <w:widowControl w:val="0"/>
              <w:jc w:val="center"/>
              <w:rPr>
                <w:rFonts w:ascii="黑体" w:hAnsi="黑体" w:eastAsia="黑体"/>
                <w:color w:val="000000"/>
                <w:sz w:val="21"/>
                <w:szCs w:val="18"/>
              </w:rPr>
            </w:pPr>
            <w:r>
              <w:rPr>
                <w:rFonts w:ascii="黑体" w:hAnsi="黑体" w:eastAsia="黑体"/>
                <w:color w:val="000000"/>
                <w:sz w:val="21"/>
                <w:szCs w:val="18"/>
              </w:rPr>
              <w:t>课程代码</w:t>
            </w:r>
          </w:p>
        </w:tc>
        <w:tc>
          <w:tcPr>
            <w:tcW w:w="2260" w:type="dxa"/>
            <w:noWrap w:val="0"/>
            <w:vAlign w:val="center"/>
          </w:tcPr>
          <w:p w14:paraId="23E9EB68">
            <w:pPr>
              <w:widowControl w:val="0"/>
              <w:jc w:val="center"/>
              <w:rPr>
                <w:rFonts w:ascii="黑体" w:hAnsi="黑体" w:eastAsia="黑体"/>
                <w:color w:val="000000"/>
                <w:sz w:val="21"/>
                <w:szCs w:val="21"/>
              </w:rPr>
            </w:pPr>
            <w:r>
              <w:rPr>
                <w:rFonts w:hint="eastAsia" w:ascii="黑体" w:hAnsi="黑体" w:eastAsia="黑体"/>
                <w:color w:val="000000"/>
                <w:sz w:val="21"/>
                <w:szCs w:val="21"/>
              </w:rPr>
              <w:t>2</w:t>
            </w:r>
            <w:r>
              <w:rPr>
                <w:rFonts w:ascii="黑体" w:hAnsi="黑体" w:eastAsia="黑体"/>
                <w:color w:val="000000"/>
                <w:sz w:val="21"/>
                <w:szCs w:val="21"/>
              </w:rPr>
              <w:t>170004</w:t>
            </w:r>
          </w:p>
        </w:tc>
        <w:tc>
          <w:tcPr>
            <w:tcW w:w="2126" w:type="dxa"/>
            <w:gridSpan w:val="2"/>
            <w:noWrap w:val="0"/>
            <w:vAlign w:val="center"/>
          </w:tcPr>
          <w:p w14:paraId="647F3827">
            <w:pPr>
              <w:widowControl w:val="0"/>
              <w:jc w:val="center"/>
              <w:rPr>
                <w:rFonts w:ascii="黑体" w:hAnsi="黑体" w:eastAsia="黑体"/>
                <w:color w:val="000000"/>
                <w:sz w:val="21"/>
                <w:szCs w:val="21"/>
              </w:rPr>
            </w:pPr>
            <w:r>
              <w:rPr>
                <w:rFonts w:ascii="黑体" w:hAnsi="黑体" w:eastAsia="黑体"/>
                <w:color w:val="000000"/>
                <w:sz w:val="21"/>
                <w:szCs w:val="21"/>
              </w:rPr>
              <w:t>课程学分</w:t>
            </w:r>
          </w:p>
        </w:tc>
        <w:tc>
          <w:tcPr>
            <w:tcW w:w="2199" w:type="dxa"/>
            <w:gridSpan w:val="3"/>
            <w:tcBorders>
              <w:right w:val="single" w:color="auto" w:sz="12" w:space="0"/>
            </w:tcBorders>
            <w:noWrap w:val="0"/>
            <w:vAlign w:val="center"/>
          </w:tcPr>
          <w:p w14:paraId="75607743">
            <w:pPr>
              <w:widowControl w:val="0"/>
              <w:jc w:val="center"/>
              <w:rPr>
                <w:color w:val="000000"/>
                <w:sz w:val="21"/>
                <w:szCs w:val="21"/>
              </w:rPr>
            </w:pPr>
            <w:r>
              <w:rPr>
                <w:rFonts w:hint="eastAsia"/>
                <w:color w:val="000000"/>
                <w:sz w:val="20"/>
                <w:szCs w:val="20"/>
              </w:rPr>
              <w:t>3.0</w:t>
            </w:r>
          </w:p>
        </w:tc>
      </w:tr>
      <w:tr w14:paraId="7228A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22092C99">
            <w:pPr>
              <w:widowControl w:val="0"/>
              <w:jc w:val="center"/>
              <w:rPr>
                <w:sz w:val="21"/>
                <w:szCs w:val="18"/>
              </w:rPr>
            </w:pPr>
            <w:r>
              <w:rPr>
                <w:rFonts w:hint="eastAsia" w:ascii="黑体" w:hAnsi="黑体" w:eastAsia="黑体"/>
                <w:color w:val="000000"/>
                <w:sz w:val="21"/>
                <w:szCs w:val="18"/>
              </w:rPr>
              <w:t>课程学时</w:t>
            </w:r>
          </w:p>
        </w:tc>
        <w:tc>
          <w:tcPr>
            <w:tcW w:w="2260" w:type="dxa"/>
            <w:noWrap w:val="0"/>
            <w:vAlign w:val="center"/>
          </w:tcPr>
          <w:p w14:paraId="0D05D468">
            <w:pPr>
              <w:widowControl w:val="0"/>
              <w:jc w:val="center"/>
              <w:rPr>
                <w:rFonts w:ascii="Times New Roman" w:hAnsi="Times New Roman"/>
                <w:color w:val="000000"/>
                <w:sz w:val="21"/>
                <w:szCs w:val="21"/>
              </w:rPr>
            </w:pPr>
            <w:r>
              <w:rPr>
                <w:rFonts w:hint="eastAsia"/>
                <w:color w:val="000000"/>
                <w:sz w:val="21"/>
                <w:szCs w:val="21"/>
              </w:rPr>
              <w:t>48</w:t>
            </w:r>
          </w:p>
        </w:tc>
        <w:tc>
          <w:tcPr>
            <w:tcW w:w="1272" w:type="dxa"/>
            <w:noWrap w:val="0"/>
            <w:vAlign w:val="center"/>
          </w:tcPr>
          <w:p w14:paraId="7FF715CA">
            <w:pPr>
              <w:widowControl w:val="0"/>
              <w:jc w:val="center"/>
              <w:rPr>
                <w:color w:val="000000"/>
                <w:sz w:val="21"/>
                <w:szCs w:val="21"/>
              </w:rPr>
            </w:pPr>
            <w:r>
              <w:rPr>
                <w:rFonts w:hint="eastAsia" w:ascii="黑体" w:hAnsi="黑体" w:eastAsia="黑体"/>
                <w:color w:val="000000"/>
                <w:sz w:val="21"/>
                <w:szCs w:val="21"/>
              </w:rPr>
              <w:t>理论学时</w:t>
            </w:r>
          </w:p>
        </w:tc>
        <w:tc>
          <w:tcPr>
            <w:tcW w:w="854" w:type="dxa"/>
            <w:noWrap w:val="0"/>
            <w:vAlign w:val="center"/>
          </w:tcPr>
          <w:p w14:paraId="0D5D7446">
            <w:pPr>
              <w:widowControl w:val="0"/>
              <w:jc w:val="center"/>
              <w:rPr>
                <w:color w:val="000000"/>
                <w:sz w:val="21"/>
                <w:szCs w:val="21"/>
              </w:rPr>
            </w:pPr>
            <w:r>
              <w:rPr>
                <w:rFonts w:hint="eastAsia"/>
                <w:color w:val="000000"/>
                <w:sz w:val="21"/>
                <w:szCs w:val="21"/>
              </w:rPr>
              <w:t>32</w:t>
            </w:r>
          </w:p>
        </w:tc>
        <w:tc>
          <w:tcPr>
            <w:tcW w:w="1413" w:type="dxa"/>
            <w:gridSpan w:val="2"/>
            <w:noWrap w:val="0"/>
            <w:vAlign w:val="center"/>
          </w:tcPr>
          <w:p w14:paraId="4B3655C5">
            <w:pPr>
              <w:widowControl w:val="0"/>
              <w:jc w:val="center"/>
              <w:rPr>
                <w:color w:val="000000"/>
                <w:sz w:val="21"/>
                <w:szCs w:val="21"/>
              </w:rPr>
            </w:pPr>
            <w:r>
              <w:rPr>
                <w:rFonts w:hint="eastAsia" w:ascii="黑体" w:hAnsi="黑体" w:eastAsia="黑体"/>
                <w:color w:val="000000"/>
                <w:sz w:val="21"/>
                <w:szCs w:val="21"/>
              </w:rPr>
              <w:t>实践学时</w:t>
            </w:r>
          </w:p>
        </w:tc>
        <w:tc>
          <w:tcPr>
            <w:tcW w:w="786" w:type="dxa"/>
            <w:tcBorders>
              <w:right w:val="single" w:color="auto" w:sz="12" w:space="0"/>
            </w:tcBorders>
            <w:noWrap w:val="0"/>
            <w:vAlign w:val="center"/>
          </w:tcPr>
          <w:p w14:paraId="1C50F1E4">
            <w:pPr>
              <w:widowControl w:val="0"/>
              <w:jc w:val="center"/>
              <w:rPr>
                <w:color w:val="000000"/>
                <w:sz w:val="21"/>
                <w:szCs w:val="21"/>
              </w:rPr>
            </w:pPr>
            <w:r>
              <w:rPr>
                <w:rFonts w:hint="eastAsia"/>
                <w:color w:val="000000"/>
                <w:sz w:val="21"/>
                <w:szCs w:val="21"/>
              </w:rPr>
              <w:t>16</w:t>
            </w:r>
          </w:p>
        </w:tc>
      </w:tr>
      <w:tr w14:paraId="3FBD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1EDEB0E6">
            <w:pPr>
              <w:widowControl w:val="0"/>
              <w:jc w:val="center"/>
              <w:rPr>
                <w:rFonts w:ascii="黑体" w:hAnsi="黑体" w:eastAsia="黑体"/>
                <w:color w:val="000000"/>
                <w:sz w:val="21"/>
                <w:szCs w:val="18"/>
              </w:rPr>
            </w:pPr>
            <w:r>
              <w:rPr>
                <w:rFonts w:ascii="黑体" w:hAnsi="黑体" w:eastAsia="黑体"/>
                <w:color w:val="000000"/>
                <w:sz w:val="21"/>
                <w:szCs w:val="18"/>
              </w:rPr>
              <w:t>开课</w:t>
            </w:r>
            <w:r>
              <w:rPr>
                <w:rFonts w:hint="eastAsia" w:ascii="黑体" w:hAnsi="黑体" w:eastAsia="黑体"/>
                <w:color w:val="000000"/>
                <w:sz w:val="21"/>
                <w:szCs w:val="18"/>
              </w:rPr>
              <w:t>学院</w:t>
            </w:r>
          </w:p>
        </w:tc>
        <w:tc>
          <w:tcPr>
            <w:tcW w:w="2260" w:type="dxa"/>
            <w:noWrap w:val="0"/>
            <w:vAlign w:val="center"/>
          </w:tcPr>
          <w:p w14:paraId="391EC6A5">
            <w:pPr>
              <w:widowControl w:val="0"/>
              <w:jc w:val="center"/>
              <w:rPr>
                <w:rFonts w:ascii="黑体" w:hAnsi="黑体" w:eastAsia="黑体"/>
                <w:color w:val="000000"/>
                <w:sz w:val="21"/>
                <w:szCs w:val="21"/>
              </w:rPr>
            </w:pPr>
            <w:r>
              <w:rPr>
                <w:rFonts w:hint="eastAsia"/>
                <w:color w:val="000000"/>
                <w:sz w:val="21"/>
                <w:szCs w:val="21"/>
              </w:rPr>
              <w:t>健康管理学院</w:t>
            </w:r>
          </w:p>
        </w:tc>
        <w:tc>
          <w:tcPr>
            <w:tcW w:w="2126" w:type="dxa"/>
            <w:gridSpan w:val="2"/>
            <w:noWrap w:val="0"/>
            <w:vAlign w:val="center"/>
          </w:tcPr>
          <w:p w14:paraId="226F088C">
            <w:pPr>
              <w:widowControl w:val="0"/>
              <w:jc w:val="center"/>
              <w:rPr>
                <w:rFonts w:ascii="黑体" w:hAnsi="黑体" w:eastAsia="黑体"/>
                <w:color w:val="000000"/>
                <w:sz w:val="21"/>
                <w:szCs w:val="21"/>
              </w:rPr>
            </w:pPr>
            <w:r>
              <w:rPr>
                <w:rFonts w:hint="eastAsia" w:ascii="黑体" w:hAnsi="黑体" w:eastAsia="黑体"/>
                <w:color w:val="000000"/>
                <w:sz w:val="21"/>
                <w:szCs w:val="21"/>
              </w:rPr>
              <w:t>适用</w:t>
            </w:r>
            <w:r>
              <w:rPr>
                <w:rFonts w:ascii="黑体" w:hAnsi="黑体" w:eastAsia="黑体"/>
                <w:color w:val="000000"/>
                <w:sz w:val="21"/>
                <w:szCs w:val="21"/>
              </w:rPr>
              <w:t>专业</w:t>
            </w:r>
            <w:r>
              <w:rPr>
                <w:rFonts w:hint="eastAsia" w:ascii="黑体" w:hAnsi="黑体" w:eastAsia="黑体"/>
                <w:color w:val="000000"/>
                <w:sz w:val="21"/>
                <w:szCs w:val="21"/>
              </w:rPr>
              <w:t>与年级</w:t>
            </w:r>
          </w:p>
        </w:tc>
        <w:tc>
          <w:tcPr>
            <w:tcW w:w="2199" w:type="dxa"/>
            <w:gridSpan w:val="3"/>
            <w:tcBorders>
              <w:right w:val="single" w:color="auto" w:sz="12" w:space="0"/>
            </w:tcBorders>
            <w:noWrap w:val="0"/>
            <w:vAlign w:val="center"/>
          </w:tcPr>
          <w:p w14:paraId="097942AE">
            <w:pPr>
              <w:widowControl w:val="0"/>
              <w:jc w:val="center"/>
              <w:rPr>
                <w:color w:val="000000"/>
                <w:sz w:val="21"/>
                <w:szCs w:val="21"/>
              </w:rPr>
            </w:pPr>
            <w:r>
              <w:rPr>
                <w:rFonts w:hint="eastAsia"/>
                <w:color w:val="000000"/>
                <w:sz w:val="21"/>
                <w:szCs w:val="21"/>
              </w:rPr>
              <w:t>健康服务与管理类专业二年级第一学期</w:t>
            </w:r>
          </w:p>
        </w:tc>
      </w:tr>
      <w:tr w14:paraId="5A3D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2DEE993E">
            <w:pPr>
              <w:widowControl w:val="0"/>
              <w:jc w:val="center"/>
              <w:rPr>
                <w:rFonts w:ascii="黑体" w:hAnsi="黑体" w:eastAsia="黑体"/>
                <w:color w:val="000000"/>
                <w:sz w:val="21"/>
                <w:szCs w:val="18"/>
              </w:rPr>
            </w:pPr>
            <w:r>
              <w:rPr>
                <w:rFonts w:hint="eastAsia" w:ascii="黑体" w:hAnsi="黑体" w:eastAsia="黑体"/>
                <w:color w:val="000000"/>
                <w:sz w:val="21"/>
                <w:szCs w:val="18"/>
              </w:rPr>
              <w:t>课程类别与性质</w:t>
            </w:r>
          </w:p>
        </w:tc>
        <w:tc>
          <w:tcPr>
            <w:tcW w:w="2260" w:type="dxa"/>
            <w:noWrap w:val="0"/>
            <w:vAlign w:val="center"/>
          </w:tcPr>
          <w:p w14:paraId="5FE652B1">
            <w:pPr>
              <w:widowControl w:val="0"/>
              <w:jc w:val="center"/>
              <w:rPr>
                <w:color w:val="000000"/>
                <w:sz w:val="21"/>
                <w:szCs w:val="21"/>
              </w:rPr>
            </w:pPr>
            <w:r>
              <w:rPr>
                <w:rFonts w:hint="eastAsia"/>
                <w:color w:val="000000"/>
                <w:sz w:val="21"/>
                <w:szCs w:val="21"/>
              </w:rPr>
              <w:t>专业基础必修课</w:t>
            </w:r>
          </w:p>
        </w:tc>
        <w:tc>
          <w:tcPr>
            <w:tcW w:w="2126" w:type="dxa"/>
            <w:gridSpan w:val="2"/>
            <w:noWrap w:val="0"/>
            <w:vAlign w:val="center"/>
          </w:tcPr>
          <w:p w14:paraId="472C397E">
            <w:pPr>
              <w:widowControl w:val="0"/>
              <w:jc w:val="center"/>
              <w:rPr>
                <w:rFonts w:ascii="黑体" w:hAnsi="黑体" w:eastAsia="黑体"/>
                <w:color w:val="000000"/>
                <w:sz w:val="21"/>
                <w:szCs w:val="21"/>
              </w:rPr>
            </w:pPr>
            <w:r>
              <w:rPr>
                <w:rFonts w:hint="eastAsia" w:ascii="黑体" w:hAnsi="黑体" w:eastAsia="黑体"/>
                <w:color w:val="000000"/>
                <w:sz w:val="21"/>
                <w:szCs w:val="21"/>
              </w:rPr>
              <w:t>考核方式</w:t>
            </w:r>
          </w:p>
        </w:tc>
        <w:tc>
          <w:tcPr>
            <w:tcW w:w="2199" w:type="dxa"/>
            <w:gridSpan w:val="3"/>
            <w:tcBorders>
              <w:right w:val="single" w:color="auto" w:sz="12" w:space="0"/>
            </w:tcBorders>
            <w:noWrap w:val="0"/>
            <w:vAlign w:val="center"/>
          </w:tcPr>
          <w:p w14:paraId="24E4013E">
            <w:pPr>
              <w:widowControl w:val="0"/>
              <w:jc w:val="center"/>
              <w:rPr>
                <w:color w:val="000000"/>
                <w:sz w:val="21"/>
                <w:szCs w:val="21"/>
              </w:rPr>
            </w:pPr>
            <w:r>
              <w:rPr>
                <w:rFonts w:hint="eastAsia"/>
                <w:color w:val="000000"/>
                <w:sz w:val="21"/>
                <w:szCs w:val="21"/>
              </w:rPr>
              <w:t>考查</w:t>
            </w:r>
          </w:p>
        </w:tc>
      </w:tr>
      <w:tr w14:paraId="74C3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37896941">
            <w:pPr>
              <w:widowControl w:val="0"/>
              <w:jc w:val="center"/>
              <w:rPr>
                <w:rFonts w:ascii="黑体" w:hAnsi="黑体" w:eastAsia="黑体"/>
                <w:color w:val="000000"/>
                <w:sz w:val="21"/>
                <w:szCs w:val="18"/>
              </w:rPr>
            </w:pPr>
            <w:r>
              <w:rPr>
                <w:rFonts w:hint="eastAsia" w:ascii="黑体" w:hAnsi="黑体" w:eastAsia="黑体"/>
                <w:color w:val="000000"/>
                <w:sz w:val="21"/>
                <w:szCs w:val="18"/>
              </w:rPr>
              <w:t>选</w:t>
            </w:r>
            <w:r>
              <w:rPr>
                <w:rFonts w:ascii="黑体" w:hAnsi="黑体" w:eastAsia="黑体"/>
                <w:color w:val="000000"/>
                <w:sz w:val="21"/>
                <w:szCs w:val="18"/>
              </w:rPr>
              <w:t>用教材</w:t>
            </w:r>
          </w:p>
        </w:tc>
        <w:tc>
          <w:tcPr>
            <w:tcW w:w="4386" w:type="dxa"/>
            <w:gridSpan w:val="3"/>
            <w:noWrap w:val="0"/>
            <w:vAlign w:val="center"/>
          </w:tcPr>
          <w:p w14:paraId="74EAC6F1">
            <w:pPr>
              <w:widowControl w:val="0"/>
              <w:rPr>
                <w:rFonts w:ascii="Times New Roman" w:hAnsi="Times New Roman"/>
                <w:color w:val="000000"/>
                <w:sz w:val="21"/>
                <w:szCs w:val="21"/>
              </w:rPr>
            </w:pPr>
            <w:r>
              <w:rPr>
                <w:rFonts w:hint="eastAsia"/>
                <w:sz w:val="20"/>
                <w:szCs w:val="20"/>
              </w:rPr>
              <w:t>《药理学》第5版，杨俊卿、陈立主编，人民卫生出版社</w:t>
            </w:r>
            <w:r>
              <w:rPr>
                <w:sz w:val="20"/>
                <w:szCs w:val="20"/>
              </w:rPr>
              <w:t>.</w:t>
            </w:r>
          </w:p>
        </w:tc>
        <w:tc>
          <w:tcPr>
            <w:tcW w:w="1413" w:type="dxa"/>
            <w:gridSpan w:val="2"/>
            <w:noWrap w:val="0"/>
            <w:vAlign w:val="center"/>
          </w:tcPr>
          <w:p w14:paraId="35739530">
            <w:pPr>
              <w:widowControl w:val="0"/>
              <w:jc w:val="center"/>
              <w:rPr>
                <w:rFonts w:ascii="黑体" w:hAnsi="黑体" w:eastAsia="黑体"/>
                <w:color w:val="000000"/>
                <w:sz w:val="21"/>
                <w:szCs w:val="21"/>
              </w:rPr>
            </w:pPr>
            <w:r>
              <w:rPr>
                <w:rFonts w:hint="eastAsia" w:ascii="黑体" w:hAnsi="黑体" w:eastAsia="黑体"/>
                <w:color w:val="000000"/>
                <w:sz w:val="21"/>
                <w:szCs w:val="21"/>
              </w:rPr>
              <w:t>是否为</w:t>
            </w:r>
          </w:p>
          <w:p w14:paraId="42030C4B">
            <w:pPr>
              <w:widowControl w:val="0"/>
              <w:jc w:val="center"/>
              <w:rPr>
                <w:rFonts w:ascii="黑体" w:hAnsi="黑体" w:eastAsia="黑体"/>
                <w:color w:val="000000"/>
                <w:sz w:val="21"/>
                <w:szCs w:val="21"/>
              </w:rPr>
            </w:pPr>
            <w:r>
              <w:rPr>
                <w:rFonts w:hint="eastAsia" w:ascii="黑体" w:hAnsi="黑体" w:eastAsia="黑体"/>
                <w:color w:val="000000"/>
                <w:sz w:val="21"/>
                <w:szCs w:val="21"/>
              </w:rPr>
              <w:t>马工程教材</w:t>
            </w:r>
          </w:p>
        </w:tc>
        <w:tc>
          <w:tcPr>
            <w:tcW w:w="786" w:type="dxa"/>
            <w:tcBorders>
              <w:right w:val="single" w:color="auto" w:sz="12" w:space="0"/>
            </w:tcBorders>
            <w:noWrap w:val="0"/>
            <w:vAlign w:val="center"/>
          </w:tcPr>
          <w:p w14:paraId="721615BF">
            <w:pPr>
              <w:widowControl w:val="0"/>
              <w:ind w:left="120" w:leftChars="50"/>
              <w:rPr>
                <w:rFonts w:ascii="Times New Roman" w:hAnsi="Times New Roman"/>
                <w:color w:val="000000"/>
                <w:sz w:val="21"/>
                <w:szCs w:val="21"/>
              </w:rPr>
            </w:pPr>
            <w:r>
              <w:rPr>
                <w:rFonts w:hint="eastAsia" w:ascii="Times New Roman" w:hAnsi="Times New Roman"/>
                <w:color w:val="000000"/>
                <w:sz w:val="21"/>
                <w:szCs w:val="21"/>
              </w:rPr>
              <w:t>否</w:t>
            </w:r>
          </w:p>
        </w:tc>
      </w:tr>
      <w:tr w14:paraId="2671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noWrap w:val="0"/>
            <w:vAlign w:val="center"/>
          </w:tcPr>
          <w:p w14:paraId="3F80E04F">
            <w:pPr>
              <w:widowControl w:val="0"/>
              <w:jc w:val="center"/>
              <w:rPr>
                <w:rFonts w:ascii="黑体" w:hAnsi="黑体" w:eastAsia="黑体"/>
                <w:color w:val="000000"/>
                <w:sz w:val="21"/>
                <w:szCs w:val="18"/>
              </w:rPr>
            </w:pPr>
            <w:bookmarkStart w:id="4" w:name="_GoBack" w:colFirst="1" w:colLast="5"/>
            <w:r>
              <w:rPr>
                <w:rFonts w:ascii="黑体" w:hAnsi="黑体" w:eastAsia="黑体"/>
                <w:color w:val="000000"/>
                <w:sz w:val="21"/>
                <w:szCs w:val="18"/>
              </w:rPr>
              <w:t>先修课程</w:t>
            </w:r>
          </w:p>
        </w:tc>
        <w:tc>
          <w:tcPr>
            <w:tcW w:w="6585" w:type="dxa"/>
            <w:gridSpan w:val="6"/>
            <w:tcBorders>
              <w:right w:val="single" w:color="auto" w:sz="12" w:space="0"/>
            </w:tcBorders>
            <w:noWrap w:val="0"/>
            <w:vAlign w:val="center"/>
          </w:tcPr>
          <w:p w14:paraId="2C20C34E">
            <w:pPr>
              <w:keepNext w:val="0"/>
              <w:keepLines w:val="0"/>
              <w:pageBreakBefore w:val="0"/>
              <w:kinsoku/>
              <w:wordWrap/>
              <w:overflowPunct/>
              <w:topLinePunct w:val="0"/>
              <w:autoSpaceDE/>
              <w:autoSpaceDN/>
              <w:bidi w:val="0"/>
              <w:adjustRightInd w:val="0"/>
              <w:snapToGrid w:val="0"/>
              <w:spacing w:line="220" w:lineRule="exact"/>
              <w:ind w:firstLine="392" w:firstLineChars="196"/>
              <w:textAlignment w:val="auto"/>
              <w:rPr>
                <w:color w:val="000000"/>
                <w:sz w:val="20"/>
                <w:szCs w:val="20"/>
              </w:rPr>
            </w:pPr>
            <w:r>
              <w:rPr>
                <w:rFonts w:hint="eastAsia"/>
                <w:color w:val="000000"/>
                <w:sz w:val="20"/>
                <w:szCs w:val="20"/>
              </w:rPr>
              <w:t>正常人体结构学</w:t>
            </w:r>
            <w:r>
              <w:rPr>
                <w:color w:val="000000"/>
                <w:sz w:val="20"/>
                <w:szCs w:val="20"/>
              </w:rPr>
              <w:t>2170001</w:t>
            </w:r>
            <w:r>
              <w:rPr>
                <w:rFonts w:hint="eastAsia"/>
                <w:color w:val="000000"/>
                <w:sz w:val="20"/>
                <w:szCs w:val="20"/>
              </w:rPr>
              <w:t>（3）正常人体功能学</w:t>
            </w:r>
            <w:r>
              <w:rPr>
                <w:color w:val="000000"/>
                <w:sz w:val="20"/>
                <w:szCs w:val="20"/>
              </w:rPr>
              <w:t>217000</w:t>
            </w:r>
            <w:r>
              <w:rPr>
                <w:rFonts w:hint="eastAsia"/>
                <w:color w:val="000000"/>
                <w:sz w:val="20"/>
                <w:szCs w:val="20"/>
              </w:rPr>
              <w:t>2（3）疾病学基础</w:t>
            </w:r>
            <w:r>
              <w:rPr>
                <w:color w:val="000000"/>
                <w:sz w:val="20"/>
                <w:szCs w:val="20"/>
              </w:rPr>
              <w:t>217000</w:t>
            </w:r>
            <w:r>
              <w:rPr>
                <w:rFonts w:hint="eastAsia"/>
                <w:color w:val="000000"/>
                <w:sz w:val="20"/>
                <w:szCs w:val="20"/>
              </w:rPr>
              <w:t>3（4）</w:t>
            </w:r>
          </w:p>
        </w:tc>
      </w:tr>
      <w:tr w14:paraId="7A92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958" w:hRule="atLeast"/>
        </w:trPr>
        <w:tc>
          <w:tcPr>
            <w:tcW w:w="1691" w:type="dxa"/>
            <w:tcBorders>
              <w:left w:val="single" w:color="auto" w:sz="12" w:space="0"/>
            </w:tcBorders>
            <w:noWrap w:val="0"/>
            <w:vAlign w:val="center"/>
          </w:tcPr>
          <w:p w14:paraId="502D17F9">
            <w:pPr>
              <w:widowControl w:val="0"/>
              <w:jc w:val="center"/>
              <w:rPr>
                <w:rFonts w:ascii="黑体" w:hAnsi="黑体" w:eastAsia="黑体"/>
                <w:color w:val="000000"/>
                <w:sz w:val="21"/>
                <w:szCs w:val="18"/>
              </w:rPr>
            </w:pPr>
            <w:r>
              <w:rPr>
                <w:rFonts w:ascii="黑体" w:hAnsi="黑体" w:eastAsia="黑体"/>
                <w:color w:val="000000"/>
                <w:sz w:val="21"/>
                <w:szCs w:val="18"/>
              </w:rPr>
              <w:t>课程简介</w:t>
            </w:r>
          </w:p>
        </w:tc>
        <w:tc>
          <w:tcPr>
            <w:tcW w:w="6585" w:type="dxa"/>
            <w:gridSpan w:val="6"/>
            <w:tcBorders>
              <w:right w:val="single" w:color="auto" w:sz="12" w:space="0"/>
            </w:tcBorders>
            <w:noWrap w:val="0"/>
            <w:vAlign w:val="top"/>
          </w:tcPr>
          <w:p w14:paraId="5A26BC81">
            <w:pPr>
              <w:keepNext w:val="0"/>
              <w:keepLines w:val="0"/>
              <w:pageBreakBefore w:val="0"/>
              <w:kinsoku/>
              <w:wordWrap/>
              <w:overflowPunct/>
              <w:topLinePunct w:val="0"/>
              <w:autoSpaceDE/>
              <w:autoSpaceDN/>
              <w:bidi w:val="0"/>
              <w:snapToGrid w:val="0"/>
              <w:spacing w:line="220" w:lineRule="exact"/>
              <w:ind w:firstLine="411" w:firstLineChars="196"/>
              <w:textAlignment w:val="auto"/>
              <w:rPr>
                <w:rFonts w:hint="eastAsia" w:cs="仿宋"/>
                <w:sz w:val="21"/>
                <w:szCs w:val="21"/>
              </w:rPr>
            </w:pPr>
            <w:r>
              <w:rPr>
                <w:rFonts w:hint="eastAsia" w:cs="仿宋"/>
                <w:sz w:val="21"/>
                <w:szCs w:val="21"/>
              </w:rPr>
              <w:t>药理学是研究药物与机体（包括病原体）间相互作用及其规律的学科。是连接基础医学与临床医学、医学与药学的桥梁和纽带。药理学阐明了药学与机体间相互作用和作用规律，作为临床治疗学的基础，指导临床合理用药，发挥药物最佳疗效、减少不良反应。本门课程的任务是通过药理学的理论与实验教学，为防病治病提供理论基础；同时在正确掌握药理学基础理论、基础知识和基本技能的基础上，培养学生分析、综合和独立学习的工作能力，认真严肃、关爱生命的职业素养，为学生成为健康管理专业人才奠定基础。</w:t>
            </w:r>
          </w:p>
          <w:p w14:paraId="1FFFF635">
            <w:pPr>
              <w:keepNext w:val="0"/>
              <w:keepLines w:val="0"/>
              <w:pageBreakBefore w:val="0"/>
              <w:kinsoku/>
              <w:wordWrap/>
              <w:overflowPunct/>
              <w:topLinePunct w:val="0"/>
              <w:autoSpaceDE/>
              <w:autoSpaceDN/>
              <w:bidi w:val="0"/>
              <w:snapToGrid w:val="0"/>
              <w:spacing w:line="220" w:lineRule="exact"/>
              <w:ind w:firstLine="420" w:firstLineChars="200"/>
              <w:textAlignment w:val="auto"/>
              <w:rPr>
                <w:rFonts w:hint="eastAsia"/>
                <w:color w:val="000000"/>
                <w:sz w:val="21"/>
                <w:szCs w:val="21"/>
              </w:rPr>
            </w:pPr>
            <w:r>
              <w:rPr>
                <w:rFonts w:hint="eastAsia"/>
                <w:color w:val="000000"/>
                <w:sz w:val="21"/>
                <w:szCs w:val="21"/>
              </w:rPr>
              <w:t>本课程总学时为48学时。其中理论课时32学时，实验课时16学时。</w:t>
            </w:r>
          </w:p>
          <w:p w14:paraId="1F618CAC">
            <w:pPr>
              <w:keepNext w:val="0"/>
              <w:keepLines w:val="0"/>
              <w:pageBreakBefore w:val="0"/>
              <w:kinsoku/>
              <w:wordWrap/>
              <w:overflowPunct/>
              <w:topLinePunct w:val="0"/>
              <w:autoSpaceDE/>
              <w:autoSpaceDN/>
              <w:bidi w:val="0"/>
              <w:spacing w:line="220" w:lineRule="exact"/>
              <w:textAlignment w:val="auto"/>
              <w:rPr>
                <w:color w:val="000000"/>
                <w:sz w:val="20"/>
                <w:szCs w:val="20"/>
              </w:rPr>
            </w:pPr>
          </w:p>
        </w:tc>
      </w:tr>
      <w:tr w14:paraId="356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noWrap w:val="0"/>
            <w:vAlign w:val="center"/>
          </w:tcPr>
          <w:p w14:paraId="5E8FBB04">
            <w:pPr>
              <w:widowControl w:val="0"/>
              <w:jc w:val="center"/>
              <w:rPr>
                <w:rFonts w:ascii="黑体" w:hAnsi="黑体" w:eastAsia="黑体"/>
                <w:color w:val="000000"/>
                <w:sz w:val="21"/>
                <w:szCs w:val="18"/>
              </w:rPr>
            </w:pPr>
            <w:r>
              <w:rPr>
                <w:rFonts w:ascii="黑体" w:hAnsi="黑体" w:eastAsia="黑体"/>
                <w:color w:val="000000"/>
                <w:sz w:val="21"/>
                <w:szCs w:val="18"/>
              </w:rPr>
              <w:t>选课建议</w:t>
            </w:r>
            <w:r>
              <w:rPr>
                <w:rFonts w:hint="eastAsia" w:ascii="黑体" w:hAnsi="黑体" w:eastAsia="黑体"/>
                <w:color w:val="000000"/>
                <w:sz w:val="21"/>
                <w:szCs w:val="18"/>
              </w:rPr>
              <w:t>与学习要求</w:t>
            </w:r>
          </w:p>
        </w:tc>
        <w:tc>
          <w:tcPr>
            <w:tcW w:w="6585" w:type="dxa"/>
            <w:gridSpan w:val="6"/>
            <w:tcBorders>
              <w:bottom w:val="double" w:color="auto" w:sz="4" w:space="0"/>
              <w:right w:val="single" w:color="auto" w:sz="12" w:space="0"/>
            </w:tcBorders>
            <w:noWrap w:val="0"/>
            <w:vAlign w:val="top"/>
          </w:tcPr>
          <w:p w14:paraId="1EC01C7B">
            <w:pPr>
              <w:keepNext w:val="0"/>
              <w:keepLines w:val="0"/>
              <w:pageBreakBefore w:val="0"/>
              <w:widowControl w:val="0"/>
              <w:kinsoku/>
              <w:wordWrap/>
              <w:overflowPunct/>
              <w:topLinePunct w:val="0"/>
              <w:autoSpaceDE/>
              <w:autoSpaceDN/>
              <w:bidi w:val="0"/>
              <w:snapToGrid w:val="0"/>
              <w:spacing w:line="220" w:lineRule="exact"/>
              <w:ind w:firstLine="400" w:firstLineChars="200"/>
              <w:jc w:val="both"/>
              <w:textAlignment w:val="auto"/>
              <w:rPr>
                <w:color w:val="000000"/>
                <w:sz w:val="20"/>
                <w:szCs w:val="20"/>
              </w:rPr>
            </w:pPr>
            <w:r>
              <w:rPr>
                <w:color w:val="000000"/>
                <w:sz w:val="20"/>
                <w:szCs w:val="20"/>
              </w:rPr>
              <w:t>该课程适合</w:t>
            </w:r>
            <w:r>
              <w:rPr>
                <w:rFonts w:hint="eastAsia"/>
                <w:color w:val="000000"/>
                <w:sz w:val="20"/>
                <w:szCs w:val="20"/>
              </w:rPr>
              <w:t>于</w:t>
            </w:r>
            <w:r>
              <w:rPr>
                <w:rFonts w:hint="eastAsia"/>
                <w:color w:val="000000"/>
                <w:sz w:val="21"/>
                <w:szCs w:val="21"/>
              </w:rPr>
              <w:t>健康服务与管理类专业二年级第一学期</w:t>
            </w:r>
            <w:r>
              <w:rPr>
                <w:rFonts w:hint="eastAsia"/>
                <w:color w:val="000000"/>
                <w:sz w:val="20"/>
                <w:szCs w:val="20"/>
              </w:rPr>
              <w:t>学生，且具有一定的人体解剖学、细胞生物学及疾病学基础的学生学习。药理学作为一门专业基础必修课，</w:t>
            </w:r>
            <w:r>
              <w:rPr>
                <w:rFonts w:hint="eastAsia"/>
                <w:color w:val="000000"/>
                <w:sz w:val="21"/>
                <w:szCs w:val="21"/>
              </w:rPr>
              <w:t>是学习其他基础医学和临床医学课程的基础。</w:t>
            </w:r>
            <w:r>
              <w:rPr>
                <w:rFonts w:hint="eastAsia"/>
                <w:color w:val="000000"/>
                <w:sz w:val="20"/>
                <w:szCs w:val="20"/>
              </w:rPr>
              <w:t>开设本课程的目的在于使学生掌握药理学的基本理论知识及重要的新进展，加强基本技能的训练，培养学生独立分析问题和解决问题的能力，为后续学习、参加临床实践及科学研究打下坚实的理论基础，从而为培养面向21世纪高级</w:t>
            </w:r>
            <w:r>
              <w:rPr>
                <w:rFonts w:hint="eastAsia"/>
                <w:color w:val="000000"/>
                <w:sz w:val="21"/>
                <w:szCs w:val="21"/>
              </w:rPr>
              <w:t>健康服务与管理类</w:t>
            </w:r>
            <w:r>
              <w:rPr>
                <w:rFonts w:hint="eastAsia"/>
                <w:color w:val="000000"/>
                <w:sz w:val="20"/>
                <w:szCs w:val="20"/>
              </w:rPr>
              <w:t>人才服务。</w:t>
            </w:r>
          </w:p>
        </w:tc>
      </w:tr>
      <w:bookmarkEnd w:id="4"/>
      <w:tr w14:paraId="74FB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noWrap w:val="0"/>
            <w:vAlign w:val="center"/>
          </w:tcPr>
          <w:p w14:paraId="6C253895">
            <w:pPr>
              <w:widowControl w:val="0"/>
              <w:jc w:val="center"/>
              <w:rPr>
                <w:rFonts w:ascii="黑体" w:hAnsi="黑体" w:eastAsia="黑体"/>
                <w:color w:val="000000"/>
                <w:sz w:val="21"/>
                <w:szCs w:val="21"/>
              </w:rPr>
            </w:pPr>
            <w:r>
              <w:rPr>
                <w:rFonts w:hint="eastAsia" w:ascii="黑体" w:hAnsi="黑体" w:eastAsia="黑体"/>
                <w:color w:val="000000"/>
                <w:sz w:val="21"/>
                <w:szCs w:val="21"/>
              </w:rPr>
              <w:t>大纲编写人</w:t>
            </w:r>
          </w:p>
        </w:tc>
        <w:tc>
          <w:tcPr>
            <w:tcW w:w="3532" w:type="dxa"/>
            <w:gridSpan w:val="2"/>
            <w:tcBorders>
              <w:top w:val="double" w:color="auto" w:sz="4" w:space="0"/>
            </w:tcBorders>
            <w:noWrap w:val="0"/>
            <w:vAlign w:val="center"/>
          </w:tcPr>
          <w:p w14:paraId="2B3361DE">
            <w:pPr>
              <w:widowControl w:val="0"/>
              <w:ind w:right="840" w:firstLine="240" w:firstLineChars="100"/>
              <w:rPr>
                <w:rFonts w:ascii="黑体" w:hAnsi="黑体" w:eastAsia="黑体"/>
                <w:color w:val="000000"/>
                <w:sz w:val="21"/>
                <w:szCs w:val="21"/>
              </w:rPr>
            </w:pPr>
            <w:r>
              <w:rPr>
                <w:rFonts w:hint="eastAsia" w:eastAsiaTheme="minorEastAsia"/>
                <w:lang w:eastAsia="zh-CN"/>
              </w:rPr>
              <w:drawing>
                <wp:inline distT="0" distB="0" distL="114300" distR="114300">
                  <wp:extent cx="608330" cy="230505"/>
                  <wp:effectExtent l="0" t="0" r="1270" b="17145"/>
                  <wp:docPr id="2"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电子签名"/>
                          <pic:cNvPicPr>
                            <a:picLocks noChangeAspect="1"/>
                          </pic:cNvPicPr>
                        </pic:nvPicPr>
                        <pic:blipFill>
                          <a:blip r:embed="rId5"/>
                          <a:stretch>
                            <a:fillRect/>
                          </a:stretch>
                        </pic:blipFill>
                        <pic:spPr>
                          <a:xfrm>
                            <a:off x="0" y="0"/>
                            <a:ext cx="608330" cy="230505"/>
                          </a:xfrm>
                          <a:prstGeom prst="rect">
                            <a:avLst/>
                          </a:prstGeom>
                          <a:noFill/>
                          <a:ln>
                            <a:noFill/>
                          </a:ln>
                        </pic:spPr>
                      </pic:pic>
                    </a:graphicData>
                  </a:graphic>
                </wp:inline>
              </w:drawing>
            </w:r>
          </w:p>
        </w:tc>
        <w:tc>
          <w:tcPr>
            <w:tcW w:w="1425" w:type="dxa"/>
            <w:gridSpan w:val="2"/>
            <w:tcBorders>
              <w:top w:val="double" w:color="auto" w:sz="4" w:space="0"/>
            </w:tcBorders>
            <w:noWrap w:val="0"/>
            <w:vAlign w:val="center"/>
          </w:tcPr>
          <w:p w14:paraId="21929963">
            <w:pPr>
              <w:widowControl w:val="0"/>
              <w:jc w:val="center"/>
              <w:rPr>
                <w:sz w:val="21"/>
                <w:szCs w:val="21"/>
              </w:rPr>
            </w:pPr>
            <w:r>
              <w:rPr>
                <w:rFonts w:hint="eastAsia" w:ascii="黑体" w:hAnsi="黑体" w:eastAsia="黑体"/>
                <w:color w:val="000000"/>
                <w:sz w:val="21"/>
                <w:szCs w:val="21"/>
              </w:rPr>
              <w:t>制/修订时间</w:t>
            </w:r>
          </w:p>
        </w:tc>
        <w:tc>
          <w:tcPr>
            <w:tcW w:w="1628" w:type="dxa"/>
            <w:gridSpan w:val="2"/>
            <w:tcBorders>
              <w:top w:val="double" w:color="auto" w:sz="4" w:space="0"/>
              <w:right w:val="single" w:color="auto" w:sz="12" w:space="0"/>
            </w:tcBorders>
            <w:noWrap w:val="0"/>
            <w:vAlign w:val="center"/>
          </w:tcPr>
          <w:p w14:paraId="06A87F2A">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4年1月</w:t>
            </w:r>
          </w:p>
        </w:tc>
      </w:tr>
      <w:tr w14:paraId="6D8A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noWrap w:val="0"/>
            <w:vAlign w:val="center"/>
          </w:tcPr>
          <w:p w14:paraId="56174003">
            <w:pPr>
              <w:widowControl w:val="0"/>
              <w:jc w:val="center"/>
              <w:rPr>
                <w:rFonts w:ascii="黑体" w:hAnsi="黑体" w:eastAsia="黑体"/>
                <w:color w:val="000000"/>
                <w:sz w:val="21"/>
                <w:szCs w:val="21"/>
              </w:rPr>
            </w:pPr>
            <w:r>
              <w:rPr>
                <w:rFonts w:hint="eastAsia" w:ascii="黑体" w:hAnsi="黑体" w:eastAsia="黑体"/>
                <w:color w:val="000000"/>
                <w:sz w:val="21"/>
                <w:szCs w:val="21"/>
              </w:rPr>
              <w:t>专业负责人</w:t>
            </w:r>
          </w:p>
        </w:tc>
        <w:tc>
          <w:tcPr>
            <w:tcW w:w="3532" w:type="dxa"/>
            <w:gridSpan w:val="2"/>
            <w:noWrap w:val="0"/>
            <w:vAlign w:val="center"/>
          </w:tcPr>
          <w:p w14:paraId="28C3F6F4">
            <w:pPr>
              <w:widowControl w:val="0"/>
              <w:jc w:val="left"/>
              <w:rPr>
                <w:rFonts w:ascii="黑体" w:hAnsi="黑体" w:eastAsia="黑体"/>
                <w:color w:val="000000"/>
                <w:sz w:val="21"/>
                <w:szCs w:val="21"/>
              </w:rPr>
            </w:pPr>
            <w:r>
              <w:rPr>
                <w:rFonts w:hint="eastAsia" w:ascii="黑体" w:hAnsi="黑体" w:eastAsia="黑体"/>
                <w:color w:val="000000"/>
                <w:sz w:val="21"/>
                <w:szCs w:val="21"/>
                <w:lang w:eastAsia="zh-CN"/>
              </w:rPr>
              <w:drawing>
                <wp:inline distT="0" distB="0" distL="114300" distR="114300">
                  <wp:extent cx="609600" cy="332105"/>
                  <wp:effectExtent l="0" t="0" r="0" b="10795"/>
                  <wp:docPr id="1" name="图片 1"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中平"/>
                          <pic:cNvPicPr>
                            <a:picLocks noChangeAspect="1"/>
                          </pic:cNvPicPr>
                        </pic:nvPicPr>
                        <pic:blipFill>
                          <a:blip r:embed="rId6"/>
                          <a:stretch>
                            <a:fillRect/>
                          </a:stretch>
                        </pic:blipFill>
                        <pic:spPr>
                          <a:xfrm>
                            <a:off x="0" y="0"/>
                            <a:ext cx="609600" cy="332105"/>
                          </a:xfrm>
                          <a:prstGeom prst="rect">
                            <a:avLst/>
                          </a:prstGeom>
                          <a:noFill/>
                          <a:ln>
                            <a:noFill/>
                          </a:ln>
                        </pic:spPr>
                      </pic:pic>
                    </a:graphicData>
                  </a:graphic>
                </wp:inline>
              </w:drawing>
            </w:r>
          </w:p>
        </w:tc>
        <w:tc>
          <w:tcPr>
            <w:tcW w:w="1425" w:type="dxa"/>
            <w:gridSpan w:val="2"/>
            <w:noWrap w:val="0"/>
            <w:vAlign w:val="center"/>
          </w:tcPr>
          <w:p w14:paraId="13AB9C07">
            <w:pPr>
              <w:widowControl w:val="0"/>
              <w:jc w:val="center"/>
              <w:rPr>
                <w:sz w:val="21"/>
                <w:szCs w:val="21"/>
              </w:rPr>
            </w:pPr>
            <w:r>
              <w:rPr>
                <w:rFonts w:hint="eastAsia" w:ascii="黑体" w:hAnsi="黑体" w:eastAsia="黑体"/>
                <w:color w:val="000000"/>
                <w:sz w:val="21"/>
                <w:szCs w:val="21"/>
              </w:rPr>
              <w:t>审定时间</w:t>
            </w:r>
          </w:p>
        </w:tc>
        <w:tc>
          <w:tcPr>
            <w:tcW w:w="1628" w:type="dxa"/>
            <w:gridSpan w:val="2"/>
            <w:tcBorders>
              <w:right w:val="single" w:color="auto" w:sz="12" w:space="0"/>
            </w:tcBorders>
            <w:noWrap w:val="0"/>
            <w:vAlign w:val="center"/>
          </w:tcPr>
          <w:p w14:paraId="579334CE">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52E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noWrap w:val="0"/>
            <w:vAlign w:val="center"/>
          </w:tcPr>
          <w:p w14:paraId="4805BE74">
            <w:pPr>
              <w:widowControl w:val="0"/>
              <w:jc w:val="center"/>
              <w:rPr>
                <w:rFonts w:ascii="黑体" w:hAnsi="黑体" w:eastAsia="黑体"/>
                <w:color w:val="000000"/>
                <w:sz w:val="21"/>
                <w:szCs w:val="21"/>
              </w:rPr>
            </w:pPr>
            <w:r>
              <w:rPr>
                <w:rFonts w:hint="eastAsia" w:ascii="黑体" w:hAnsi="黑体" w:eastAsia="黑体"/>
                <w:color w:val="000000"/>
                <w:sz w:val="21"/>
                <w:szCs w:val="21"/>
              </w:rPr>
              <w:t>学院负责人</w:t>
            </w:r>
          </w:p>
        </w:tc>
        <w:tc>
          <w:tcPr>
            <w:tcW w:w="3532" w:type="dxa"/>
            <w:gridSpan w:val="2"/>
            <w:tcBorders>
              <w:bottom w:val="single" w:color="auto" w:sz="12" w:space="0"/>
            </w:tcBorders>
            <w:noWrap w:val="0"/>
            <w:vAlign w:val="center"/>
          </w:tcPr>
          <w:p w14:paraId="39B7D6CF">
            <w:pPr>
              <w:widowControl w:val="0"/>
              <w:jc w:val="left"/>
              <w:rPr>
                <w:rFonts w:ascii="黑体" w:hAnsi="黑体" w:eastAsia="黑体"/>
                <w:color w:val="000000"/>
                <w:sz w:val="21"/>
                <w:szCs w:val="21"/>
              </w:rPr>
            </w:pPr>
            <w:r>
              <w:rPr>
                <w:rFonts w:hint="eastAsia" w:ascii="Times New Roman" w:hAnsi="Times New Roman"/>
                <w:color w:val="000000"/>
                <w:sz w:val="21"/>
                <w:szCs w:val="21"/>
              </w:rPr>
              <w:drawing>
                <wp:inline distT="0" distB="0" distL="114300" distR="114300">
                  <wp:extent cx="499745" cy="340995"/>
                  <wp:effectExtent l="0" t="0" r="14605" b="19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499745" cy="340995"/>
                          </a:xfrm>
                          <a:prstGeom prst="rect">
                            <a:avLst/>
                          </a:prstGeom>
                          <a:noFill/>
                          <a:ln>
                            <a:noFill/>
                          </a:ln>
                        </pic:spPr>
                      </pic:pic>
                    </a:graphicData>
                  </a:graphic>
                </wp:inline>
              </w:drawing>
            </w:r>
          </w:p>
        </w:tc>
        <w:tc>
          <w:tcPr>
            <w:tcW w:w="1425" w:type="dxa"/>
            <w:gridSpan w:val="2"/>
            <w:tcBorders>
              <w:bottom w:val="single" w:color="auto" w:sz="12" w:space="0"/>
            </w:tcBorders>
            <w:noWrap w:val="0"/>
            <w:vAlign w:val="center"/>
          </w:tcPr>
          <w:p w14:paraId="5941D65B">
            <w:pPr>
              <w:widowControl w:val="0"/>
              <w:jc w:val="center"/>
              <w:rPr>
                <w:sz w:val="21"/>
                <w:szCs w:val="21"/>
              </w:rPr>
            </w:pPr>
            <w:r>
              <w:rPr>
                <w:rFonts w:hint="eastAsia" w:ascii="黑体" w:hAnsi="黑体" w:eastAsia="黑体"/>
                <w:color w:val="000000"/>
                <w:sz w:val="21"/>
                <w:szCs w:val="21"/>
              </w:rPr>
              <w:t>批准时间</w:t>
            </w:r>
          </w:p>
        </w:tc>
        <w:tc>
          <w:tcPr>
            <w:tcW w:w="1628" w:type="dxa"/>
            <w:gridSpan w:val="2"/>
            <w:tcBorders>
              <w:bottom w:val="single" w:color="auto" w:sz="12" w:space="0"/>
              <w:right w:val="single" w:color="auto" w:sz="12" w:space="0"/>
            </w:tcBorders>
            <w:noWrap w:val="0"/>
            <w:vAlign w:val="center"/>
          </w:tcPr>
          <w:p w14:paraId="1C914AC2">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396F5291">
      <w:pPr>
        <w:pStyle w:val="22"/>
        <w:spacing w:before="326" w:beforeLines="100" w:line="360" w:lineRule="auto"/>
        <w:rPr>
          <w:rFonts w:hint="eastAsia" w:ascii="黑体" w:hAnsi="宋体"/>
        </w:rPr>
      </w:pPr>
      <w:r>
        <w:rPr>
          <w:rFonts w:hint="eastAsia" w:ascii="黑体" w:hAnsi="宋体"/>
        </w:rPr>
        <w:t>二、课程目标与毕业要求</w:t>
      </w:r>
    </w:p>
    <w:p w14:paraId="65088D28">
      <w:pPr>
        <w:pStyle w:val="23"/>
        <w:spacing w:before="81" w:after="163"/>
      </w:pPr>
      <w:r>
        <w:rPr>
          <w:rFonts w:hint="eastAsia"/>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3CE63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noWrap w:val="0"/>
            <w:vAlign w:val="center"/>
          </w:tcPr>
          <w:p w14:paraId="12F17F4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noWrap w:val="0"/>
            <w:vAlign w:val="center"/>
          </w:tcPr>
          <w:p w14:paraId="0160D8A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noWrap w:val="0"/>
            <w:vAlign w:val="center"/>
          </w:tcPr>
          <w:p w14:paraId="6192393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C4B38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5654C44B">
            <w:pPr>
              <w:snapToGrid w:val="0"/>
              <w:jc w:val="center"/>
            </w:pPr>
            <w:r>
              <w:rPr>
                <w:rFonts w:hint="eastAsia" w:ascii="黑体" w:hAnsi="黑体" w:eastAsia="黑体"/>
                <w:bCs/>
                <w:color w:val="000000"/>
                <w:sz w:val="21"/>
                <w:szCs w:val="18"/>
              </w:rPr>
              <w:t>知识目标</w:t>
            </w:r>
          </w:p>
        </w:tc>
        <w:tc>
          <w:tcPr>
            <w:tcW w:w="764" w:type="dxa"/>
            <w:noWrap w:val="0"/>
            <w:vAlign w:val="center"/>
          </w:tcPr>
          <w:p w14:paraId="2C4F8D8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noWrap w:val="0"/>
            <w:vAlign w:val="center"/>
          </w:tcPr>
          <w:p w14:paraId="458C9C3E">
            <w:pPr>
              <w:pStyle w:val="20"/>
              <w:jc w:val="left"/>
              <w:rPr>
                <w:rFonts w:ascii="宋体" w:hAnsi="宋体"/>
                <w:bCs/>
              </w:rPr>
            </w:pPr>
            <w:r>
              <w:rPr>
                <w:rFonts w:hint="eastAsia" w:cs="Times New Roman"/>
                <w:bCs/>
              </w:rPr>
              <w:t>掌握药理学专业知识。</w:t>
            </w:r>
          </w:p>
        </w:tc>
      </w:tr>
      <w:tr w14:paraId="34D7E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4A26D446">
            <w:pPr>
              <w:pStyle w:val="20"/>
              <w:rPr>
                <w:bCs/>
              </w:rPr>
            </w:pPr>
          </w:p>
        </w:tc>
        <w:tc>
          <w:tcPr>
            <w:tcW w:w="782" w:type="dxa"/>
            <w:noWrap w:val="0"/>
            <w:vAlign w:val="center"/>
          </w:tcPr>
          <w:p w14:paraId="7FBA5BB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noWrap w:val="0"/>
            <w:vAlign w:val="center"/>
          </w:tcPr>
          <w:p w14:paraId="69881F53">
            <w:pPr>
              <w:pStyle w:val="20"/>
              <w:jc w:val="left"/>
              <w:rPr>
                <w:rFonts w:ascii="宋体" w:hAnsi="宋体"/>
                <w:bCs/>
              </w:rPr>
            </w:pPr>
            <w:r>
              <w:rPr>
                <w:rFonts w:hint="eastAsia" w:ascii="宋体" w:hAnsi="宋体"/>
                <w:sz w:val="20"/>
                <w:szCs w:val="20"/>
              </w:rPr>
              <w:t>具有自主学习的基本能力，能够适应不断变化的社会健康保健需要</w:t>
            </w:r>
          </w:p>
        </w:tc>
      </w:tr>
      <w:tr w14:paraId="38DD2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0BAADCEF">
            <w:pPr>
              <w:pStyle w:val="20"/>
              <w:rPr>
                <w:bCs/>
              </w:rPr>
            </w:pPr>
          </w:p>
        </w:tc>
        <w:tc>
          <w:tcPr>
            <w:tcW w:w="782" w:type="dxa"/>
            <w:noWrap w:val="0"/>
            <w:vAlign w:val="center"/>
          </w:tcPr>
          <w:p w14:paraId="7B22FCD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noWrap w:val="0"/>
            <w:vAlign w:val="center"/>
          </w:tcPr>
          <w:p w14:paraId="70F79D4D">
            <w:pPr>
              <w:pStyle w:val="20"/>
              <w:jc w:val="left"/>
              <w:rPr>
                <w:rFonts w:cs="Times New Roman"/>
                <w:bCs/>
              </w:rPr>
            </w:pPr>
            <w:r>
              <w:rPr>
                <w:rFonts w:hint="eastAsia" w:ascii="宋体" w:hAnsi="宋体"/>
                <w:bCs/>
                <w:sz w:val="20"/>
                <w:szCs w:val="20"/>
              </w:rPr>
              <w:t>具有健康服务与管理类专业所需相关的实践知识储备。</w:t>
            </w:r>
          </w:p>
        </w:tc>
      </w:tr>
      <w:tr w14:paraId="62330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noWrap w:val="0"/>
            <w:vAlign w:val="center"/>
          </w:tcPr>
          <w:p w14:paraId="6A3BBEC5">
            <w:pPr>
              <w:snapToGrid w:val="0"/>
              <w:jc w:val="center"/>
            </w:pPr>
            <w:r>
              <w:rPr>
                <w:rFonts w:hint="eastAsia" w:ascii="黑体" w:hAnsi="黑体" w:eastAsia="黑体"/>
                <w:bCs/>
                <w:color w:val="000000"/>
                <w:sz w:val="21"/>
                <w:szCs w:val="18"/>
              </w:rPr>
              <w:t>技能目标</w:t>
            </w:r>
          </w:p>
        </w:tc>
        <w:tc>
          <w:tcPr>
            <w:tcW w:w="782" w:type="dxa"/>
            <w:noWrap w:val="0"/>
            <w:vAlign w:val="center"/>
          </w:tcPr>
          <w:p w14:paraId="39A37A91">
            <w:pPr>
              <w:snapToGrid w:val="0"/>
              <w:jc w:val="center"/>
              <w:rPr>
                <w:rFonts w:hAnsi="Times New Roman"/>
                <w:color w:val="000000"/>
                <w:sz w:val="20"/>
                <w:szCs w:val="20"/>
              </w:rPr>
            </w:pPr>
            <w:r>
              <w:rPr>
                <w:rFonts w:hint="eastAsia" w:ascii="Arial" w:hAnsi="Arial" w:eastAsia="黑体" w:cs="Arial"/>
                <w:bCs/>
                <w:color w:val="000000"/>
                <w:sz w:val="21"/>
                <w:szCs w:val="18"/>
              </w:rPr>
              <w:t>4</w:t>
            </w:r>
          </w:p>
        </w:tc>
        <w:tc>
          <w:tcPr>
            <w:tcW w:w="6458" w:type="dxa"/>
            <w:noWrap w:val="0"/>
            <w:vAlign w:val="center"/>
          </w:tcPr>
          <w:p w14:paraId="2A9DD9C4">
            <w:pPr>
              <w:pStyle w:val="20"/>
              <w:jc w:val="left"/>
              <w:rPr>
                <w:rFonts w:ascii="宋体"/>
                <w:sz w:val="20"/>
                <w:szCs w:val="20"/>
              </w:rPr>
            </w:pPr>
            <w:r>
              <w:rPr>
                <w:rFonts w:hint="eastAsia" w:cs="Times New Roman"/>
                <w:bCs/>
              </w:rPr>
              <w:t>掌握对个人或人群的健康风险因素进行全面管理的能力，开展健康管理服务。</w:t>
            </w:r>
          </w:p>
        </w:tc>
      </w:tr>
      <w:tr w14:paraId="733FD4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5E3DADB6">
            <w:pPr>
              <w:pStyle w:val="20"/>
              <w:rPr>
                <w:rFonts w:ascii="宋体" w:hAnsi="宋体"/>
              </w:rPr>
            </w:pPr>
          </w:p>
        </w:tc>
        <w:tc>
          <w:tcPr>
            <w:tcW w:w="782" w:type="dxa"/>
            <w:noWrap w:val="0"/>
            <w:vAlign w:val="center"/>
          </w:tcPr>
          <w:p w14:paraId="6B6C726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noWrap w:val="0"/>
            <w:vAlign w:val="center"/>
          </w:tcPr>
          <w:p w14:paraId="24ED77F7">
            <w:pPr>
              <w:pStyle w:val="20"/>
              <w:jc w:val="left"/>
              <w:rPr>
                <w:rFonts w:ascii="宋体" w:hAnsi="宋体"/>
                <w:bCs/>
              </w:rPr>
            </w:pPr>
            <w:r>
              <w:rPr>
                <w:rFonts w:hint="eastAsia" w:cs="Times New Roman"/>
                <w:bCs/>
              </w:rPr>
              <w:t>能利用健康保健专业知识，为服务对象提供健康咨询服务。能确定服务对象的健康需求，并采用合适的健康教育方法。</w:t>
            </w:r>
          </w:p>
        </w:tc>
      </w:tr>
      <w:tr w14:paraId="29078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noWrap w:val="0"/>
            <w:vAlign w:val="center"/>
          </w:tcPr>
          <w:p w14:paraId="765A106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3A279B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noWrap w:val="0"/>
            <w:vAlign w:val="center"/>
          </w:tcPr>
          <w:p w14:paraId="31850C7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8" w:type="dxa"/>
            <w:noWrap w:val="0"/>
            <w:vAlign w:val="center"/>
          </w:tcPr>
          <w:p w14:paraId="547BB97C">
            <w:pPr>
              <w:pStyle w:val="20"/>
              <w:jc w:val="left"/>
              <w:rPr>
                <w:rFonts w:ascii="宋体" w:hAnsi="宋体"/>
                <w:bCs/>
              </w:rPr>
            </w:pPr>
            <w:r>
              <w:rPr>
                <w:rFonts w:hint="eastAsia" w:ascii="宋体" w:hAnsi="宋体"/>
                <w:bCs/>
              </w:rPr>
              <w:t>培养科学的世界观和方法论，树立严谨的科学态度，培养独立思考和解决问题的能力。</w:t>
            </w:r>
          </w:p>
        </w:tc>
      </w:tr>
      <w:tr w14:paraId="4BF39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0FD5EB4C">
            <w:pPr>
              <w:pStyle w:val="20"/>
              <w:rPr>
                <w:rFonts w:ascii="宋体" w:hAnsi="宋体"/>
              </w:rPr>
            </w:pPr>
          </w:p>
        </w:tc>
        <w:tc>
          <w:tcPr>
            <w:tcW w:w="782" w:type="dxa"/>
            <w:noWrap w:val="0"/>
            <w:vAlign w:val="center"/>
          </w:tcPr>
          <w:p w14:paraId="7417566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7</w:t>
            </w:r>
          </w:p>
        </w:tc>
        <w:tc>
          <w:tcPr>
            <w:tcW w:w="6458" w:type="dxa"/>
            <w:noWrap w:val="0"/>
            <w:vAlign w:val="center"/>
          </w:tcPr>
          <w:p w14:paraId="3BF15470">
            <w:pPr>
              <w:pStyle w:val="20"/>
              <w:jc w:val="left"/>
              <w:rPr>
                <w:rFonts w:ascii="宋体" w:hAnsi="宋体"/>
                <w:bCs/>
              </w:rPr>
            </w:pPr>
            <w:r>
              <w:rPr>
                <w:rFonts w:hint="eastAsia" w:ascii="宋体" w:hAnsi="宋体"/>
                <w:bCs/>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r>
    </w:tbl>
    <w:p w14:paraId="09625F2B">
      <w:pPr>
        <w:pStyle w:val="23"/>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8F4A85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noWrap w:val="0"/>
            <w:vAlign w:val="top"/>
          </w:tcPr>
          <w:p w14:paraId="78894C3B">
            <w:pPr>
              <w:widowControl w:val="0"/>
              <w:tabs>
                <w:tab w:val="left" w:pos="4200"/>
              </w:tabs>
              <w:adjustRightInd w:val="0"/>
              <w:snapToGrid w:val="0"/>
              <w:spacing w:line="264" w:lineRule="auto"/>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LO1品德修养</w:t>
            </w:r>
            <w:r>
              <w:rPr>
                <w:rFonts w:ascii="Times New Roman" w:hAnsi="Times New Roman" w:cs="Times New Roman"/>
                <w:bCs/>
                <w:sz w:val="21"/>
                <w:szCs w:val="21"/>
              </w:rPr>
              <w:t>：</w:t>
            </w:r>
            <w:r>
              <w:rPr>
                <w:rFonts w:hint="eastAsia" w:ascii="Times New Roman" w:hAnsi="Times New Roman" w:cs="Times New Roman"/>
                <w:bCs/>
                <w:color w:val="000000"/>
                <w:sz w:val="21"/>
                <w:szCs w:val="21"/>
              </w:rPr>
              <w:t>②遵纪守法，增强法律意识，培养法律思维，自觉遵守法律法规、校纪校规。</w:t>
            </w:r>
          </w:p>
        </w:tc>
      </w:tr>
      <w:tr w14:paraId="2B3CF6F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noWrap w:val="0"/>
            <w:vAlign w:val="top"/>
          </w:tcPr>
          <w:p w14:paraId="3519B360">
            <w:pPr>
              <w:pStyle w:val="20"/>
              <w:widowControl w:val="0"/>
              <w:jc w:val="left"/>
              <w:rPr>
                <w:rFonts w:cs="Times New Roman"/>
                <w:bCs/>
              </w:rPr>
            </w:pPr>
            <w:r>
              <w:rPr>
                <w:rFonts w:cs="Times New Roman"/>
                <w:b/>
                <w:bCs/>
              </w:rPr>
              <w:t>LO2专业能力</w:t>
            </w:r>
            <w:r>
              <w:rPr>
                <w:rFonts w:cs="Times New Roman"/>
                <w:bCs/>
              </w:rPr>
              <w:t>：</w:t>
            </w:r>
            <w:r>
              <w:rPr>
                <w:rFonts w:hint="eastAsia" w:cs="Times New Roman"/>
                <w:bCs/>
              </w:rPr>
              <w:t>①具有专业所需的人文科学素养。④健康咨询：掌握健康保健专业知识，为服务对象提供健康咨询服务。能确定服务对象的健康需求，并采用合适的健康教育方法。⑥健康管理：掌握对个人或人群的健康风险因素进行全面管理的能力，开展健康管理服务。</w:t>
            </w:r>
          </w:p>
        </w:tc>
      </w:tr>
    </w:tbl>
    <w:p w14:paraId="2D3C2D49">
      <w:pPr>
        <w:pStyle w:val="23"/>
        <w:spacing w:before="163" w:beforeLines="50"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7D5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noWrap w:val="0"/>
            <w:vAlign w:val="center"/>
          </w:tcPr>
          <w:p w14:paraId="1A1A3050">
            <w:pPr>
              <w:pStyle w:val="19"/>
              <w:rPr>
                <w:szCs w:val="16"/>
              </w:rPr>
            </w:pPr>
            <w:r>
              <w:rPr>
                <w:rFonts w:hint="eastAsia" w:ascii="黑体" w:hAnsi="黑体"/>
                <w:szCs w:val="18"/>
              </w:rPr>
              <w:t>毕业要求</w:t>
            </w:r>
          </w:p>
        </w:tc>
        <w:tc>
          <w:tcPr>
            <w:tcW w:w="794" w:type="dxa"/>
            <w:tcBorders>
              <w:top w:val="single" w:color="auto" w:sz="12" w:space="0"/>
              <w:left w:val="single" w:color="auto" w:sz="4" w:space="0"/>
            </w:tcBorders>
            <w:noWrap w:val="0"/>
            <w:vAlign w:val="center"/>
          </w:tcPr>
          <w:p w14:paraId="0E09D966">
            <w:pPr>
              <w:pStyle w:val="19"/>
              <w:rPr>
                <w:szCs w:val="16"/>
              </w:rPr>
            </w:pPr>
            <w:r>
              <w:rPr>
                <w:rFonts w:hint="eastAsia"/>
                <w:szCs w:val="16"/>
              </w:rPr>
              <w:t>指标点</w:t>
            </w:r>
          </w:p>
        </w:tc>
        <w:tc>
          <w:tcPr>
            <w:tcW w:w="794" w:type="dxa"/>
            <w:tcBorders>
              <w:top w:val="single" w:color="auto" w:sz="12" w:space="0"/>
              <w:right w:val="double" w:color="auto" w:sz="4" w:space="0"/>
            </w:tcBorders>
            <w:noWrap w:val="0"/>
            <w:vAlign w:val="center"/>
          </w:tcPr>
          <w:p w14:paraId="3632565B">
            <w:pPr>
              <w:pStyle w:val="19"/>
              <w:rPr>
                <w:szCs w:val="16"/>
              </w:rPr>
            </w:pPr>
            <w:r>
              <w:rPr>
                <w:rFonts w:hint="eastAsia"/>
                <w:szCs w:val="16"/>
              </w:rPr>
              <w:t>支撑度</w:t>
            </w:r>
          </w:p>
        </w:tc>
        <w:tc>
          <w:tcPr>
            <w:tcW w:w="4763" w:type="dxa"/>
            <w:tcBorders>
              <w:top w:val="single" w:color="auto" w:sz="12" w:space="0"/>
            </w:tcBorders>
            <w:noWrap w:val="0"/>
            <w:vAlign w:val="center"/>
          </w:tcPr>
          <w:p w14:paraId="0D34FCA7">
            <w:pPr>
              <w:pStyle w:val="19"/>
              <w:rPr>
                <w:szCs w:val="16"/>
              </w:rPr>
            </w:pPr>
            <w:r>
              <w:rPr>
                <w:rFonts w:hint="eastAsia"/>
                <w:szCs w:val="16"/>
              </w:rPr>
              <w:t>课程目标</w:t>
            </w:r>
          </w:p>
        </w:tc>
        <w:tc>
          <w:tcPr>
            <w:tcW w:w="1348" w:type="dxa"/>
            <w:tcBorders>
              <w:top w:val="single" w:color="auto" w:sz="12" w:space="0"/>
              <w:right w:val="single" w:color="auto" w:sz="12" w:space="0"/>
            </w:tcBorders>
            <w:noWrap w:val="0"/>
            <w:vAlign w:val="center"/>
          </w:tcPr>
          <w:p w14:paraId="0BC8673C">
            <w:pPr>
              <w:pStyle w:val="19"/>
              <w:rPr>
                <w:szCs w:val="16"/>
              </w:rPr>
            </w:pPr>
            <w:r>
              <w:rPr>
                <w:rFonts w:hint="eastAsia"/>
                <w:szCs w:val="16"/>
              </w:rPr>
              <w:t>对指标点的贡献度</w:t>
            </w:r>
          </w:p>
        </w:tc>
      </w:tr>
      <w:tr w14:paraId="470D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noWrap w:val="0"/>
            <w:vAlign w:val="center"/>
          </w:tcPr>
          <w:p w14:paraId="4FA3272E">
            <w:pPr>
              <w:pStyle w:val="20"/>
              <w:rPr>
                <w:rFonts w:hint="eastAsia" w:ascii="宋体" w:hAnsi="宋体"/>
                <w:b/>
                <w:bCs/>
              </w:rPr>
            </w:pPr>
            <w:r>
              <w:rPr>
                <w:rFonts w:ascii="宋体" w:hAnsi="宋体"/>
                <w:b/>
                <w:bCs/>
              </w:rPr>
              <w:t>LO1</w:t>
            </w:r>
          </w:p>
          <w:p w14:paraId="0330587A">
            <w:pPr>
              <w:pStyle w:val="20"/>
            </w:pPr>
            <w:r>
              <w:rPr>
                <w:rFonts w:ascii="宋体" w:hAnsi="宋体"/>
                <w:b/>
                <w:bCs/>
              </w:rPr>
              <w:t>品德修养</w:t>
            </w:r>
          </w:p>
        </w:tc>
        <w:tc>
          <w:tcPr>
            <w:tcW w:w="794" w:type="dxa"/>
            <w:tcBorders>
              <w:left w:val="single" w:color="auto" w:sz="4" w:space="0"/>
            </w:tcBorders>
            <w:noWrap w:val="0"/>
            <w:vAlign w:val="center"/>
          </w:tcPr>
          <w:p w14:paraId="0EE00BFD">
            <w:pPr>
              <w:pStyle w:val="20"/>
              <w:rPr>
                <w:rFonts w:cs="Times New Roman"/>
                <w:bCs/>
              </w:rPr>
            </w:pPr>
            <w:r>
              <w:rPr>
                <w:rFonts w:hint="eastAsia" w:cs="Times New Roman"/>
                <w:bCs/>
              </w:rPr>
              <w:t>②</w:t>
            </w:r>
          </w:p>
        </w:tc>
        <w:tc>
          <w:tcPr>
            <w:tcW w:w="794" w:type="dxa"/>
            <w:tcBorders>
              <w:right w:val="double" w:color="auto" w:sz="4" w:space="0"/>
            </w:tcBorders>
            <w:noWrap w:val="0"/>
            <w:vAlign w:val="center"/>
          </w:tcPr>
          <w:p w14:paraId="57AB090E">
            <w:pPr>
              <w:pStyle w:val="20"/>
              <w:rPr>
                <w:rFonts w:ascii="宋体" w:hAnsi="宋体"/>
              </w:rPr>
            </w:pPr>
            <w:r>
              <w:rPr>
                <w:rFonts w:hint="eastAsia" w:ascii="宋体" w:hAnsi="宋体"/>
              </w:rPr>
              <w:t>M</w:t>
            </w:r>
          </w:p>
        </w:tc>
        <w:tc>
          <w:tcPr>
            <w:tcW w:w="4763" w:type="dxa"/>
            <w:noWrap w:val="0"/>
            <w:vAlign w:val="center"/>
          </w:tcPr>
          <w:p w14:paraId="5922A216">
            <w:pPr>
              <w:pStyle w:val="20"/>
              <w:jc w:val="left"/>
              <w:rPr>
                <w:rFonts w:ascii="宋体" w:hAnsi="宋体"/>
                <w:bCs/>
              </w:rPr>
            </w:pPr>
            <w:r>
              <w:rPr>
                <w:rFonts w:hint="eastAsia" w:ascii="宋体" w:hAnsi="宋体"/>
                <w:bCs/>
              </w:rPr>
              <w:t>7</w:t>
            </w:r>
            <w:r>
              <w:rPr>
                <w:rFonts w:ascii="宋体" w:hAnsi="宋体"/>
                <w:bCs/>
              </w:rPr>
              <w:t>.</w:t>
            </w:r>
            <w:r>
              <w:rPr>
                <w:rFonts w:hint="eastAsia" w:ascii="宋体" w:hAnsi="宋体"/>
                <w:bCs/>
              </w:rPr>
              <w:t xml:space="preserve"> 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c>
          <w:tcPr>
            <w:tcW w:w="1348" w:type="dxa"/>
            <w:tcBorders>
              <w:right w:val="single" w:color="auto" w:sz="12" w:space="0"/>
            </w:tcBorders>
            <w:noWrap w:val="0"/>
            <w:vAlign w:val="center"/>
          </w:tcPr>
          <w:p w14:paraId="19E35A50">
            <w:pPr>
              <w:pStyle w:val="20"/>
              <w:rPr>
                <w:rFonts w:ascii="宋体" w:hAnsi="宋体"/>
                <w:bCs/>
              </w:rPr>
            </w:pPr>
            <w:r>
              <w:rPr>
                <w:rFonts w:hint="eastAsia" w:ascii="宋体" w:hAnsi="宋体"/>
                <w:bCs/>
              </w:rPr>
              <w:t>1</w:t>
            </w:r>
            <w:r>
              <w:rPr>
                <w:rFonts w:ascii="宋体" w:hAnsi="宋体"/>
                <w:bCs/>
              </w:rPr>
              <w:t>00%</w:t>
            </w:r>
          </w:p>
        </w:tc>
      </w:tr>
      <w:tr w14:paraId="5A1E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noWrap w:val="0"/>
            <w:vAlign w:val="center"/>
          </w:tcPr>
          <w:p w14:paraId="6930DAEE">
            <w:pPr>
              <w:pStyle w:val="20"/>
            </w:pPr>
            <w:r>
              <w:rPr>
                <w:rFonts w:cs="Times New Roman"/>
                <w:b/>
                <w:bCs/>
              </w:rPr>
              <w:t>LO2专业能力</w:t>
            </w:r>
          </w:p>
        </w:tc>
        <w:tc>
          <w:tcPr>
            <w:tcW w:w="794" w:type="dxa"/>
            <w:vMerge w:val="restart"/>
            <w:tcBorders>
              <w:left w:val="single" w:color="auto" w:sz="4" w:space="0"/>
            </w:tcBorders>
            <w:noWrap w:val="0"/>
            <w:vAlign w:val="center"/>
          </w:tcPr>
          <w:p w14:paraId="284889C1">
            <w:pPr>
              <w:pStyle w:val="20"/>
              <w:rPr>
                <w:rFonts w:cs="Times New Roman"/>
                <w:bCs/>
              </w:rPr>
            </w:pPr>
            <w:r>
              <w:rPr>
                <w:rFonts w:hint="eastAsia" w:cs="Times New Roman"/>
                <w:bCs/>
              </w:rPr>
              <w:t>①</w:t>
            </w:r>
          </w:p>
        </w:tc>
        <w:tc>
          <w:tcPr>
            <w:tcW w:w="794" w:type="dxa"/>
            <w:vMerge w:val="restart"/>
            <w:tcBorders>
              <w:right w:val="double" w:color="auto" w:sz="4" w:space="0"/>
            </w:tcBorders>
            <w:noWrap w:val="0"/>
            <w:vAlign w:val="center"/>
          </w:tcPr>
          <w:p w14:paraId="15750C3D">
            <w:pPr>
              <w:pStyle w:val="20"/>
              <w:rPr>
                <w:rFonts w:ascii="宋体" w:hAnsi="宋体"/>
              </w:rPr>
            </w:pPr>
            <w:r>
              <w:rPr>
                <w:rFonts w:hint="eastAsia" w:ascii="宋体" w:hAnsi="宋体"/>
              </w:rPr>
              <w:t>M</w:t>
            </w:r>
          </w:p>
        </w:tc>
        <w:tc>
          <w:tcPr>
            <w:tcW w:w="4763" w:type="dxa"/>
            <w:noWrap w:val="0"/>
            <w:vAlign w:val="center"/>
          </w:tcPr>
          <w:p w14:paraId="67336342">
            <w:pPr>
              <w:pStyle w:val="20"/>
              <w:jc w:val="left"/>
              <w:rPr>
                <w:rFonts w:ascii="宋体" w:hAnsi="宋体"/>
                <w:bCs/>
              </w:rPr>
            </w:pPr>
            <w:r>
              <w:rPr>
                <w:rFonts w:hint="eastAsia" w:cs="Times New Roman"/>
                <w:bCs/>
              </w:rPr>
              <w:t>1.掌握药理学专业知识。</w:t>
            </w:r>
          </w:p>
        </w:tc>
        <w:tc>
          <w:tcPr>
            <w:tcW w:w="1348" w:type="dxa"/>
            <w:tcBorders>
              <w:right w:val="single" w:color="auto" w:sz="12" w:space="0"/>
            </w:tcBorders>
            <w:noWrap w:val="0"/>
            <w:vAlign w:val="center"/>
          </w:tcPr>
          <w:p w14:paraId="358BE007">
            <w:pPr>
              <w:pStyle w:val="20"/>
              <w:rPr>
                <w:rFonts w:ascii="宋体" w:hAnsi="宋体"/>
                <w:bCs/>
              </w:rPr>
            </w:pPr>
            <w:r>
              <w:rPr>
                <w:rFonts w:hint="eastAsia" w:ascii="宋体" w:hAnsi="宋体"/>
                <w:bCs/>
              </w:rPr>
              <w:t>60</w:t>
            </w:r>
            <w:r>
              <w:rPr>
                <w:rFonts w:ascii="宋体" w:hAnsi="宋体"/>
                <w:bCs/>
              </w:rPr>
              <w:t>%</w:t>
            </w:r>
          </w:p>
        </w:tc>
      </w:tr>
      <w:tr w14:paraId="74A6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5D494673">
            <w:pPr>
              <w:pStyle w:val="20"/>
              <w:rPr>
                <w:rFonts w:cs="Times New Roman"/>
                <w:b/>
                <w:bCs/>
              </w:rPr>
            </w:pPr>
          </w:p>
        </w:tc>
        <w:tc>
          <w:tcPr>
            <w:tcW w:w="794" w:type="dxa"/>
            <w:vMerge w:val="continue"/>
            <w:tcBorders>
              <w:left w:val="single" w:color="auto" w:sz="4" w:space="0"/>
            </w:tcBorders>
            <w:noWrap w:val="0"/>
            <w:vAlign w:val="center"/>
          </w:tcPr>
          <w:p w14:paraId="56947CC5">
            <w:pPr>
              <w:pStyle w:val="20"/>
              <w:rPr>
                <w:rFonts w:hint="eastAsia" w:cs="Times New Roman"/>
                <w:bCs/>
              </w:rPr>
            </w:pPr>
          </w:p>
        </w:tc>
        <w:tc>
          <w:tcPr>
            <w:tcW w:w="794" w:type="dxa"/>
            <w:vMerge w:val="continue"/>
            <w:tcBorders>
              <w:right w:val="double" w:color="auto" w:sz="4" w:space="0"/>
            </w:tcBorders>
            <w:noWrap w:val="0"/>
            <w:vAlign w:val="center"/>
          </w:tcPr>
          <w:p w14:paraId="070152A1">
            <w:pPr>
              <w:pStyle w:val="20"/>
              <w:rPr>
                <w:rFonts w:hint="eastAsia" w:ascii="宋体" w:hAnsi="宋体"/>
              </w:rPr>
            </w:pPr>
          </w:p>
        </w:tc>
        <w:tc>
          <w:tcPr>
            <w:tcW w:w="4763" w:type="dxa"/>
            <w:noWrap w:val="0"/>
            <w:vAlign w:val="center"/>
          </w:tcPr>
          <w:p w14:paraId="176EA923">
            <w:pPr>
              <w:pStyle w:val="20"/>
              <w:jc w:val="left"/>
              <w:rPr>
                <w:rFonts w:hint="eastAsia" w:cs="Times New Roman"/>
                <w:bCs/>
              </w:rPr>
            </w:pPr>
            <w:r>
              <w:rPr>
                <w:rFonts w:hint="eastAsia" w:cs="Times New Roman"/>
                <w:bCs/>
              </w:rPr>
              <w:t>2.</w:t>
            </w:r>
            <w:r>
              <w:rPr>
                <w:rFonts w:hint="eastAsia" w:ascii="宋体" w:hAnsi="宋体"/>
                <w:sz w:val="20"/>
                <w:szCs w:val="20"/>
              </w:rPr>
              <w:t xml:space="preserve"> 具有自主学习的基本能力，能够适应不断变化的社会健康保健需要。</w:t>
            </w:r>
          </w:p>
        </w:tc>
        <w:tc>
          <w:tcPr>
            <w:tcW w:w="1348" w:type="dxa"/>
            <w:tcBorders>
              <w:right w:val="single" w:color="auto" w:sz="12" w:space="0"/>
            </w:tcBorders>
            <w:noWrap w:val="0"/>
            <w:vAlign w:val="center"/>
          </w:tcPr>
          <w:p w14:paraId="746B69C8">
            <w:pPr>
              <w:pStyle w:val="20"/>
              <w:rPr>
                <w:rFonts w:hint="eastAsia" w:ascii="宋体" w:hAnsi="宋体"/>
                <w:bCs/>
              </w:rPr>
            </w:pPr>
            <w:r>
              <w:rPr>
                <w:rFonts w:hint="eastAsia" w:ascii="宋体" w:hAnsi="宋体"/>
                <w:bCs/>
              </w:rPr>
              <w:t>20</w:t>
            </w:r>
            <w:r>
              <w:rPr>
                <w:rFonts w:ascii="宋体" w:hAnsi="宋体"/>
                <w:bCs/>
              </w:rPr>
              <w:t>%</w:t>
            </w:r>
          </w:p>
        </w:tc>
      </w:tr>
      <w:tr w14:paraId="3872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0EC11058">
            <w:pPr>
              <w:pStyle w:val="20"/>
              <w:rPr>
                <w:rFonts w:cs="Times New Roman"/>
                <w:b/>
                <w:bCs/>
              </w:rPr>
            </w:pPr>
          </w:p>
        </w:tc>
        <w:tc>
          <w:tcPr>
            <w:tcW w:w="794" w:type="dxa"/>
            <w:vMerge w:val="continue"/>
            <w:tcBorders>
              <w:left w:val="single" w:color="auto" w:sz="4" w:space="0"/>
            </w:tcBorders>
            <w:noWrap w:val="0"/>
            <w:vAlign w:val="center"/>
          </w:tcPr>
          <w:p w14:paraId="39287C30">
            <w:pPr>
              <w:pStyle w:val="20"/>
              <w:rPr>
                <w:rFonts w:hint="eastAsia" w:cs="Times New Roman"/>
                <w:bCs/>
              </w:rPr>
            </w:pPr>
          </w:p>
        </w:tc>
        <w:tc>
          <w:tcPr>
            <w:tcW w:w="794" w:type="dxa"/>
            <w:vMerge w:val="continue"/>
            <w:tcBorders>
              <w:right w:val="double" w:color="auto" w:sz="4" w:space="0"/>
            </w:tcBorders>
            <w:noWrap w:val="0"/>
            <w:vAlign w:val="center"/>
          </w:tcPr>
          <w:p w14:paraId="0F6ED125">
            <w:pPr>
              <w:pStyle w:val="20"/>
              <w:rPr>
                <w:rFonts w:hint="eastAsia" w:ascii="宋体" w:hAnsi="宋体"/>
              </w:rPr>
            </w:pPr>
          </w:p>
        </w:tc>
        <w:tc>
          <w:tcPr>
            <w:tcW w:w="4763" w:type="dxa"/>
            <w:noWrap w:val="0"/>
            <w:vAlign w:val="center"/>
          </w:tcPr>
          <w:p w14:paraId="15FF88E3">
            <w:pPr>
              <w:pStyle w:val="20"/>
              <w:jc w:val="left"/>
              <w:rPr>
                <w:rFonts w:hint="eastAsia" w:ascii="宋体" w:hAnsi="宋体"/>
                <w:bCs/>
              </w:rPr>
            </w:pPr>
            <w:r>
              <w:rPr>
                <w:rFonts w:hint="eastAsia" w:ascii="宋体" w:hAnsi="宋体"/>
                <w:bCs/>
              </w:rPr>
              <w:t>3.</w:t>
            </w:r>
            <w:r>
              <w:rPr>
                <w:rFonts w:hint="eastAsia" w:ascii="宋体" w:hAnsi="宋体"/>
                <w:bCs/>
                <w:sz w:val="20"/>
                <w:szCs w:val="20"/>
              </w:rPr>
              <w:t xml:space="preserve"> 具有健康服务与管理类专业所需相关的实践知识储备。</w:t>
            </w:r>
          </w:p>
        </w:tc>
        <w:tc>
          <w:tcPr>
            <w:tcW w:w="1348" w:type="dxa"/>
            <w:tcBorders>
              <w:right w:val="single" w:color="auto" w:sz="12" w:space="0"/>
            </w:tcBorders>
            <w:noWrap w:val="0"/>
            <w:vAlign w:val="center"/>
          </w:tcPr>
          <w:p w14:paraId="64C399DC">
            <w:pPr>
              <w:pStyle w:val="20"/>
              <w:rPr>
                <w:rFonts w:hint="eastAsia" w:ascii="宋体" w:hAnsi="宋体"/>
                <w:bCs/>
              </w:rPr>
            </w:pPr>
            <w:r>
              <w:rPr>
                <w:rFonts w:hint="eastAsia" w:ascii="宋体" w:hAnsi="宋体"/>
                <w:bCs/>
              </w:rPr>
              <w:t>20</w:t>
            </w:r>
            <w:r>
              <w:rPr>
                <w:rFonts w:ascii="宋体" w:hAnsi="宋体"/>
                <w:bCs/>
              </w:rPr>
              <w:t>%</w:t>
            </w:r>
          </w:p>
        </w:tc>
      </w:tr>
      <w:tr w14:paraId="0563B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0D391CFF">
            <w:pPr>
              <w:pStyle w:val="20"/>
              <w:rPr>
                <w:rFonts w:cs="Times New Roman"/>
                <w:b/>
                <w:bCs/>
              </w:rPr>
            </w:pPr>
          </w:p>
        </w:tc>
        <w:tc>
          <w:tcPr>
            <w:tcW w:w="794" w:type="dxa"/>
            <w:tcBorders>
              <w:left w:val="single" w:color="auto" w:sz="4" w:space="0"/>
            </w:tcBorders>
            <w:noWrap w:val="0"/>
            <w:vAlign w:val="center"/>
          </w:tcPr>
          <w:p w14:paraId="331DF8C0">
            <w:pPr>
              <w:pStyle w:val="20"/>
              <w:rPr>
                <w:rFonts w:hint="eastAsia" w:cs="Times New Roman"/>
                <w:bCs/>
              </w:rPr>
            </w:pPr>
            <w:r>
              <w:rPr>
                <w:rFonts w:hint="eastAsia" w:cs="Times New Roman"/>
                <w:bCs/>
              </w:rPr>
              <w:t>④</w:t>
            </w:r>
          </w:p>
        </w:tc>
        <w:tc>
          <w:tcPr>
            <w:tcW w:w="794" w:type="dxa"/>
            <w:tcBorders>
              <w:right w:val="double" w:color="auto" w:sz="4" w:space="0"/>
            </w:tcBorders>
            <w:noWrap w:val="0"/>
            <w:vAlign w:val="center"/>
          </w:tcPr>
          <w:p w14:paraId="518BF371">
            <w:pPr>
              <w:pStyle w:val="20"/>
              <w:rPr>
                <w:rFonts w:hint="eastAsia" w:ascii="宋体" w:hAnsi="宋体"/>
              </w:rPr>
            </w:pPr>
            <w:r>
              <w:rPr>
                <w:rFonts w:hint="eastAsia" w:ascii="宋体" w:hAnsi="宋体"/>
              </w:rPr>
              <w:t>M</w:t>
            </w:r>
          </w:p>
        </w:tc>
        <w:tc>
          <w:tcPr>
            <w:tcW w:w="4763" w:type="dxa"/>
            <w:noWrap w:val="0"/>
            <w:vAlign w:val="center"/>
          </w:tcPr>
          <w:p w14:paraId="78A6A7D1">
            <w:pPr>
              <w:pStyle w:val="20"/>
              <w:jc w:val="left"/>
              <w:rPr>
                <w:rFonts w:hint="eastAsia" w:ascii="宋体" w:hAnsi="宋体"/>
                <w:bCs/>
              </w:rPr>
            </w:pPr>
            <w:r>
              <w:rPr>
                <w:rFonts w:hint="eastAsia" w:ascii="宋体" w:hAnsi="宋体"/>
                <w:bCs/>
              </w:rPr>
              <w:t>5.</w:t>
            </w:r>
            <w:r>
              <w:rPr>
                <w:rFonts w:hint="eastAsia" w:cs="Times New Roman"/>
                <w:bCs/>
              </w:rPr>
              <w:t xml:space="preserve"> 能利用健康保健专业知识，为服务对象提供健康咨询服务。能确定服务对象的健康需求，并采用合适的健康教育方法。</w:t>
            </w:r>
          </w:p>
        </w:tc>
        <w:tc>
          <w:tcPr>
            <w:tcW w:w="1348" w:type="dxa"/>
            <w:tcBorders>
              <w:right w:val="single" w:color="auto" w:sz="12" w:space="0"/>
            </w:tcBorders>
            <w:noWrap w:val="0"/>
            <w:vAlign w:val="center"/>
          </w:tcPr>
          <w:p w14:paraId="4741615A">
            <w:pPr>
              <w:pStyle w:val="20"/>
              <w:rPr>
                <w:rFonts w:hint="eastAsia" w:ascii="宋体" w:hAnsi="宋体"/>
                <w:bCs/>
              </w:rPr>
            </w:pPr>
            <w:r>
              <w:rPr>
                <w:rFonts w:hint="eastAsia" w:ascii="宋体" w:hAnsi="宋体"/>
                <w:bCs/>
              </w:rPr>
              <w:t>1</w:t>
            </w:r>
            <w:r>
              <w:rPr>
                <w:rFonts w:ascii="宋体" w:hAnsi="宋体"/>
                <w:bCs/>
              </w:rPr>
              <w:t>00%</w:t>
            </w:r>
          </w:p>
        </w:tc>
      </w:tr>
      <w:tr w14:paraId="630F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434B08A3">
            <w:pPr>
              <w:pStyle w:val="20"/>
              <w:rPr>
                <w:rFonts w:cs="Times New Roman"/>
                <w:b/>
                <w:bCs/>
              </w:rPr>
            </w:pPr>
          </w:p>
        </w:tc>
        <w:tc>
          <w:tcPr>
            <w:tcW w:w="794" w:type="dxa"/>
            <w:tcBorders>
              <w:left w:val="single" w:color="auto" w:sz="4" w:space="0"/>
            </w:tcBorders>
            <w:noWrap w:val="0"/>
            <w:vAlign w:val="center"/>
          </w:tcPr>
          <w:p w14:paraId="26A09539">
            <w:pPr>
              <w:pStyle w:val="20"/>
              <w:rPr>
                <w:rFonts w:hint="eastAsia" w:cs="Times New Roman"/>
                <w:bCs/>
              </w:rPr>
            </w:pPr>
            <w:r>
              <w:rPr>
                <w:rFonts w:hint="eastAsia" w:cs="Times New Roman"/>
                <w:bCs/>
              </w:rPr>
              <w:t>⑥</w:t>
            </w:r>
          </w:p>
        </w:tc>
        <w:tc>
          <w:tcPr>
            <w:tcW w:w="794" w:type="dxa"/>
            <w:tcBorders>
              <w:right w:val="double" w:color="auto" w:sz="4" w:space="0"/>
            </w:tcBorders>
            <w:noWrap w:val="0"/>
            <w:vAlign w:val="center"/>
          </w:tcPr>
          <w:p w14:paraId="564E4849">
            <w:pPr>
              <w:pStyle w:val="20"/>
              <w:rPr>
                <w:rFonts w:hint="eastAsia" w:ascii="宋体" w:hAnsi="宋体"/>
              </w:rPr>
            </w:pPr>
            <w:r>
              <w:rPr>
                <w:rFonts w:hint="eastAsia" w:ascii="宋体" w:hAnsi="宋体"/>
              </w:rPr>
              <w:t>H</w:t>
            </w:r>
          </w:p>
        </w:tc>
        <w:tc>
          <w:tcPr>
            <w:tcW w:w="4763" w:type="dxa"/>
            <w:noWrap w:val="0"/>
            <w:vAlign w:val="center"/>
          </w:tcPr>
          <w:p w14:paraId="7D567C53">
            <w:pPr>
              <w:pStyle w:val="20"/>
              <w:jc w:val="left"/>
              <w:rPr>
                <w:rFonts w:hint="eastAsia" w:ascii="宋体" w:hAnsi="宋体"/>
                <w:bCs/>
              </w:rPr>
            </w:pPr>
            <w:r>
              <w:rPr>
                <w:rFonts w:hint="eastAsia" w:ascii="宋体" w:hAnsi="宋体"/>
                <w:bCs/>
              </w:rPr>
              <w:t>4.</w:t>
            </w:r>
            <w:r>
              <w:rPr>
                <w:rFonts w:hint="eastAsia" w:cs="Times New Roman"/>
                <w:bCs/>
              </w:rPr>
              <w:t xml:space="preserve"> 掌握对个人或人群的健康风险因素进行全面管理的能力，开展健康管理服务。</w:t>
            </w:r>
          </w:p>
        </w:tc>
        <w:tc>
          <w:tcPr>
            <w:tcW w:w="1348" w:type="dxa"/>
            <w:tcBorders>
              <w:right w:val="single" w:color="auto" w:sz="12" w:space="0"/>
            </w:tcBorders>
            <w:noWrap w:val="0"/>
            <w:vAlign w:val="center"/>
          </w:tcPr>
          <w:p w14:paraId="19EE0989">
            <w:pPr>
              <w:pStyle w:val="20"/>
              <w:rPr>
                <w:rFonts w:hint="eastAsia" w:ascii="宋体" w:hAnsi="宋体"/>
                <w:bCs/>
              </w:rPr>
            </w:pPr>
            <w:r>
              <w:rPr>
                <w:rFonts w:hint="eastAsia" w:ascii="宋体" w:hAnsi="宋体"/>
                <w:bCs/>
              </w:rPr>
              <w:t>1</w:t>
            </w:r>
            <w:r>
              <w:rPr>
                <w:rFonts w:ascii="宋体" w:hAnsi="宋体"/>
                <w:bCs/>
              </w:rPr>
              <w:t>00%</w:t>
            </w:r>
          </w:p>
        </w:tc>
      </w:tr>
    </w:tbl>
    <w:p w14:paraId="50F604CF">
      <w:pPr>
        <w:pStyle w:val="22"/>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FC9E40D">
      <w:pPr>
        <w:pStyle w:val="23"/>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71E9F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0F09213D">
            <w:pPr>
              <w:pStyle w:val="20"/>
              <w:widowControl w:val="0"/>
              <w:jc w:val="left"/>
              <w:rPr>
                <w:rFonts w:hint="eastAsia" w:ascii="宋体" w:hAnsi="宋体"/>
              </w:rPr>
            </w:pPr>
            <w:bookmarkStart w:id="0" w:name="OLE_LINK6"/>
            <w:bookmarkStart w:id="1" w:name="OLE_LINK5"/>
            <w:r>
              <w:rPr>
                <w:rFonts w:hint="eastAsia" w:ascii="宋体" w:hAnsi="宋体"/>
                <w:bCs/>
              </w:rPr>
              <w:t xml:space="preserve">第一单元 </w:t>
            </w:r>
            <w:r>
              <w:rPr>
                <w:rFonts w:hint="eastAsia" w:ascii="宋体" w:hAnsi="宋体"/>
              </w:rPr>
              <w:t>药理学总论、药物效应动力学</w:t>
            </w:r>
          </w:p>
          <w:p w14:paraId="5D043300">
            <w:pPr>
              <w:pStyle w:val="20"/>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743F4589">
            <w:pPr>
              <w:snapToGrid w:val="0"/>
              <w:spacing w:line="288" w:lineRule="auto"/>
              <w:rPr>
                <w:rFonts w:hint="eastAsia" w:cs="仿宋"/>
                <w:sz w:val="21"/>
                <w:szCs w:val="21"/>
              </w:rPr>
            </w:pPr>
            <w:r>
              <w:rPr>
                <w:rFonts w:hint="eastAsia"/>
                <w:bCs/>
                <w:sz w:val="21"/>
                <w:szCs w:val="21"/>
              </w:rPr>
              <w:t>①</w:t>
            </w:r>
            <w:r>
              <w:rPr>
                <w:rFonts w:hint="eastAsia" w:cs="仿宋"/>
                <w:sz w:val="21"/>
                <w:szCs w:val="21"/>
              </w:rPr>
              <w:t>知道药物、药理学、药效学、药动学的概念。药物的基本作用、药物作用的两重性、副反应、毒性反应、过敏反应、耐受性、受体激动剂、受体阻断剂、药物的量效关系、治疗指数、效能、效价强度等概念。</w:t>
            </w:r>
          </w:p>
          <w:p w14:paraId="21647086">
            <w:pPr>
              <w:snapToGrid w:val="0"/>
              <w:spacing w:line="288" w:lineRule="auto"/>
              <w:rPr>
                <w:rFonts w:hint="eastAsia" w:cs="仿宋"/>
                <w:sz w:val="21"/>
                <w:szCs w:val="21"/>
              </w:rPr>
            </w:pPr>
            <w:r>
              <w:rPr>
                <w:rFonts w:hint="eastAsia"/>
                <w:bCs/>
                <w:sz w:val="21"/>
                <w:szCs w:val="21"/>
              </w:rPr>
              <w:t>②</w:t>
            </w:r>
            <w:r>
              <w:rPr>
                <w:rFonts w:hint="eastAsia" w:cs="仿宋"/>
                <w:sz w:val="21"/>
                <w:szCs w:val="21"/>
              </w:rPr>
              <w:t>理解药理学的性质和任务、药理学学习方法。局部作用、吸收作用、药物作用的选择性、后遗效应、继发反应、对因治疗、对症治疗、安全范围、依赖性等概念。</w:t>
            </w:r>
          </w:p>
          <w:p w14:paraId="597FAD4D">
            <w:pPr>
              <w:snapToGrid w:val="0"/>
              <w:spacing w:line="288" w:lineRule="auto"/>
              <w:rPr>
                <w:rFonts w:hint="eastAsia"/>
                <w:sz w:val="21"/>
                <w:szCs w:val="21"/>
              </w:rPr>
            </w:pPr>
            <w:r>
              <w:rPr>
                <w:rFonts w:hint="eastAsia"/>
                <w:bCs/>
                <w:sz w:val="21"/>
                <w:szCs w:val="21"/>
              </w:rPr>
              <w:t>③</w:t>
            </w:r>
            <w:r>
              <w:rPr>
                <w:rFonts w:hint="eastAsia" w:cs="仿宋"/>
                <w:sz w:val="21"/>
                <w:szCs w:val="21"/>
              </w:rPr>
              <w:t>了解药理学发展简史、新药的开发与研究。了解受体与药物作用的关系、受体调节及临床意义，药物其他作用机制。</w:t>
            </w:r>
            <w:r>
              <w:rPr>
                <w:rFonts w:hint="eastAsia"/>
                <w:sz w:val="21"/>
                <w:szCs w:val="21"/>
              </w:rPr>
              <w:t xml:space="preserve">              </w:t>
            </w:r>
          </w:p>
          <w:p w14:paraId="168C9164">
            <w:pPr>
              <w:pStyle w:val="20"/>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5FF41B32">
            <w:pPr>
              <w:snapToGrid w:val="0"/>
              <w:spacing w:line="288" w:lineRule="auto"/>
              <w:rPr>
                <w:rFonts w:hint="eastAsia" w:cs="仿宋"/>
                <w:sz w:val="21"/>
                <w:szCs w:val="21"/>
              </w:rPr>
            </w:pPr>
            <w:r>
              <w:rPr>
                <w:rFonts w:hint="eastAsia"/>
                <w:bCs/>
                <w:sz w:val="21"/>
                <w:szCs w:val="21"/>
              </w:rPr>
              <w:t>①</w:t>
            </w:r>
            <w:r>
              <w:rPr>
                <w:rFonts w:hint="eastAsia" w:cs="仿宋"/>
                <w:sz w:val="21"/>
                <w:szCs w:val="21"/>
              </w:rPr>
              <w:t xml:space="preserve">能阐述药物、药理学、药物效应动力学、药物代谢动力学的概念；   </w:t>
            </w:r>
          </w:p>
          <w:p w14:paraId="1D899301">
            <w:pPr>
              <w:snapToGrid w:val="0"/>
              <w:spacing w:line="288" w:lineRule="auto"/>
              <w:rPr>
                <w:rFonts w:hint="eastAsia" w:cs="仿宋"/>
                <w:sz w:val="21"/>
                <w:szCs w:val="21"/>
              </w:rPr>
            </w:pPr>
            <w:r>
              <w:rPr>
                <w:rFonts w:hint="eastAsia"/>
                <w:bCs/>
                <w:sz w:val="21"/>
                <w:szCs w:val="21"/>
              </w:rPr>
              <w:t>②</w:t>
            </w:r>
            <w:r>
              <w:rPr>
                <w:rFonts w:hint="eastAsia" w:cs="仿宋"/>
                <w:sz w:val="21"/>
                <w:szCs w:val="21"/>
              </w:rPr>
              <w:t>能理解药理学的发展简史；能运用药理学学习方法</w:t>
            </w:r>
          </w:p>
          <w:p w14:paraId="6C68A0C7">
            <w:pPr>
              <w:snapToGrid w:val="0"/>
              <w:spacing w:line="288" w:lineRule="auto"/>
              <w:rPr>
                <w:rFonts w:hint="eastAsia" w:cs="仿宋"/>
                <w:sz w:val="21"/>
                <w:szCs w:val="21"/>
              </w:rPr>
            </w:pPr>
            <w:r>
              <w:rPr>
                <w:rFonts w:hint="eastAsia"/>
                <w:bCs/>
                <w:sz w:val="21"/>
                <w:szCs w:val="21"/>
              </w:rPr>
              <w:t>③</w:t>
            </w:r>
            <w:r>
              <w:rPr>
                <w:rFonts w:hint="eastAsia" w:cs="仿宋"/>
                <w:sz w:val="21"/>
                <w:szCs w:val="21"/>
              </w:rPr>
              <w:t>能理解新药开发与研究的基本过程。</w:t>
            </w:r>
          </w:p>
          <w:p w14:paraId="25B00686">
            <w:pPr>
              <w:snapToGrid w:val="0"/>
              <w:spacing w:line="288" w:lineRule="auto"/>
              <w:rPr>
                <w:rFonts w:hint="eastAsia" w:cs="仿宋"/>
                <w:sz w:val="21"/>
                <w:szCs w:val="21"/>
              </w:rPr>
            </w:pPr>
            <w:r>
              <w:rPr>
                <w:sz w:val="21"/>
                <w:szCs w:val="21"/>
              </w:rPr>
              <w:fldChar w:fldCharType="begin"/>
            </w:r>
            <w:r>
              <w:rPr>
                <w:sz w:val="21"/>
                <w:szCs w:val="21"/>
              </w:rPr>
              <w:instrText xml:space="preserve"> </w:instrText>
            </w:r>
            <w:r>
              <w:rPr>
                <w:rFonts w:hint="eastAsia"/>
                <w:sz w:val="21"/>
                <w:szCs w:val="21"/>
              </w:rPr>
              <w:instrText xml:space="preserve">= 4 \* GB3</w:instrText>
            </w:r>
            <w:r>
              <w:rPr>
                <w:sz w:val="21"/>
                <w:szCs w:val="21"/>
              </w:rPr>
              <w:instrText xml:space="preserve"> </w:instrText>
            </w:r>
            <w:r>
              <w:rPr>
                <w:sz w:val="21"/>
                <w:szCs w:val="21"/>
              </w:rPr>
              <w:fldChar w:fldCharType="separate"/>
            </w:r>
            <w:r>
              <w:rPr>
                <w:rFonts w:hint="eastAsia"/>
                <w:sz w:val="21"/>
                <w:szCs w:val="21"/>
              </w:rPr>
              <w:t>④</w:t>
            </w:r>
            <w:r>
              <w:rPr>
                <w:sz w:val="21"/>
                <w:szCs w:val="21"/>
              </w:rPr>
              <w:fldChar w:fldCharType="end"/>
            </w:r>
            <w:r>
              <w:rPr>
                <w:rFonts w:hint="eastAsia" w:cs="仿宋"/>
                <w:sz w:val="21"/>
                <w:szCs w:val="21"/>
              </w:rPr>
              <w:t>学会归纳、比较重要的基本概念。</w:t>
            </w:r>
          </w:p>
          <w:p w14:paraId="216A748D">
            <w:pPr>
              <w:snapToGrid w:val="0"/>
              <w:spacing w:line="288" w:lineRule="auto"/>
              <w:rPr>
                <w:rFonts w:hint="eastAsia"/>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5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⑤</w:t>
            </w:r>
            <w:r>
              <w:rPr>
                <w:color w:val="000000"/>
                <w:sz w:val="21"/>
                <w:szCs w:val="21"/>
              </w:rPr>
              <w:fldChar w:fldCharType="end"/>
            </w:r>
            <w:r>
              <w:rPr>
                <w:rFonts w:hint="eastAsia" w:cs="仿宋"/>
                <w:sz w:val="21"/>
                <w:szCs w:val="21"/>
              </w:rPr>
              <w:t>具有药效学基本知识和基本理论，能举例解释药物作用的两重性，解释药物对机体作用道理。</w:t>
            </w:r>
          </w:p>
          <w:p w14:paraId="7BB3AD3D">
            <w:pPr>
              <w:pStyle w:val="20"/>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234E2155">
            <w:pPr>
              <w:pStyle w:val="20"/>
              <w:widowControl w:val="0"/>
              <w:jc w:val="left"/>
              <w:rPr>
                <w:rFonts w:ascii="宋体" w:hAnsi="宋体"/>
              </w:rPr>
            </w:pPr>
            <w:r>
              <w:rPr>
                <w:rFonts w:hint="eastAsia" w:ascii="宋体" w:hAnsi="宋体"/>
              </w:rPr>
              <w:t>通过学习药理学总论、药物效应动力学</w:t>
            </w:r>
            <w:r>
              <w:rPr>
                <w:rFonts w:hint="eastAsia" w:ascii="宋体" w:hAnsi="宋体"/>
                <w:bCs/>
                <w:color w:val="auto"/>
              </w:rPr>
              <w:t>,</w:t>
            </w:r>
            <w:r>
              <w:rPr>
                <w:rFonts w:hint="eastAsia" w:ascii="宋体" w:hAnsi="宋体"/>
              </w:rPr>
              <w:t>充分认识到药理学知识的重要性，从而能进行主动、积极的学习，增强尊重科学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3B27428C">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1B3640B4">
            <w:pPr>
              <w:snapToGrid w:val="0"/>
              <w:spacing w:line="288" w:lineRule="auto"/>
              <w:rPr>
                <w:rFonts w:hint="eastAsia" w:cs="仿宋"/>
                <w:sz w:val="21"/>
                <w:szCs w:val="21"/>
              </w:rPr>
            </w:pPr>
            <w:r>
              <w:rPr>
                <w:rFonts w:hint="eastAsia"/>
                <w:bCs/>
                <w:sz w:val="21"/>
                <w:szCs w:val="21"/>
              </w:rPr>
              <w:t>①</w:t>
            </w:r>
            <w:r>
              <w:rPr>
                <w:rFonts w:hint="eastAsia" w:cs="仿宋"/>
                <w:sz w:val="21"/>
                <w:szCs w:val="21"/>
              </w:rPr>
              <w:t>药物及药理学概念</w:t>
            </w:r>
          </w:p>
          <w:p w14:paraId="683656AC">
            <w:pPr>
              <w:snapToGrid w:val="0"/>
              <w:spacing w:line="288" w:lineRule="auto"/>
              <w:rPr>
                <w:rFonts w:hint="eastAsia" w:cs="仿宋"/>
                <w:sz w:val="21"/>
                <w:szCs w:val="21"/>
              </w:rPr>
            </w:pPr>
            <w:r>
              <w:rPr>
                <w:rFonts w:hint="eastAsia"/>
                <w:bCs/>
                <w:sz w:val="21"/>
                <w:szCs w:val="21"/>
              </w:rPr>
              <w:t>②</w:t>
            </w:r>
            <w:r>
              <w:rPr>
                <w:rFonts w:hint="eastAsia" w:cs="仿宋"/>
                <w:sz w:val="21"/>
                <w:szCs w:val="21"/>
              </w:rPr>
              <w:t>药物作用的基本规律</w:t>
            </w:r>
          </w:p>
          <w:p w14:paraId="68636E31">
            <w:pPr>
              <w:snapToGrid w:val="0"/>
              <w:spacing w:line="288" w:lineRule="auto"/>
              <w:rPr>
                <w:rFonts w:hint="eastAsia" w:cs="仿宋"/>
                <w:sz w:val="21"/>
                <w:szCs w:val="21"/>
              </w:rPr>
            </w:pPr>
            <w:r>
              <w:rPr>
                <w:rFonts w:hint="eastAsia"/>
                <w:bCs/>
                <w:sz w:val="21"/>
                <w:szCs w:val="21"/>
              </w:rPr>
              <w:t>③</w:t>
            </w:r>
            <w:r>
              <w:rPr>
                <w:rFonts w:hint="eastAsia" w:cs="仿宋"/>
                <w:sz w:val="21"/>
                <w:szCs w:val="21"/>
              </w:rPr>
              <w:t>药物常见的不良反应。</w:t>
            </w:r>
          </w:p>
          <w:p w14:paraId="6AEB4A75">
            <w:pPr>
              <w:snapToGrid w:val="0"/>
              <w:spacing w:line="288" w:lineRule="auto"/>
              <w:rPr>
                <w:rFonts w:hint="eastAsia"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药物的量效关系及量效曲线。</w:t>
            </w:r>
          </w:p>
          <w:p w14:paraId="20AD0720">
            <w:pPr>
              <w:snapToGrid w:val="0"/>
              <w:spacing w:line="288" w:lineRule="auto"/>
              <w:rPr>
                <w:rFonts w:hint="eastAsia"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5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⑤</w:t>
            </w:r>
            <w:r>
              <w:rPr>
                <w:color w:val="000000"/>
                <w:sz w:val="21"/>
                <w:szCs w:val="21"/>
              </w:rPr>
              <w:fldChar w:fldCharType="end"/>
            </w:r>
            <w:r>
              <w:rPr>
                <w:rFonts w:hint="eastAsia" w:cs="仿宋"/>
                <w:sz w:val="21"/>
                <w:szCs w:val="21"/>
              </w:rPr>
              <w:t xml:space="preserve">效能、效价强度、安全范围、治疗指数。 </w:t>
            </w:r>
          </w:p>
          <w:p w14:paraId="6E79AB30">
            <w:pPr>
              <w:widowControl w:val="0"/>
              <w:snapToGrid w:val="0"/>
              <w:spacing w:line="288" w:lineRule="auto"/>
              <w:jc w:val="both"/>
              <w:rPr>
                <w:color w:val="000000"/>
                <w:sz w:val="21"/>
                <w:szCs w:val="21"/>
              </w:rPr>
            </w:pPr>
            <w:r>
              <w:rPr>
                <w:rFonts w:cs="仿宋"/>
                <w:sz w:val="21"/>
                <w:szCs w:val="21"/>
              </w:rPr>
              <w:fldChar w:fldCharType="begin"/>
            </w:r>
            <w:r>
              <w:rPr>
                <w:rFonts w:cs="仿宋"/>
                <w:sz w:val="21"/>
                <w:szCs w:val="21"/>
              </w:rPr>
              <w:instrText xml:space="preserve"> </w:instrText>
            </w:r>
            <w:r>
              <w:rPr>
                <w:rFonts w:hint="eastAsia" w:cs="仿宋"/>
                <w:sz w:val="21"/>
                <w:szCs w:val="21"/>
              </w:rPr>
              <w:instrText xml:space="preserve">= 6 \* GB3</w:instrText>
            </w:r>
            <w:r>
              <w:rPr>
                <w:rFonts w:cs="仿宋"/>
                <w:sz w:val="21"/>
                <w:szCs w:val="21"/>
              </w:rPr>
              <w:instrText xml:space="preserve"> </w:instrText>
            </w:r>
            <w:r>
              <w:rPr>
                <w:rFonts w:cs="仿宋"/>
                <w:sz w:val="21"/>
                <w:szCs w:val="21"/>
              </w:rPr>
              <w:fldChar w:fldCharType="separate"/>
            </w:r>
            <w:r>
              <w:rPr>
                <w:rFonts w:hint="eastAsia" w:cs="仿宋"/>
                <w:sz w:val="21"/>
                <w:szCs w:val="21"/>
              </w:rPr>
              <w:t>⑥</w:t>
            </w:r>
            <w:r>
              <w:rPr>
                <w:rFonts w:cs="仿宋"/>
                <w:sz w:val="21"/>
                <w:szCs w:val="21"/>
              </w:rPr>
              <w:fldChar w:fldCharType="end"/>
            </w:r>
            <w:r>
              <w:rPr>
                <w:rFonts w:hint="eastAsia" w:cs="仿宋"/>
                <w:sz w:val="21"/>
                <w:szCs w:val="21"/>
              </w:rPr>
              <w:t>受体激动剂、受体拮抗剂和受体调节：受体上调与受体下调。</w:t>
            </w:r>
          </w:p>
        </w:tc>
      </w:tr>
      <w:tr w14:paraId="7C5C66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0AC93F10">
            <w:pPr>
              <w:snapToGrid w:val="0"/>
              <w:spacing w:line="288" w:lineRule="auto"/>
              <w:rPr>
                <w:rFonts w:hint="eastAsia" w:cs="仿宋"/>
                <w:sz w:val="21"/>
                <w:szCs w:val="21"/>
              </w:rPr>
            </w:pPr>
            <w:r>
              <w:rPr>
                <w:rFonts w:hint="eastAsia"/>
                <w:bCs/>
                <w:sz w:val="21"/>
                <w:szCs w:val="21"/>
              </w:rPr>
              <w:t xml:space="preserve">第二单元 </w:t>
            </w:r>
            <w:r>
              <w:rPr>
                <w:rFonts w:hint="eastAsia" w:cs="仿宋"/>
                <w:sz w:val="21"/>
                <w:szCs w:val="21"/>
              </w:rPr>
              <w:t>药物代谢动力学、影响药物作用的因素</w:t>
            </w:r>
          </w:p>
          <w:p w14:paraId="3DA7EE52">
            <w:pPr>
              <w:snapToGrid w:val="0"/>
              <w:spacing w:line="288" w:lineRule="auto"/>
              <w:rPr>
                <w:rFonts w:cs="仿宋"/>
                <w:sz w:val="21"/>
                <w:szCs w:val="21"/>
              </w:rPr>
            </w:pPr>
            <w:r>
              <w:rPr>
                <w:rFonts w:hint="eastAsia"/>
                <w:bCs/>
                <w:sz w:val="21"/>
                <w:szCs w:val="21"/>
              </w:rPr>
              <w:t>1</w:t>
            </w:r>
            <w:r>
              <w:rPr>
                <w:bCs/>
                <w:sz w:val="21"/>
                <w:szCs w:val="21"/>
              </w:rPr>
              <w:t>.</w:t>
            </w:r>
            <w:r>
              <w:rPr>
                <w:rFonts w:hint="eastAsia"/>
                <w:bCs/>
                <w:sz w:val="21"/>
                <w:szCs w:val="21"/>
              </w:rPr>
              <w:t>核心知识点：</w:t>
            </w:r>
          </w:p>
          <w:p w14:paraId="05467E46">
            <w:pPr>
              <w:snapToGrid w:val="0"/>
              <w:spacing w:line="288" w:lineRule="auto"/>
              <w:rPr>
                <w:rFonts w:hint="eastAsia" w:cs="仿宋"/>
                <w:sz w:val="21"/>
                <w:szCs w:val="21"/>
              </w:rPr>
            </w:pPr>
            <w:r>
              <w:rPr>
                <w:rFonts w:hint="eastAsia"/>
                <w:bCs/>
                <w:sz w:val="21"/>
                <w:szCs w:val="21"/>
              </w:rPr>
              <w:t>①</w:t>
            </w:r>
            <w:r>
              <w:rPr>
                <w:rFonts w:hint="eastAsia" w:cs="仿宋"/>
                <w:sz w:val="21"/>
                <w:szCs w:val="21"/>
              </w:rPr>
              <w:t>知道药物的体内过程及其影响因素；首关消除、肝肠循环的概念；血-脑脊液屏障的意义；肝药酶及其特点；生物利用度、半衰期、稳态血药浓度等药动学参数概念及临床意义。影响药物作用的机体方面的因素；个体差异、高敏性等概念。</w:t>
            </w:r>
          </w:p>
          <w:p w14:paraId="41EFBC84">
            <w:pPr>
              <w:snapToGrid w:val="0"/>
              <w:spacing w:line="288" w:lineRule="auto"/>
              <w:rPr>
                <w:rFonts w:hint="eastAsia" w:cs="仿宋"/>
                <w:sz w:val="21"/>
                <w:szCs w:val="21"/>
              </w:rPr>
            </w:pPr>
            <w:r>
              <w:rPr>
                <w:rFonts w:hint="eastAsia"/>
                <w:bCs/>
                <w:sz w:val="21"/>
                <w:szCs w:val="21"/>
              </w:rPr>
              <w:t>②</w:t>
            </w:r>
            <w:r>
              <w:rPr>
                <w:rFonts w:hint="eastAsia" w:cs="仿宋"/>
                <w:sz w:val="21"/>
                <w:szCs w:val="21"/>
              </w:rPr>
              <w:t>理解血药浓度变化的时间过程，时量曲线及其意义。表观分布容积、清除率等药动学参数的概念及其临床意义；恒比消除、恒量消除的概念和特点。</w:t>
            </w:r>
          </w:p>
          <w:p w14:paraId="61443217">
            <w:pPr>
              <w:snapToGrid w:val="0"/>
              <w:spacing w:line="288" w:lineRule="auto"/>
              <w:rPr>
                <w:rFonts w:hint="eastAsia"/>
                <w:sz w:val="21"/>
                <w:szCs w:val="21"/>
              </w:rPr>
            </w:pPr>
            <w:r>
              <w:rPr>
                <w:rFonts w:hint="eastAsia"/>
                <w:bCs/>
                <w:sz w:val="21"/>
                <w:szCs w:val="21"/>
              </w:rPr>
              <w:t>③</w:t>
            </w:r>
            <w:r>
              <w:rPr>
                <w:rFonts w:hint="eastAsia" w:cs="仿宋"/>
                <w:sz w:val="21"/>
                <w:szCs w:val="21"/>
              </w:rPr>
              <w:t>了解影响药物作用的药物方面的因素；安慰剂、配伍禁忌、协同作用、拮抗作用等概念。药物相互作用及合理用药的原则。</w:t>
            </w:r>
            <w:r>
              <w:rPr>
                <w:rFonts w:hint="eastAsia"/>
                <w:sz w:val="21"/>
                <w:szCs w:val="21"/>
              </w:rPr>
              <w:t xml:space="preserve"> </w:t>
            </w:r>
          </w:p>
          <w:p w14:paraId="0235777E">
            <w:pPr>
              <w:pStyle w:val="20"/>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72A3777F">
            <w:pPr>
              <w:widowControl w:val="0"/>
              <w:snapToGrid w:val="0"/>
              <w:spacing w:line="288" w:lineRule="auto"/>
              <w:jc w:val="both"/>
              <w:rPr>
                <w:rFonts w:hint="eastAsia" w:cs="仿宋"/>
                <w:sz w:val="21"/>
                <w:szCs w:val="21"/>
              </w:rPr>
            </w:pPr>
            <w:r>
              <w:rPr>
                <w:rFonts w:hint="eastAsia"/>
                <w:bCs/>
                <w:sz w:val="21"/>
                <w:szCs w:val="21"/>
              </w:rPr>
              <w:t>①</w:t>
            </w:r>
            <w:r>
              <w:rPr>
                <w:rFonts w:hint="eastAsia" w:cs="仿宋"/>
                <w:sz w:val="21"/>
                <w:szCs w:val="21"/>
              </w:rPr>
              <w:t>能运用药动学的知识解释药物体内过程对药物作用的影响。</w:t>
            </w:r>
          </w:p>
          <w:p w14:paraId="26FC5DB6">
            <w:pPr>
              <w:widowControl w:val="0"/>
              <w:snapToGrid w:val="0"/>
              <w:spacing w:line="288" w:lineRule="auto"/>
              <w:jc w:val="both"/>
              <w:rPr>
                <w:rFonts w:hint="eastAsia" w:cs="仿宋"/>
                <w:sz w:val="21"/>
                <w:szCs w:val="21"/>
              </w:rPr>
            </w:pPr>
            <w:r>
              <w:rPr>
                <w:rFonts w:hint="eastAsia"/>
                <w:bCs/>
                <w:sz w:val="21"/>
                <w:szCs w:val="21"/>
              </w:rPr>
              <w:t>②</w:t>
            </w:r>
            <w:r>
              <w:rPr>
                <w:rFonts w:hint="eastAsia" w:cs="仿宋"/>
                <w:sz w:val="21"/>
                <w:szCs w:val="21"/>
              </w:rPr>
              <w:t>综合药动学基本知识和基本理论，能理解临床用药中采用负荷剂量给药的目的。</w:t>
            </w:r>
          </w:p>
          <w:p w14:paraId="2C063243">
            <w:pPr>
              <w:widowControl w:val="0"/>
              <w:snapToGrid w:val="0"/>
              <w:spacing w:line="288" w:lineRule="auto"/>
              <w:jc w:val="both"/>
              <w:rPr>
                <w:rFonts w:hint="eastAsia" w:cs="仿宋"/>
                <w:sz w:val="21"/>
                <w:szCs w:val="21"/>
              </w:rPr>
            </w:pPr>
            <w:r>
              <w:rPr>
                <w:rFonts w:hint="eastAsia"/>
                <w:bCs/>
                <w:sz w:val="21"/>
                <w:szCs w:val="21"/>
              </w:rPr>
              <w:t>③</w:t>
            </w:r>
            <w:r>
              <w:rPr>
                <w:rFonts w:hint="eastAsia" w:cs="仿宋"/>
                <w:sz w:val="21"/>
                <w:szCs w:val="21"/>
              </w:rPr>
              <w:t>能运用药物作用的个体差异、指导患者个体化用药。</w:t>
            </w:r>
          </w:p>
          <w:p w14:paraId="55DEEB42">
            <w:pPr>
              <w:snapToGrid w:val="0"/>
              <w:spacing w:line="288" w:lineRule="auto"/>
              <w:rPr>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具有分析药物和机体的具体情况指导合理用药的能力。</w:t>
            </w:r>
            <w:r>
              <w:rPr>
                <w:bCs/>
                <w:sz w:val="21"/>
                <w:szCs w:val="21"/>
              </w:rPr>
              <w:t xml:space="preserve">                                                                                                                                                                                                                                                         </w:t>
            </w:r>
          </w:p>
          <w:p w14:paraId="3958E76E">
            <w:pPr>
              <w:pStyle w:val="20"/>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0EDBAC0A">
            <w:pPr>
              <w:pStyle w:val="20"/>
              <w:widowControl w:val="0"/>
              <w:jc w:val="left"/>
              <w:rPr>
                <w:rFonts w:ascii="宋体" w:hAnsi="宋体"/>
                <w:bCs/>
                <w:color w:val="auto"/>
              </w:rPr>
            </w:pPr>
            <w:r>
              <w:rPr>
                <w:rFonts w:hint="eastAsia" w:ascii="宋体" w:hAnsi="宋体"/>
              </w:rPr>
              <w:t>通过学习</w:t>
            </w:r>
            <w:r>
              <w:rPr>
                <w:rFonts w:hint="eastAsia" w:ascii="宋体" w:hAnsi="宋体" w:cs="仿宋"/>
              </w:rPr>
              <w:t>药物代谢动力学、影响药物作用的因素</w:t>
            </w:r>
            <w:r>
              <w:rPr>
                <w:rFonts w:hint="eastAsia" w:ascii="宋体" w:hAnsi="宋体"/>
                <w:bCs/>
                <w:color w:val="auto"/>
              </w:rPr>
              <w:t>,</w:t>
            </w:r>
            <w:r>
              <w:rPr>
                <w:rFonts w:hint="eastAsia" w:ascii="宋体" w:hAnsi="宋体"/>
              </w:rPr>
              <w:t xml:space="preserve"> 充分认识到药理学知识的重要性，从而能进行主动、积极的学习，增强尊重科学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10E475B1">
            <w:pPr>
              <w:pStyle w:val="20"/>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EE4FB2B">
            <w:pPr>
              <w:snapToGrid w:val="0"/>
              <w:spacing w:line="288" w:lineRule="auto"/>
              <w:rPr>
                <w:rFonts w:hint="eastAsia" w:cs="仿宋"/>
                <w:sz w:val="21"/>
                <w:szCs w:val="21"/>
              </w:rPr>
            </w:pPr>
            <w:r>
              <w:rPr>
                <w:rFonts w:hint="eastAsia"/>
                <w:bCs/>
                <w:sz w:val="21"/>
                <w:szCs w:val="21"/>
              </w:rPr>
              <w:t>①</w:t>
            </w:r>
            <w:r>
              <w:rPr>
                <w:rFonts w:hint="eastAsia" w:cs="仿宋"/>
                <w:sz w:val="21"/>
                <w:szCs w:val="21"/>
              </w:rPr>
              <w:t>药物在体内的过程其影响因素。</w:t>
            </w:r>
          </w:p>
          <w:p w14:paraId="4901B789">
            <w:pPr>
              <w:snapToGrid w:val="0"/>
              <w:spacing w:line="288" w:lineRule="auto"/>
              <w:rPr>
                <w:rFonts w:hint="eastAsia" w:cs="仿宋"/>
                <w:sz w:val="21"/>
                <w:szCs w:val="21"/>
              </w:rPr>
            </w:pPr>
            <w:r>
              <w:rPr>
                <w:rFonts w:hint="eastAsia"/>
                <w:bCs/>
                <w:sz w:val="21"/>
                <w:szCs w:val="21"/>
              </w:rPr>
              <w:t>②</w:t>
            </w:r>
            <w:r>
              <w:rPr>
                <w:rFonts w:hint="eastAsia" w:cs="仿宋"/>
                <w:sz w:val="21"/>
                <w:szCs w:val="21"/>
              </w:rPr>
              <w:t>首关消除、肝肠循环、血-脑脊液屏障的概念与意义；</w:t>
            </w:r>
          </w:p>
          <w:p w14:paraId="5846001F">
            <w:pPr>
              <w:snapToGrid w:val="0"/>
              <w:spacing w:line="288" w:lineRule="auto"/>
              <w:rPr>
                <w:rFonts w:hint="eastAsia" w:cs="仿宋"/>
                <w:sz w:val="21"/>
                <w:szCs w:val="21"/>
              </w:rPr>
            </w:pPr>
            <w:r>
              <w:rPr>
                <w:rFonts w:hint="eastAsia"/>
                <w:bCs/>
                <w:sz w:val="21"/>
                <w:szCs w:val="21"/>
              </w:rPr>
              <w:t>③</w:t>
            </w:r>
            <w:r>
              <w:rPr>
                <w:rFonts w:hint="eastAsia" w:cs="仿宋"/>
                <w:sz w:val="21"/>
                <w:szCs w:val="21"/>
              </w:rPr>
              <w:t>恒比消除、恒量消除、 生物利用度、 半衰期（t1/2）的概念与意义。</w:t>
            </w:r>
          </w:p>
          <w:p w14:paraId="7FDCAAAE">
            <w:pPr>
              <w:snapToGrid w:val="0"/>
              <w:spacing w:line="288" w:lineRule="auto"/>
              <w:rPr>
                <w:rFonts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机体及药物方面影响药物作用的因素</w:t>
            </w:r>
          </w:p>
        </w:tc>
      </w:tr>
      <w:tr w14:paraId="4E2B4A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7EBB81E3">
            <w:pPr>
              <w:pStyle w:val="20"/>
              <w:widowControl w:val="0"/>
              <w:jc w:val="left"/>
              <w:rPr>
                <w:rFonts w:hint="eastAsia" w:ascii="宋体" w:hAnsi="宋体"/>
              </w:rPr>
            </w:pPr>
            <w:r>
              <w:rPr>
                <w:rFonts w:hint="eastAsia" w:ascii="宋体" w:hAnsi="宋体"/>
                <w:bCs/>
              </w:rPr>
              <w:t xml:space="preserve">第三单元 </w:t>
            </w:r>
            <w:r>
              <w:rPr>
                <w:rFonts w:hint="eastAsia" w:ascii="宋体" w:hAnsi="宋体" w:cs="仿宋"/>
              </w:rPr>
              <w:t>传出神经系统药物概述，拟胆碱药、抗胆碱药</w:t>
            </w:r>
          </w:p>
          <w:p w14:paraId="763B1A0A">
            <w:pPr>
              <w:pStyle w:val="20"/>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606774B3">
            <w:pPr>
              <w:snapToGrid w:val="0"/>
              <w:spacing w:line="288" w:lineRule="auto"/>
              <w:rPr>
                <w:rFonts w:hint="eastAsia" w:cs="仿宋"/>
                <w:sz w:val="21"/>
                <w:szCs w:val="21"/>
              </w:rPr>
            </w:pPr>
            <w:r>
              <w:rPr>
                <w:rFonts w:hint="eastAsia"/>
                <w:bCs/>
                <w:sz w:val="21"/>
                <w:szCs w:val="21"/>
              </w:rPr>
              <w:t>①</w:t>
            </w:r>
            <w:r>
              <w:rPr>
                <w:rFonts w:hint="eastAsia" w:cs="仿宋"/>
                <w:sz w:val="21"/>
                <w:szCs w:val="21"/>
              </w:rPr>
              <w:t>知道传出神经系统受体的分类、分布及效应。毛果芸香碱的药理作用、临床应用及用药注意事项。阿托品的药理作用、临床应用、不良反应及禁忌证。</w:t>
            </w:r>
          </w:p>
          <w:p w14:paraId="18EA77A3">
            <w:pPr>
              <w:snapToGrid w:val="0"/>
              <w:spacing w:line="288" w:lineRule="auto"/>
              <w:rPr>
                <w:rFonts w:hint="eastAsia" w:cs="仿宋"/>
                <w:sz w:val="21"/>
                <w:szCs w:val="21"/>
              </w:rPr>
            </w:pPr>
            <w:r>
              <w:rPr>
                <w:rFonts w:hint="eastAsia"/>
                <w:bCs/>
                <w:sz w:val="21"/>
                <w:szCs w:val="21"/>
              </w:rPr>
              <w:t>②</w:t>
            </w:r>
            <w:r>
              <w:rPr>
                <w:rFonts w:hint="eastAsia" w:cs="仿宋"/>
                <w:sz w:val="21"/>
                <w:szCs w:val="21"/>
              </w:rPr>
              <w:t>理解传出神经系统药物的作用方式及药物分类。新斯的明的药理作用、临床应用及禁忌证；有机磷酸酯类中毒机制及解毒药物的特点。东莨菪碱、山莨菪碱的作用特点及临床应用；其他M受体阻断药的作用特点。</w:t>
            </w:r>
          </w:p>
          <w:p w14:paraId="08CDC922">
            <w:pPr>
              <w:snapToGrid w:val="0"/>
              <w:spacing w:line="288" w:lineRule="auto"/>
              <w:rPr>
                <w:color w:val="000000"/>
                <w:sz w:val="21"/>
                <w:szCs w:val="21"/>
              </w:rPr>
            </w:pPr>
            <w:r>
              <w:rPr>
                <w:rFonts w:hint="eastAsia"/>
                <w:bCs/>
                <w:sz w:val="21"/>
                <w:szCs w:val="21"/>
              </w:rPr>
              <w:t>③</w:t>
            </w:r>
            <w:r>
              <w:rPr>
                <w:rFonts w:hint="eastAsia" w:cs="仿宋"/>
                <w:sz w:val="21"/>
                <w:szCs w:val="21"/>
              </w:rPr>
              <w:t>了解传出神经系统的分类、递质的生物合成及代谢。有机磷酸酯类中毒的临床表现；其他拟胆碱药的作用特点。神经节阻断药的临床应用及两类骨骼肌松弛药物的异同点。</w:t>
            </w:r>
          </w:p>
          <w:p w14:paraId="0AF14299">
            <w:pPr>
              <w:pStyle w:val="20"/>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1C6C119B">
            <w:pPr>
              <w:snapToGrid w:val="0"/>
              <w:spacing w:line="288" w:lineRule="auto"/>
              <w:rPr>
                <w:rFonts w:hint="eastAsia" w:cs="仿宋"/>
                <w:sz w:val="21"/>
                <w:szCs w:val="21"/>
              </w:rPr>
            </w:pPr>
            <w:r>
              <w:rPr>
                <w:rFonts w:hint="eastAsia"/>
                <w:bCs/>
                <w:sz w:val="21"/>
                <w:szCs w:val="21"/>
              </w:rPr>
              <w:t>①</w:t>
            </w:r>
            <w:r>
              <w:rPr>
                <w:rFonts w:hint="eastAsia" w:cs="仿宋"/>
                <w:sz w:val="21"/>
                <w:szCs w:val="21"/>
              </w:rPr>
              <w:t>能分析传出神经系统受体的分类和生理效应；</w:t>
            </w:r>
          </w:p>
          <w:p w14:paraId="61994852">
            <w:pPr>
              <w:snapToGrid w:val="0"/>
              <w:spacing w:line="288" w:lineRule="auto"/>
              <w:rPr>
                <w:rFonts w:hint="eastAsia" w:cs="仿宋"/>
                <w:sz w:val="21"/>
                <w:szCs w:val="21"/>
              </w:rPr>
            </w:pPr>
            <w:r>
              <w:rPr>
                <w:rFonts w:hint="eastAsia"/>
                <w:bCs/>
                <w:sz w:val="21"/>
                <w:szCs w:val="21"/>
              </w:rPr>
              <w:t>②</w:t>
            </w:r>
            <w:r>
              <w:rPr>
                <w:rFonts w:hint="eastAsia" w:cs="仿宋"/>
                <w:sz w:val="21"/>
                <w:szCs w:val="21"/>
              </w:rPr>
              <w:t>能运用药物作用方式对药物进行分类的方法。</w:t>
            </w:r>
          </w:p>
          <w:p w14:paraId="014DBAFF">
            <w:pPr>
              <w:snapToGrid w:val="0"/>
              <w:spacing w:line="288" w:lineRule="auto"/>
              <w:rPr>
                <w:rFonts w:hint="eastAsia" w:cs="仿宋"/>
                <w:sz w:val="21"/>
                <w:szCs w:val="21"/>
              </w:rPr>
            </w:pPr>
            <w:r>
              <w:rPr>
                <w:rFonts w:hint="eastAsia"/>
                <w:bCs/>
                <w:sz w:val="21"/>
                <w:szCs w:val="21"/>
              </w:rPr>
              <w:t>③</w:t>
            </w:r>
            <w:r>
              <w:rPr>
                <w:rFonts w:hint="eastAsia" w:cs="仿宋"/>
                <w:sz w:val="21"/>
                <w:szCs w:val="21"/>
              </w:rPr>
              <w:t>学会观察拟胆碱药的疗效及不良反应。M受体阻断药疗效及药物不良反应。</w:t>
            </w:r>
          </w:p>
          <w:p w14:paraId="009F11FE">
            <w:pPr>
              <w:snapToGrid w:val="0"/>
              <w:spacing w:line="288" w:lineRule="auto"/>
              <w:rPr>
                <w:rFonts w:hint="eastAsia"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具有根据患者体征分析有机磷酸酯类中毒和抢救的能力。</w:t>
            </w:r>
          </w:p>
          <w:p w14:paraId="77985F23">
            <w:pPr>
              <w:widowControl w:val="0"/>
              <w:snapToGrid w:val="0"/>
              <w:spacing w:line="288" w:lineRule="auto"/>
              <w:jc w:val="both"/>
              <w:rPr>
                <w:bCs/>
                <w:sz w:val="21"/>
                <w:szCs w:val="21"/>
              </w:rPr>
            </w:pPr>
            <w:r>
              <w:rPr>
                <w:rFonts w:cs="仿宋"/>
                <w:sz w:val="21"/>
                <w:szCs w:val="21"/>
              </w:rPr>
              <w:fldChar w:fldCharType="begin"/>
            </w:r>
            <w:r>
              <w:rPr>
                <w:rFonts w:cs="仿宋"/>
                <w:sz w:val="21"/>
                <w:szCs w:val="21"/>
              </w:rPr>
              <w:instrText xml:space="preserve"> </w:instrText>
            </w:r>
            <w:r>
              <w:rPr>
                <w:rFonts w:hint="eastAsia" w:cs="仿宋"/>
                <w:sz w:val="21"/>
                <w:szCs w:val="21"/>
              </w:rPr>
              <w:instrText xml:space="preserve">= 5 \* GB3</w:instrText>
            </w:r>
            <w:r>
              <w:rPr>
                <w:rFonts w:cs="仿宋"/>
                <w:sz w:val="21"/>
                <w:szCs w:val="21"/>
              </w:rPr>
              <w:instrText xml:space="preserve"> </w:instrText>
            </w:r>
            <w:r>
              <w:rPr>
                <w:rFonts w:cs="仿宋"/>
                <w:sz w:val="21"/>
                <w:szCs w:val="21"/>
              </w:rPr>
              <w:fldChar w:fldCharType="separate"/>
            </w:r>
            <w:r>
              <w:rPr>
                <w:rFonts w:hint="eastAsia" w:cs="仿宋"/>
                <w:sz w:val="21"/>
                <w:szCs w:val="21"/>
              </w:rPr>
              <w:t>⑤</w:t>
            </w:r>
            <w:r>
              <w:rPr>
                <w:rFonts w:cs="仿宋"/>
                <w:sz w:val="21"/>
                <w:szCs w:val="21"/>
              </w:rPr>
              <w:fldChar w:fldCharType="end"/>
            </w:r>
            <w:r>
              <w:rPr>
                <w:rFonts w:hint="eastAsia" w:cs="仿宋"/>
                <w:sz w:val="21"/>
                <w:szCs w:val="21"/>
              </w:rPr>
              <w:t>具有分析正确使用阿托品等M受体阻断药的能力。</w:t>
            </w:r>
          </w:p>
          <w:p w14:paraId="16875FE5">
            <w:pPr>
              <w:pStyle w:val="20"/>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52830E1D">
            <w:pPr>
              <w:pStyle w:val="20"/>
              <w:widowControl w:val="0"/>
              <w:jc w:val="left"/>
              <w:rPr>
                <w:rFonts w:ascii="宋体" w:hAnsi="宋体"/>
                <w:bCs/>
              </w:rPr>
            </w:pPr>
            <w:r>
              <w:rPr>
                <w:rFonts w:hint="eastAsia" w:ascii="宋体" w:hAnsi="宋体"/>
              </w:rPr>
              <w:t>通过学习本单元</w:t>
            </w:r>
            <w:r>
              <w:rPr>
                <w:rFonts w:hint="eastAsia" w:ascii="宋体" w:hAnsi="宋体"/>
                <w:bCs/>
                <w:color w:val="auto"/>
              </w:rPr>
              <w:t>,</w:t>
            </w:r>
            <w:r>
              <w:rPr>
                <w:rFonts w:hint="eastAsia" w:ascii="宋体" w:hAnsi="宋体"/>
              </w:rPr>
              <w:t xml:space="preserve"> 充分认识到药理学知识的重要性，从而能进行主动、积极的学习，增强尊重科学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1ED84E8F">
            <w:pPr>
              <w:snapToGrid w:val="0"/>
              <w:spacing w:line="288" w:lineRule="auto"/>
              <w:rPr>
                <w:rFonts w:hint="eastAsia"/>
                <w:bCs/>
                <w:sz w:val="21"/>
                <w:szCs w:val="21"/>
              </w:rPr>
            </w:pPr>
            <w:r>
              <w:rPr>
                <w:rFonts w:hint="eastAsia"/>
                <w:bCs/>
                <w:sz w:val="21"/>
                <w:szCs w:val="21"/>
              </w:rPr>
              <w:t>4</w:t>
            </w:r>
            <w:r>
              <w:rPr>
                <w:bCs/>
                <w:sz w:val="21"/>
                <w:szCs w:val="21"/>
              </w:rPr>
              <w:t>.</w:t>
            </w:r>
            <w:r>
              <w:rPr>
                <w:rFonts w:hint="eastAsia"/>
                <w:bCs/>
                <w:sz w:val="21"/>
                <w:szCs w:val="21"/>
              </w:rPr>
              <w:t>教学难点：</w:t>
            </w:r>
          </w:p>
          <w:p w14:paraId="329CCA25">
            <w:pPr>
              <w:snapToGrid w:val="0"/>
              <w:spacing w:line="288" w:lineRule="auto"/>
              <w:rPr>
                <w:rFonts w:hint="eastAsia" w:cs="仿宋"/>
                <w:sz w:val="21"/>
                <w:szCs w:val="21"/>
              </w:rPr>
            </w:pPr>
            <w:r>
              <w:rPr>
                <w:rFonts w:hint="eastAsia"/>
                <w:bCs/>
                <w:sz w:val="21"/>
                <w:szCs w:val="21"/>
              </w:rPr>
              <w:t>①</w:t>
            </w:r>
            <w:r>
              <w:rPr>
                <w:rFonts w:hint="eastAsia" w:cs="仿宋"/>
                <w:sz w:val="21"/>
                <w:szCs w:val="21"/>
              </w:rPr>
              <w:t>传出神经系统药物分类。</w:t>
            </w:r>
          </w:p>
          <w:p w14:paraId="481CD9ED">
            <w:pPr>
              <w:snapToGrid w:val="0"/>
              <w:spacing w:line="288" w:lineRule="auto"/>
              <w:rPr>
                <w:rFonts w:hint="eastAsia" w:cs="仿宋"/>
                <w:sz w:val="21"/>
                <w:szCs w:val="21"/>
              </w:rPr>
            </w:pPr>
            <w:r>
              <w:rPr>
                <w:rFonts w:hint="eastAsia"/>
                <w:bCs/>
                <w:sz w:val="21"/>
                <w:szCs w:val="21"/>
              </w:rPr>
              <w:t>②</w:t>
            </w:r>
            <w:r>
              <w:rPr>
                <w:rFonts w:hint="eastAsia" w:cs="仿宋"/>
                <w:sz w:val="21"/>
                <w:szCs w:val="21"/>
              </w:rPr>
              <w:t>传出神经系统按递质分类。</w:t>
            </w:r>
          </w:p>
          <w:p w14:paraId="46826D82">
            <w:pPr>
              <w:snapToGrid w:val="0"/>
              <w:spacing w:line="288" w:lineRule="auto"/>
              <w:rPr>
                <w:rFonts w:hint="eastAsia" w:cs="仿宋"/>
                <w:sz w:val="21"/>
                <w:szCs w:val="21"/>
              </w:rPr>
            </w:pPr>
            <w:r>
              <w:rPr>
                <w:rFonts w:hint="eastAsia"/>
                <w:bCs/>
                <w:sz w:val="21"/>
                <w:szCs w:val="21"/>
              </w:rPr>
              <w:t>③</w:t>
            </w:r>
            <w:r>
              <w:rPr>
                <w:rFonts w:hint="eastAsia" w:cs="仿宋"/>
                <w:sz w:val="21"/>
                <w:szCs w:val="21"/>
              </w:rPr>
              <w:t>毛果芸香碱的药理作用、临床应用及用药注意事项。</w:t>
            </w:r>
          </w:p>
          <w:p w14:paraId="6F464C59">
            <w:pPr>
              <w:snapToGrid w:val="0"/>
              <w:spacing w:line="288" w:lineRule="auto"/>
              <w:rPr>
                <w:rFonts w:hint="eastAsia"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新斯的明的药理作用、临床应用及禁忌证。</w:t>
            </w:r>
          </w:p>
          <w:p w14:paraId="2D6A8544">
            <w:pPr>
              <w:snapToGrid w:val="0"/>
              <w:spacing w:line="288" w:lineRule="auto"/>
              <w:rPr>
                <w:rFonts w:hint="eastAsia" w:cs="仿宋"/>
                <w:sz w:val="21"/>
                <w:szCs w:val="21"/>
              </w:rPr>
            </w:pPr>
            <w:r>
              <w:rPr>
                <w:rFonts w:cs="仿宋"/>
                <w:sz w:val="21"/>
                <w:szCs w:val="21"/>
              </w:rPr>
              <w:fldChar w:fldCharType="begin"/>
            </w:r>
            <w:r>
              <w:rPr>
                <w:rFonts w:cs="仿宋"/>
                <w:sz w:val="21"/>
                <w:szCs w:val="21"/>
              </w:rPr>
              <w:instrText xml:space="preserve"> </w:instrText>
            </w:r>
            <w:r>
              <w:rPr>
                <w:rFonts w:hint="eastAsia" w:cs="仿宋"/>
                <w:sz w:val="21"/>
                <w:szCs w:val="21"/>
              </w:rPr>
              <w:instrText xml:space="preserve">= 5 \* GB3</w:instrText>
            </w:r>
            <w:r>
              <w:rPr>
                <w:rFonts w:cs="仿宋"/>
                <w:sz w:val="21"/>
                <w:szCs w:val="21"/>
              </w:rPr>
              <w:instrText xml:space="preserve"> </w:instrText>
            </w:r>
            <w:r>
              <w:rPr>
                <w:rFonts w:cs="仿宋"/>
                <w:sz w:val="21"/>
                <w:szCs w:val="21"/>
              </w:rPr>
              <w:fldChar w:fldCharType="separate"/>
            </w:r>
            <w:r>
              <w:rPr>
                <w:rFonts w:hint="eastAsia" w:cs="仿宋"/>
                <w:sz w:val="21"/>
                <w:szCs w:val="21"/>
              </w:rPr>
              <w:t>⑤</w:t>
            </w:r>
            <w:r>
              <w:rPr>
                <w:rFonts w:cs="仿宋"/>
                <w:sz w:val="21"/>
                <w:szCs w:val="21"/>
              </w:rPr>
              <w:fldChar w:fldCharType="end"/>
            </w:r>
            <w:r>
              <w:rPr>
                <w:rFonts w:hint="eastAsia" w:cs="仿宋"/>
                <w:sz w:val="21"/>
                <w:szCs w:val="21"/>
              </w:rPr>
              <w:t>阿托品的药理作用、临床应用、不良反应及禁忌证。</w:t>
            </w:r>
          </w:p>
          <w:p w14:paraId="402B49FB">
            <w:pPr>
              <w:snapToGrid w:val="0"/>
              <w:spacing w:line="288" w:lineRule="auto"/>
              <w:rPr>
                <w:sz w:val="21"/>
                <w:szCs w:val="21"/>
              </w:rPr>
            </w:pPr>
            <w:r>
              <w:rPr>
                <w:rFonts w:cs="仿宋"/>
                <w:sz w:val="21"/>
                <w:szCs w:val="21"/>
              </w:rPr>
              <w:fldChar w:fldCharType="begin"/>
            </w:r>
            <w:r>
              <w:rPr>
                <w:rFonts w:cs="仿宋"/>
                <w:sz w:val="21"/>
                <w:szCs w:val="21"/>
              </w:rPr>
              <w:instrText xml:space="preserve"> </w:instrText>
            </w:r>
            <w:r>
              <w:rPr>
                <w:rFonts w:hint="eastAsia" w:cs="仿宋"/>
                <w:sz w:val="21"/>
                <w:szCs w:val="21"/>
              </w:rPr>
              <w:instrText xml:space="preserve">= 6 \* GB3</w:instrText>
            </w:r>
            <w:r>
              <w:rPr>
                <w:rFonts w:cs="仿宋"/>
                <w:sz w:val="21"/>
                <w:szCs w:val="21"/>
              </w:rPr>
              <w:instrText xml:space="preserve"> </w:instrText>
            </w:r>
            <w:r>
              <w:rPr>
                <w:rFonts w:cs="仿宋"/>
                <w:sz w:val="21"/>
                <w:szCs w:val="21"/>
              </w:rPr>
              <w:fldChar w:fldCharType="separate"/>
            </w:r>
            <w:r>
              <w:rPr>
                <w:rFonts w:hint="eastAsia" w:cs="仿宋"/>
                <w:sz w:val="21"/>
                <w:szCs w:val="21"/>
              </w:rPr>
              <w:t>⑥</w:t>
            </w:r>
            <w:r>
              <w:rPr>
                <w:rFonts w:cs="仿宋"/>
                <w:sz w:val="21"/>
                <w:szCs w:val="21"/>
              </w:rPr>
              <w:fldChar w:fldCharType="end"/>
            </w:r>
            <w:r>
              <w:rPr>
                <w:rFonts w:hint="eastAsia" w:cs="仿宋"/>
                <w:sz w:val="21"/>
                <w:szCs w:val="21"/>
              </w:rPr>
              <w:t>东莨菪碱、山莨菪碱的作用特点及临床应用。</w:t>
            </w:r>
          </w:p>
        </w:tc>
      </w:tr>
      <w:tr w14:paraId="48C46B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17305CC">
            <w:pPr>
              <w:pStyle w:val="20"/>
              <w:widowControl w:val="0"/>
              <w:jc w:val="left"/>
              <w:rPr>
                <w:rFonts w:hint="eastAsia" w:ascii="宋体" w:hAnsi="宋体" w:cs="仿宋"/>
              </w:rPr>
            </w:pPr>
            <w:r>
              <w:rPr>
                <w:rFonts w:hint="eastAsia" w:ascii="宋体" w:hAnsi="宋体"/>
                <w:bCs/>
              </w:rPr>
              <w:t xml:space="preserve">第四单元 </w:t>
            </w:r>
            <w:r>
              <w:rPr>
                <w:rFonts w:hint="eastAsia" w:ascii="宋体" w:hAnsi="宋体" w:cs="仿宋"/>
              </w:rPr>
              <w:t>拟肾上腺素药、抗肾上腺素药、麻醉药</w:t>
            </w:r>
          </w:p>
          <w:p w14:paraId="4F621324">
            <w:pPr>
              <w:pStyle w:val="20"/>
              <w:widowControl w:val="0"/>
              <w:jc w:val="left"/>
              <w:rPr>
                <w:rFonts w:ascii="宋体" w:hAnsi="宋体"/>
              </w:rPr>
            </w:pPr>
            <w:r>
              <w:rPr>
                <w:rFonts w:hint="eastAsia" w:ascii="宋体" w:hAnsi="宋体"/>
                <w:bCs/>
              </w:rPr>
              <w:t>1</w:t>
            </w:r>
            <w:r>
              <w:rPr>
                <w:rFonts w:ascii="宋体" w:hAnsi="宋体"/>
                <w:bCs/>
              </w:rPr>
              <w:t>.</w:t>
            </w:r>
            <w:r>
              <w:rPr>
                <w:rFonts w:hint="eastAsia" w:ascii="宋体" w:hAnsi="宋体"/>
                <w:bCs/>
              </w:rPr>
              <w:t>核心知识点：</w:t>
            </w:r>
          </w:p>
          <w:p w14:paraId="5308A672">
            <w:pPr>
              <w:snapToGrid w:val="0"/>
              <w:spacing w:line="288" w:lineRule="auto"/>
              <w:rPr>
                <w:rFonts w:hint="eastAsia" w:cs="仿宋"/>
                <w:sz w:val="21"/>
                <w:szCs w:val="21"/>
              </w:rPr>
            </w:pPr>
            <w:r>
              <w:rPr>
                <w:rFonts w:hint="eastAsia"/>
                <w:bCs/>
                <w:sz w:val="21"/>
                <w:szCs w:val="21"/>
              </w:rPr>
              <w:t>①</w:t>
            </w:r>
            <w:r>
              <w:rPr>
                <w:rFonts w:hint="eastAsia" w:cs="仿宋"/>
                <w:sz w:val="21"/>
                <w:szCs w:val="21"/>
              </w:rPr>
              <w:t>知道肾上腺素、去甲肾上腺素、异丙肾上腺素的药理作用、临床应用及主要不良反应。β受体阻断药的药理作用、临床应用、不良反应及禁忌证。局部麻醉药的概念及药理作用、常用局部麻醉药的作用特点、临床应用和不良反应。</w:t>
            </w:r>
          </w:p>
          <w:p w14:paraId="08C9A3C3">
            <w:pPr>
              <w:snapToGrid w:val="0"/>
              <w:spacing w:line="288" w:lineRule="auto"/>
              <w:rPr>
                <w:rFonts w:hint="eastAsia" w:cs="仿宋"/>
                <w:sz w:val="21"/>
                <w:szCs w:val="21"/>
              </w:rPr>
            </w:pPr>
            <w:r>
              <w:rPr>
                <w:rFonts w:hint="eastAsia"/>
                <w:bCs/>
                <w:sz w:val="21"/>
                <w:szCs w:val="21"/>
              </w:rPr>
              <w:t>②</w:t>
            </w:r>
            <w:r>
              <w:rPr>
                <w:rFonts w:hint="eastAsia" w:cs="仿宋"/>
                <w:sz w:val="21"/>
                <w:szCs w:val="21"/>
              </w:rPr>
              <w:t>理解多巴胺、麻黄碱、间羟胺的作用特点及临床应用。α受体阻断药酚妥拉明的药理作用、临床应用、不良反应。理解局麻药的给药方法及用药注意事项。</w:t>
            </w:r>
          </w:p>
          <w:p w14:paraId="621AFE7A">
            <w:pPr>
              <w:snapToGrid w:val="0"/>
              <w:spacing w:line="288" w:lineRule="auto"/>
              <w:rPr>
                <w:rFonts w:hint="eastAsia"/>
                <w:sz w:val="21"/>
                <w:szCs w:val="21"/>
              </w:rPr>
            </w:pPr>
            <w:r>
              <w:rPr>
                <w:rFonts w:hint="eastAsia"/>
                <w:bCs/>
                <w:sz w:val="21"/>
                <w:szCs w:val="21"/>
              </w:rPr>
              <w:t>③</w:t>
            </w:r>
            <w:r>
              <w:rPr>
                <w:rFonts w:hint="eastAsia" w:cs="仿宋"/>
                <w:sz w:val="21"/>
                <w:szCs w:val="21"/>
              </w:rPr>
              <w:t>了解其他拟肾上腺素药的作用特点。其他抗肾上腺素药的作用特点及临床应用。常用的吸入性麻醉药和静脉麻醉药的临床应用。</w:t>
            </w:r>
          </w:p>
          <w:p w14:paraId="282EFF12">
            <w:pPr>
              <w:pStyle w:val="20"/>
              <w:widowControl w:val="0"/>
              <w:jc w:val="left"/>
              <w:rPr>
                <w:rFonts w:ascii="宋体" w:hAnsi="宋体"/>
                <w:bCs/>
              </w:rPr>
            </w:pPr>
            <w:r>
              <w:rPr>
                <w:rFonts w:hint="eastAsia" w:ascii="宋体" w:hAnsi="宋体"/>
                <w:bCs/>
              </w:rPr>
              <w:t>2</w:t>
            </w:r>
            <w:r>
              <w:rPr>
                <w:rFonts w:ascii="宋体" w:hAnsi="宋体"/>
                <w:bCs/>
              </w:rPr>
              <w:t>.</w:t>
            </w:r>
            <w:r>
              <w:rPr>
                <w:rFonts w:hint="eastAsia" w:ascii="宋体" w:hAnsi="宋体"/>
                <w:bCs/>
              </w:rPr>
              <w:t>能力要求：</w:t>
            </w:r>
          </w:p>
          <w:p w14:paraId="44D55138">
            <w:pPr>
              <w:snapToGrid w:val="0"/>
              <w:spacing w:line="288" w:lineRule="auto"/>
              <w:rPr>
                <w:rFonts w:hint="eastAsia" w:cs="仿宋"/>
                <w:sz w:val="21"/>
                <w:szCs w:val="21"/>
              </w:rPr>
            </w:pPr>
            <w:r>
              <w:rPr>
                <w:rFonts w:hint="eastAsia"/>
                <w:bCs/>
                <w:sz w:val="21"/>
                <w:szCs w:val="21"/>
              </w:rPr>
              <w:t>①</w:t>
            </w:r>
            <w:r>
              <w:rPr>
                <w:rFonts w:hint="eastAsia" w:cs="仿宋"/>
                <w:sz w:val="21"/>
                <w:szCs w:val="21"/>
              </w:rPr>
              <w:t>学会观察拟肾上腺素药的疗效及不良反应。抗肾上腺素药物疗效及防止不良反应。根据适应证合理选择局麻药物及防止不良反应。</w:t>
            </w:r>
          </w:p>
          <w:p w14:paraId="6AD6BF33">
            <w:pPr>
              <w:snapToGrid w:val="0"/>
              <w:spacing w:line="288" w:lineRule="auto"/>
              <w:rPr>
                <w:rFonts w:hint="eastAsia" w:cs="仿宋"/>
                <w:sz w:val="21"/>
                <w:szCs w:val="21"/>
              </w:rPr>
            </w:pPr>
            <w:r>
              <w:rPr>
                <w:rFonts w:hint="eastAsia"/>
                <w:bCs/>
                <w:sz w:val="21"/>
                <w:szCs w:val="21"/>
              </w:rPr>
              <w:t>②</w:t>
            </w:r>
            <w:r>
              <w:rPr>
                <w:rFonts w:hint="eastAsia" w:cs="仿宋"/>
                <w:sz w:val="21"/>
                <w:szCs w:val="21"/>
              </w:rPr>
              <w:t>具有分析应用拟肾上腺素药及处置药物不良反应的能力。指导合理应用抗肾上腺素药的能力。</w:t>
            </w:r>
          </w:p>
          <w:p w14:paraId="5079BA41">
            <w:pPr>
              <w:snapToGrid w:val="0"/>
              <w:spacing w:line="288" w:lineRule="auto"/>
              <w:rPr>
                <w:color w:val="000000"/>
                <w:sz w:val="21"/>
                <w:szCs w:val="21"/>
              </w:rPr>
            </w:pPr>
            <w:r>
              <w:rPr>
                <w:rFonts w:hint="eastAsia"/>
                <w:bCs/>
                <w:sz w:val="21"/>
                <w:szCs w:val="21"/>
              </w:rPr>
              <w:t>③</w:t>
            </w:r>
            <w:r>
              <w:rPr>
                <w:rFonts w:hint="eastAsia" w:cs="仿宋"/>
                <w:sz w:val="21"/>
                <w:szCs w:val="21"/>
              </w:rPr>
              <w:t xml:space="preserve">具有与患者及家属就麻醉药应用、不良反应与注意事项进行有效沟通的能力 。  </w:t>
            </w:r>
          </w:p>
          <w:p w14:paraId="07AD3F16">
            <w:pPr>
              <w:pStyle w:val="20"/>
              <w:widowControl w:val="0"/>
              <w:jc w:val="left"/>
              <w:rPr>
                <w:rFonts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1B6C0045">
            <w:pPr>
              <w:pStyle w:val="20"/>
              <w:widowControl w:val="0"/>
              <w:jc w:val="left"/>
              <w:rPr>
                <w:rFonts w:ascii="宋体" w:hAnsi="宋体"/>
              </w:rPr>
            </w:pPr>
            <w:r>
              <w:rPr>
                <w:rFonts w:hint="eastAsia" w:ascii="宋体" w:hAnsi="宋体"/>
              </w:rPr>
              <w:t>通过本章学习</w:t>
            </w:r>
            <w:r>
              <w:rPr>
                <w:rFonts w:hint="eastAsia" w:ascii="宋体" w:hAnsi="宋体"/>
                <w:bCs/>
                <w:color w:val="auto"/>
              </w:rPr>
              <w:t>,</w:t>
            </w:r>
            <w:r>
              <w:rPr>
                <w:rFonts w:hint="eastAsia" w:ascii="宋体" w:hAnsi="宋体"/>
              </w:rPr>
              <w:t>充分认识到药理学知识的重要性，从而能进行主动、积极的学习，增强尊重科学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35A49F01">
            <w:pPr>
              <w:pStyle w:val="20"/>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28EAB72">
            <w:pPr>
              <w:snapToGrid w:val="0"/>
              <w:spacing w:line="288" w:lineRule="auto"/>
              <w:rPr>
                <w:rFonts w:hint="eastAsia" w:cs="仿宋"/>
                <w:sz w:val="21"/>
                <w:szCs w:val="21"/>
              </w:rPr>
            </w:pPr>
            <w:r>
              <w:rPr>
                <w:rFonts w:hint="eastAsia"/>
                <w:bCs/>
                <w:sz w:val="21"/>
                <w:szCs w:val="21"/>
              </w:rPr>
              <w:t>①</w:t>
            </w:r>
            <w:r>
              <w:rPr>
                <w:rFonts w:hint="eastAsia" w:cs="仿宋"/>
                <w:sz w:val="21"/>
                <w:szCs w:val="21"/>
              </w:rPr>
              <w:t>肾上腺素、去甲肾上腺素、异丙肾上腺素及多巴胺主要激动的受体及药理作用。</w:t>
            </w:r>
          </w:p>
          <w:p w14:paraId="0D94D097">
            <w:pPr>
              <w:snapToGrid w:val="0"/>
              <w:spacing w:line="288" w:lineRule="auto"/>
              <w:rPr>
                <w:rFonts w:hint="eastAsia" w:cs="仿宋"/>
                <w:sz w:val="21"/>
                <w:szCs w:val="21"/>
              </w:rPr>
            </w:pPr>
            <w:r>
              <w:rPr>
                <w:rFonts w:hint="eastAsia"/>
                <w:bCs/>
                <w:sz w:val="21"/>
                <w:szCs w:val="21"/>
              </w:rPr>
              <w:t>②</w:t>
            </w:r>
            <w:r>
              <w:rPr>
                <w:rFonts w:hint="eastAsia" w:cs="仿宋"/>
                <w:sz w:val="21"/>
                <w:szCs w:val="21"/>
              </w:rPr>
              <w:t>β受体阻断代表药的药理作用、临床应用、不良反应及禁忌证。</w:t>
            </w:r>
          </w:p>
          <w:p w14:paraId="110EDFCC">
            <w:pPr>
              <w:snapToGrid w:val="0"/>
              <w:spacing w:line="288" w:lineRule="auto"/>
              <w:rPr>
                <w:rFonts w:hint="eastAsia" w:cs="仿宋"/>
                <w:sz w:val="21"/>
                <w:szCs w:val="21"/>
              </w:rPr>
            </w:pPr>
            <w:r>
              <w:rPr>
                <w:rFonts w:hint="eastAsia"/>
                <w:bCs/>
                <w:sz w:val="21"/>
                <w:szCs w:val="21"/>
              </w:rPr>
              <w:t>③</w:t>
            </w:r>
            <w:r>
              <w:rPr>
                <w:rFonts w:hint="eastAsia" w:cs="仿宋"/>
                <w:sz w:val="21"/>
                <w:szCs w:val="21"/>
              </w:rPr>
              <w:t>α受体阻断药能翻转升压效应。</w:t>
            </w:r>
          </w:p>
          <w:p w14:paraId="17D2E6FF">
            <w:pPr>
              <w:snapToGrid w:val="0"/>
              <w:spacing w:line="288" w:lineRule="auto"/>
              <w:rPr>
                <w:rFonts w:hint="eastAsia"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局部麻醉药的概念。</w:t>
            </w:r>
          </w:p>
          <w:p w14:paraId="66F1F8F8">
            <w:pPr>
              <w:widowControl w:val="0"/>
              <w:snapToGrid w:val="0"/>
              <w:spacing w:line="288" w:lineRule="auto"/>
              <w:jc w:val="both"/>
              <w:rPr>
                <w:color w:val="000000"/>
                <w:sz w:val="21"/>
                <w:szCs w:val="21"/>
              </w:rPr>
            </w:pPr>
            <w:r>
              <w:rPr>
                <w:rFonts w:cs="仿宋"/>
                <w:sz w:val="21"/>
                <w:szCs w:val="21"/>
              </w:rPr>
              <w:fldChar w:fldCharType="begin"/>
            </w:r>
            <w:r>
              <w:rPr>
                <w:rFonts w:cs="仿宋"/>
                <w:sz w:val="21"/>
                <w:szCs w:val="21"/>
              </w:rPr>
              <w:instrText xml:space="preserve"> </w:instrText>
            </w:r>
            <w:r>
              <w:rPr>
                <w:rFonts w:hint="eastAsia" w:cs="仿宋"/>
                <w:sz w:val="21"/>
                <w:szCs w:val="21"/>
              </w:rPr>
              <w:instrText xml:space="preserve">= 5 \* GB3</w:instrText>
            </w:r>
            <w:r>
              <w:rPr>
                <w:rFonts w:cs="仿宋"/>
                <w:sz w:val="21"/>
                <w:szCs w:val="21"/>
              </w:rPr>
              <w:instrText xml:space="preserve"> </w:instrText>
            </w:r>
            <w:r>
              <w:rPr>
                <w:rFonts w:cs="仿宋"/>
                <w:sz w:val="21"/>
                <w:szCs w:val="21"/>
              </w:rPr>
              <w:fldChar w:fldCharType="separate"/>
            </w:r>
            <w:r>
              <w:rPr>
                <w:rFonts w:hint="eastAsia" w:cs="仿宋"/>
                <w:sz w:val="21"/>
                <w:szCs w:val="21"/>
              </w:rPr>
              <w:t>⑤</w:t>
            </w:r>
            <w:r>
              <w:rPr>
                <w:rFonts w:cs="仿宋"/>
                <w:sz w:val="21"/>
                <w:szCs w:val="21"/>
              </w:rPr>
              <w:fldChar w:fldCharType="end"/>
            </w:r>
            <w:r>
              <w:rPr>
                <w:rFonts w:hint="eastAsia" w:cs="仿宋"/>
                <w:sz w:val="21"/>
                <w:szCs w:val="21"/>
              </w:rPr>
              <w:t>常用局麻药物的作用异同点。</w:t>
            </w:r>
          </w:p>
        </w:tc>
      </w:tr>
      <w:tr w14:paraId="01F82F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6A8A27A2">
            <w:pPr>
              <w:pStyle w:val="20"/>
              <w:widowControl w:val="0"/>
              <w:jc w:val="left"/>
              <w:rPr>
                <w:rFonts w:hint="eastAsia" w:ascii="宋体" w:hAnsi="宋体" w:cs="仿宋"/>
              </w:rPr>
            </w:pPr>
            <w:r>
              <w:rPr>
                <w:rFonts w:hint="eastAsia" w:ascii="宋体" w:hAnsi="宋体"/>
                <w:bCs/>
              </w:rPr>
              <w:t xml:space="preserve">第五单元 </w:t>
            </w:r>
            <w:r>
              <w:rPr>
                <w:rFonts w:hint="eastAsia" w:ascii="宋体" w:hAnsi="宋体" w:cs="仿宋"/>
              </w:rPr>
              <w:t>镇静催眠药和抗惊厥药抗癫痫药，抗帕金森病药及抗阿尔茨海默病药</w:t>
            </w:r>
          </w:p>
          <w:p w14:paraId="2EC44D66">
            <w:pPr>
              <w:pStyle w:val="20"/>
              <w:widowControl w:val="0"/>
              <w:jc w:val="left"/>
              <w:rPr>
                <w:rFonts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29AA0B84">
            <w:pPr>
              <w:snapToGrid w:val="0"/>
              <w:spacing w:line="288" w:lineRule="auto"/>
              <w:rPr>
                <w:rFonts w:hint="eastAsia" w:cs="仿宋"/>
                <w:sz w:val="21"/>
                <w:szCs w:val="21"/>
              </w:rPr>
            </w:pPr>
            <w:r>
              <w:rPr>
                <w:rFonts w:hint="eastAsia"/>
                <w:bCs/>
                <w:sz w:val="21"/>
                <w:szCs w:val="21"/>
              </w:rPr>
              <w:t>①</w:t>
            </w:r>
            <w:r>
              <w:rPr>
                <w:rFonts w:hint="eastAsia" w:cs="仿宋"/>
                <w:sz w:val="21"/>
                <w:szCs w:val="21"/>
              </w:rPr>
              <w:t>知道苯二氮䓬类药物的药理作用、临床应用及不良反应。苯妥英钠的药理作用、临床应用及不良反应，各型癫痫的合理选药。抗帕金森病药的分类及常用药名称，左旋多巴的药理作用、临床应用及不良反应。</w:t>
            </w:r>
          </w:p>
          <w:p w14:paraId="1E46B4D2">
            <w:pPr>
              <w:snapToGrid w:val="0"/>
              <w:spacing w:line="288" w:lineRule="auto"/>
              <w:rPr>
                <w:rFonts w:hint="eastAsia" w:cs="仿宋"/>
                <w:sz w:val="21"/>
                <w:szCs w:val="21"/>
              </w:rPr>
            </w:pPr>
            <w:r>
              <w:rPr>
                <w:rFonts w:hint="eastAsia"/>
                <w:bCs/>
                <w:sz w:val="21"/>
                <w:szCs w:val="21"/>
              </w:rPr>
              <w:t>②</w:t>
            </w:r>
            <w:r>
              <w:rPr>
                <w:rFonts w:hint="eastAsia" w:cs="仿宋"/>
                <w:sz w:val="21"/>
                <w:szCs w:val="21"/>
              </w:rPr>
              <w:t>理解镇静催眠药的分类及代表药物，巴比妥类药物的作用特点、临床应用、主要不良反应及注意事项。苯巴比妥、丙戊酸钠、卡马西平、乙琥胺等药的作用特点及临床应用。抗阿尔茨海默病药的分类、常用药物的作用特点。</w:t>
            </w:r>
          </w:p>
          <w:p w14:paraId="19D8959E">
            <w:pPr>
              <w:snapToGrid w:val="0"/>
              <w:spacing w:line="288" w:lineRule="auto"/>
              <w:rPr>
                <w:rFonts w:hint="eastAsia"/>
                <w:sz w:val="21"/>
                <w:szCs w:val="21"/>
              </w:rPr>
            </w:pPr>
            <w:r>
              <w:rPr>
                <w:rFonts w:hint="eastAsia"/>
                <w:bCs/>
                <w:sz w:val="21"/>
                <w:szCs w:val="21"/>
              </w:rPr>
              <w:t>③</w:t>
            </w:r>
            <w:r>
              <w:rPr>
                <w:rFonts w:hint="eastAsia" w:cs="仿宋"/>
                <w:sz w:val="21"/>
                <w:szCs w:val="21"/>
              </w:rPr>
              <w:t>了解水合氯醛的作用特点及临床应用；硫酸镁的药理作用及临床应用。癫痫的分型及抗癫痫药的用药原则。其他抗帕金森病药的作用特点，抗帕金林病药的用药原则。</w:t>
            </w:r>
            <w:r>
              <w:rPr>
                <w:rFonts w:hint="eastAsia"/>
                <w:sz w:val="21"/>
                <w:szCs w:val="21"/>
              </w:rPr>
              <w:t xml:space="preserve">  </w:t>
            </w:r>
          </w:p>
          <w:p w14:paraId="5A3B4FC2">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A856A2E">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学会观察本类药物的疗效及不良反应。</w:t>
            </w:r>
          </w:p>
          <w:p w14:paraId="716B0A6C">
            <w:pPr>
              <w:snapToGrid w:val="0"/>
              <w:spacing w:line="288" w:lineRule="auto"/>
              <w:rPr>
                <w:rFonts w:cs="仿宋"/>
                <w:sz w:val="21"/>
                <w:szCs w:val="21"/>
              </w:rPr>
            </w:pPr>
            <w:r>
              <w:rPr>
                <w:rFonts w:hint="eastAsia"/>
                <w:bCs/>
                <w:sz w:val="21"/>
                <w:szCs w:val="21"/>
              </w:rPr>
              <w:t>②</w:t>
            </w:r>
            <w:r>
              <w:rPr>
                <w:rFonts w:hint="eastAsia" w:cs="仿宋"/>
                <w:sz w:val="21"/>
                <w:szCs w:val="21"/>
              </w:rPr>
              <w:t>具有指导患者合理用药的能力，并严格遵守精神药品管理相关法规和制度。</w:t>
            </w:r>
          </w:p>
          <w:p w14:paraId="32B104C4">
            <w:pPr>
              <w:snapToGrid w:val="0"/>
              <w:spacing w:line="288" w:lineRule="auto"/>
              <w:rPr>
                <w:rFonts w:hint="eastAsia" w:cs="仿宋"/>
                <w:sz w:val="21"/>
                <w:szCs w:val="21"/>
              </w:rPr>
            </w:pPr>
            <w:r>
              <w:rPr>
                <w:rFonts w:hint="eastAsia"/>
                <w:bCs/>
                <w:sz w:val="21"/>
                <w:szCs w:val="21"/>
              </w:rPr>
              <w:t>③</w:t>
            </w:r>
            <w:r>
              <w:rPr>
                <w:rFonts w:hint="eastAsia" w:cs="仿宋"/>
                <w:sz w:val="21"/>
                <w:szCs w:val="21"/>
              </w:rPr>
              <w:t>具有根据癫痫分型分析合理选用抗癫痫药物的能力。</w:t>
            </w:r>
          </w:p>
          <w:p w14:paraId="79C16E22">
            <w:pPr>
              <w:snapToGrid w:val="0"/>
              <w:spacing w:line="288" w:lineRule="auto"/>
              <w:rPr>
                <w:bCs/>
                <w:color w:val="000000"/>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具有指导患者合理用药的能力。</w:t>
            </w:r>
          </w:p>
          <w:p w14:paraId="280B7324">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64C0F13E">
            <w:pPr>
              <w:pStyle w:val="20"/>
              <w:widowControl w:val="0"/>
              <w:jc w:val="left"/>
              <w:rPr>
                <w:rFonts w:ascii="宋体" w:hAnsi="宋体"/>
              </w:rPr>
            </w:pPr>
            <w:r>
              <w:rPr>
                <w:rFonts w:hint="eastAsia" w:ascii="宋体" w:hAnsi="宋体"/>
              </w:rPr>
              <w:t>通过本章学习</w:t>
            </w:r>
            <w:r>
              <w:rPr>
                <w:rFonts w:hint="eastAsia" w:ascii="宋体" w:hAnsi="宋体"/>
                <w:bCs/>
                <w:color w:val="auto"/>
              </w:rPr>
              <w:t>,</w:t>
            </w:r>
            <w:r>
              <w:rPr>
                <w:rFonts w:hint="eastAsia" w:ascii="宋体" w:hAnsi="宋体"/>
              </w:rPr>
              <w:t>充分认识到药理学知识的重要性，从而能进行主动、积极的学习，增强尊重科学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7B6B8130">
            <w:pPr>
              <w:pStyle w:val="20"/>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34B61A58">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苯二氮䓬类的药理作用、临床应用及不良反应。</w:t>
            </w:r>
          </w:p>
          <w:p w14:paraId="531FE206">
            <w:pPr>
              <w:snapToGrid w:val="0"/>
              <w:spacing w:line="288" w:lineRule="auto"/>
              <w:rPr>
                <w:rFonts w:hint="eastAsia" w:cs="仿宋"/>
                <w:sz w:val="21"/>
                <w:szCs w:val="21"/>
              </w:rPr>
            </w:pPr>
            <w:r>
              <w:rPr>
                <w:rFonts w:hint="eastAsia"/>
                <w:bCs/>
                <w:sz w:val="21"/>
                <w:szCs w:val="21"/>
              </w:rPr>
              <w:t>②</w:t>
            </w:r>
            <w:r>
              <w:rPr>
                <w:rFonts w:hint="eastAsia" w:cs="仿宋"/>
                <w:sz w:val="21"/>
                <w:szCs w:val="21"/>
              </w:rPr>
              <w:t>镇静催眠药的分类及代表药物</w:t>
            </w:r>
          </w:p>
          <w:p w14:paraId="26D21F29">
            <w:pPr>
              <w:snapToGrid w:val="0"/>
              <w:spacing w:line="288" w:lineRule="auto"/>
              <w:rPr>
                <w:rFonts w:hint="eastAsia" w:cs="仿宋"/>
                <w:sz w:val="21"/>
                <w:szCs w:val="21"/>
              </w:rPr>
            </w:pPr>
            <w:r>
              <w:rPr>
                <w:rFonts w:hint="eastAsia"/>
                <w:bCs/>
                <w:sz w:val="21"/>
                <w:szCs w:val="21"/>
              </w:rPr>
              <w:t>③</w:t>
            </w:r>
            <w:r>
              <w:rPr>
                <w:rFonts w:hint="eastAsia" w:cs="仿宋"/>
                <w:sz w:val="21"/>
                <w:szCs w:val="21"/>
              </w:rPr>
              <w:t>根据癫痫发作类型合理选择药物</w:t>
            </w:r>
          </w:p>
          <w:p w14:paraId="0615AF5D">
            <w:pPr>
              <w:snapToGrid w:val="0"/>
              <w:spacing w:line="288" w:lineRule="auto"/>
              <w:rPr>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抗帕金森病药的分类及常用药名称，左旋多巴的药理作用、临床应用及不良反应。</w:t>
            </w:r>
          </w:p>
        </w:tc>
      </w:tr>
      <w:tr w14:paraId="47C95D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52FC11A0">
            <w:pPr>
              <w:snapToGrid w:val="0"/>
              <w:spacing w:line="288" w:lineRule="auto"/>
              <w:ind w:left="945" w:hanging="945" w:hangingChars="450"/>
              <w:rPr>
                <w:rFonts w:cs="仿宋"/>
                <w:sz w:val="21"/>
                <w:szCs w:val="21"/>
              </w:rPr>
            </w:pPr>
            <w:r>
              <w:rPr>
                <w:rFonts w:hint="eastAsia"/>
                <w:bCs/>
                <w:sz w:val="21"/>
                <w:szCs w:val="21"/>
              </w:rPr>
              <w:t xml:space="preserve">第六单元 </w:t>
            </w:r>
            <w:r>
              <w:rPr>
                <w:rFonts w:hint="eastAsia" w:cs="仿宋"/>
                <w:sz w:val="21"/>
                <w:szCs w:val="21"/>
              </w:rPr>
              <w:t>抗精神失常药镇痛药、解热镇痛抗炎药、枢兴奋药与促大脑功能恢复药</w:t>
            </w:r>
          </w:p>
          <w:p w14:paraId="08B9F0A5">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630D79D8">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知道氯丙嗪的药理作用、临床应用、不良反应及禁忌证。吗啡、哌替啶的药理作用、临床应用、不良反应及注意事项。解热镇痛抗炎药的药理作用及作用机制、主要不良反应； 阿司匹林的药理作用、临床应用和不良反应。解热镇痛抗炎药的药理作用及作用机制、主要不良反应； 阿司匹林的药理作用、临床应用和不良反应。</w:t>
            </w:r>
          </w:p>
          <w:p w14:paraId="67DE8265">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氯氮平、利培酮、碳酸锂、丙米嗪的作用特点及临床应用。可待因、芬太尼、美沙酮、喷他佐辛、纳洛酮的作用特点及临床应用。对乙酰氨基酚、吲哚美辛、布洛芬的作用特点及临床应用。咖啡因、尼可刹米、洛贝林的药理作用、临床应用及不良反应。</w:t>
            </w:r>
          </w:p>
          <w:p w14:paraId="21A2359F">
            <w:pPr>
              <w:snapToGrid w:val="0"/>
              <w:spacing w:line="288" w:lineRule="auto"/>
              <w:rPr>
                <w:sz w:val="21"/>
                <w:szCs w:val="21"/>
              </w:rPr>
            </w:pPr>
            <w:r>
              <w:rPr>
                <w:rFonts w:hint="eastAsia"/>
                <w:bCs/>
                <w:color w:val="000000"/>
                <w:sz w:val="21"/>
                <w:szCs w:val="21"/>
              </w:rPr>
              <w:t>③</w:t>
            </w:r>
            <w:r>
              <w:rPr>
                <w:rFonts w:hint="eastAsia" w:cs="仿宋"/>
                <w:sz w:val="21"/>
                <w:szCs w:val="21"/>
              </w:rPr>
              <w:t>了解其他抗精神失常药的作用特点、临床应用及主要不良反应。其他镇痛药的作用特点。了解解热镇痛抗炎药的分类及代表药物名称，其他解热镇痛抗炎药的作用特点和临床应用。其他中枢兴奋药作用和临床应用。</w:t>
            </w:r>
          </w:p>
          <w:p w14:paraId="5637D1A8">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3033FC6">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学会观察本类药物的疗效及不良反应。</w:t>
            </w:r>
          </w:p>
          <w:p w14:paraId="37C38162">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具有指导精神失常患者合理使用抗精神失常药、镇痛药的能力，并能充分认识滥用麻醉药品的危害性。</w:t>
            </w:r>
          </w:p>
          <w:p w14:paraId="263E10F8">
            <w:pPr>
              <w:snapToGrid w:val="0"/>
              <w:spacing w:line="288" w:lineRule="auto"/>
              <w:rPr>
                <w:rFonts w:hint="eastAsia" w:cs="仿宋"/>
                <w:sz w:val="21"/>
                <w:szCs w:val="21"/>
              </w:rPr>
            </w:pPr>
            <w:r>
              <w:rPr>
                <w:rFonts w:hint="eastAsia"/>
                <w:bCs/>
                <w:color w:val="000000"/>
                <w:sz w:val="21"/>
                <w:szCs w:val="21"/>
              </w:rPr>
              <w:t>③</w:t>
            </w:r>
            <w:r>
              <w:rPr>
                <w:rFonts w:hint="eastAsia" w:cs="仿宋"/>
                <w:sz w:val="21"/>
                <w:szCs w:val="21"/>
              </w:rPr>
              <w:t>分析本类药物常用配伍用药的合理性；指导患者合理用药。</w:t>
            </w:r>
          </w:p>
          <w:p w14:paraId="5BBA9331">
            <w:pPr>
              <w:snapToGrid w:val="0"/>
              <w:spacing w:line="288" w:lineRule="auto"/>
              <w:rPr>
                <w:rFonts w:hint="eastAsia" w:cs="仿宋"/>
                <w:sz w:val="21"/>
                <w:szCs w:val="21"/>
              </w:rPr>
            </w:pPr>
            <w:r>
              <w:rPr>
                <w:sz w:val="21"/>
                <w:szCs w:val="21"/>
              </w:rPr>
              <w:fldChar w:fldCharType="begin"/>
            </w:r>
            <w:r>
              <w:rPr>
                <w:sz w:val="21"/>
                <w:szCs w:val="21"/>
              </w:rPr>
              <w:instrText xml:space="preserve"> </w:instrText>
            </w:r>
            <w:r>
              <w:rPr>
                <w:rFonts w:hint="eastAsia"/>
                <w:sz w:val="21"/>
                <w:szCs w:val="21"/>
              </w:rPr>
              <w:instrText xml:space="preserve">= 4 \* GB3</w:instrText>
            </w:r>
            <w:r>
              <w:rPr>
                <w:sz w:val="21"/>
                <w:szCs w:val="21"/>
              </w:rPr>
              <w:instrText xml:space="preserve"> </w:instrText>
            </w:r>
            <w:r>
              <w:rPr>
                <w:sz w:val="21"/>
                <w:szCs w:val="21"/>
              </w:rPr>
              <w:fldChar w:fldCharType="separate"/>
            </w:r>
            <w:r>
              <w:rPr>
                <w:rFonts w:hint="eastAsia"/>
                <w:sz w:val="21"/>
                <w:szCs w:val="21"/>
              </w:rPr>
              <w:t>④</w:t>
            </w:r>
            <w:r>
              <w:rPr>
                <w:sz w:val="21"/>
                <w:szCs w:val="21"/>
              </w:rPr>
              <w:fldChar w:fldCharType="end"/>
            </w:r>
            <w:r>
              <w:rPr>
                <w:rFonts w:hint="eastAsia" w:cs="仿宋"/>
                <w:sz w:val="21"/>
                <w:szCs w:val="21"/>
              </w:rPr>
              <w:t xml:space="preserve">具有根据适应证合理选用解热镇痛抗炎药物及防治不良反应的能力。  </w:t>
            </w:r>
          </w:p>
          <w:p w14:paraId="79F4B58B">
            <w:pPr>
              <w:snapToGrid w:val="0"/>
              <w:spacing w:line="288" w:lineRule="auto"/>
              <w:rPr>
                <w:sz w:val="21"/>
                <w:szCs w:val="21"/>
              </w:rPr>
            </w:pPr>
            <w:r>
              <w:rPr>
                <w:sz w:val="21"/>
                <w:szCs w:val="21"/>
              </w:rPr>
              <w:fldChar w:fldCharType="begin"/>
            </w:r>
            <w:r>
              <w:rPr>
                <w:sz w:val="21"/>
                <w:szCs w:val="21"/>
              </w:rPr>
              <w:instrText xml:space="preserve"> </w:instrText>
            </w:r>
            <w:r>
              <w:rPr>
                <w:rFonts w:hint="eastAsia"/>
                <w:sz w:val="21"/>
                <w:szCs w:val="21"/>
              </w:rPr>
              <w:instrText xml:space="preserve">= 5 \* GB3</w:instrText>
            </w:r>
            <w:r>
              <w:rPr>
                <w:sz w:val="21"/>
                <w:szCs w:val="21"/>
              </w:rPr>
              <w:instrText xml:space="preserve"> </w:instrText>
            </w:r>
            <w:r>
              <w:rPr>
                <w:sz w:val="21"/>
                <w:szCs w:val="21"/>
              </w:rPr>
              <w:fldChar w:fldCharType="separate"/>
            </w:r>
            <w:r>
              <w:rPr>
                <w:rFonts w:hint="eastAsia"/>
                <w:sz w:val="21"/>
                <w:szCs w:val="21"/>
              </w:rPr>
              <w:t>⑤</w:t>
            </w:r>
            <w:r>
              <w:rPr>
                <w:sz w:val="21"/>
                <w:szCs w:val="21"/>
              </w:rPr>
              <w:fldChar w:fldCharType="end"/>
            </w:r>
            <w:r>
              <w:rPr>
                <w:rFonts w:hint="eastAsia" w:cs="仿宋"/>
                <w:sz w:val="21"/>
                <w:szCs w:val="21"/>
              </w:rPr>
              <w:t>具有指导患者合理选用中枢兴奋药及促大脑功能恢复药的能力。</w:t>
            </w:r>
          </w:p>
          <w:p w14:paraId="45ADD6D3">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CE0F7EC">
            <w:pPr>
              <w:pStyle w:val="20"/>
              <w:widowControl w:val="0"/>
              <w:jc w:val="left"/>
              <w:rPr>
                <w:rFonts w:ascii="宋体" w:hAnsi="宋体"/>
              </w:rPr>
            </w:pPr>
            <w:r>
              <w:rPr>
                <w:rFonts w:hint="eastAsia" w:ascii="宋体" w:hAnsi="宋体"/>
              </w:rPr>
              <w:t>通过本章学习</w:t>
            </w:r>
            <w:r>
              <w:rPr>
                <w:rFonts w:hint="eastAsia" w:ascii="宋体" w:hAnsi="宋体"/>
                <w:bCs/>
                <w:color w:val="auto"/>
              </w:rPr>
              <w:t>,</w:t>
            </w:r>
            <w:r>
              <w:rPr>
                <w:rFonts w:hint="eastAsia" w:ascii="宋体" w:hAnsi="宋体"/>
              </w:rPr>
              <w:t>充分认识到药理学知识的重要性，从而能进行主动、积极的学习，增强尊重科学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31FDB94C">
            <w:pPr>
              <w:pStyle w:val="20"/>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BC31321">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氯丙嗪的药理作用、临床应用、不良反应及禁忌证。</w:t>
            </w:r>
          </w:p>
          <w:p w14:paraId="19FBECE3">
            <w:pPr>
              <w:snapToGrid w:val="0"/>
              <w:spacing w:line="288" w:lineRule="auto"/>
              <w:rPr>
                <w:rFonts w:hint="eastAsia" w:cs="仿宋"/>
                <w:sz w:val="21"/>
                <w:szCs w:val="21"/>
              </w:rPr>
            </w:pPr>
            <w:r>
              <w:rPr>
                <w:rFonts w:hint="eastAsia"/>
                <w:bCs/>
                <w:sz w:val="21"/>
                <w:szCs w:val="21"/>
              </w:rPr>
              <w:t>②</w:t>
            </w:r>
            <w:r>
              <w:rPr>
                <w:rFonts w:hint="eastAsia" w:cs="仿宋"/>
                <w:sz w:val="21"/>
                <w:szCs w:val="21"/>
              </w:rPr>
              <w:t>吗啡、哌替啶的药理作用、临床应用、不良反应及注意事项。</w:t>
            </w:r>
          </w:p>
          <w:p w14:paraId="14DBAE95">
            <w:pPr>
              <w:pStyle w:val="20"/>
              <w:widowControl w:val="0"/>
              <w:jc w:val="left"/>
              <w:rPr>
                <w:rFonts w:ascii="宋体" w:hAnsi="宋体"/>
                <w:bCs/>
              </w:rPr>
            </w:pPr>
            <w:r>
              <w:rPr>
                <w:rFonts w:hint="eastAsia" w:ascii="宋体" w:hAnsi="宋体"/>
                <w:bCs/>
              </w:rPr>
              <w:t>③</w:t>
            </w:r>
            <w:r>
              <w:rPr>
                <w:rFonts w:hint="eastAsia" w:ascii="宋体" w:hAnsi="宋体" w:cs="仿宋"/>
              </w:rPr>
              <w:t>解热镇痛抗炎药的药理作用及作用机制、主要不良反应； 阿司匹林的药理作用、临床应用和不良反应。</w:t>
            </w:r>
          </w:p>
        </w:tc>
      </w:tr>
      <w:tr w14:paraId="0C83FEA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F945065">
            <w:pPr>
              <w:widowControl w:val="0"/>
              <w:snapToGrid w:val="0"/>
              <w:spacing w:line="288" w:lineRule="auto"/>
              <w:rPr>
                <w:rFonts w:hint="eastAsia"/>
                <w:color w:val="000000"/>
                <w:sz w:val="21"/>
                <w:szCs w:val="21"/>
              </w:rPr>
            </w:pPr>
            <w:r>
              <w:rPr>
                <w:rFonts w:hint="eastAsia"/>
                <w:bCs/>
                <w:sz w:val="21"/>
                <w:szCs w:val="21"/>
              </w:rPr>
              <w:t xml:space="preserve">第七单元 </w:t>
            </w:r>
            <w:r>
              <w:rPr>
                <w:rFonts w:hint="eastAsia" w:cs="仿宋"/>
                <w:sz w:val="21"/>
                <w:szCs w:val="21"/>
              </w:rPr>
              <w:t>抗高血压药</w:t>
            </w:r>
          </w:p>
          <w:p w14:paraId="11F3811B">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0C60A64">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知道利尿药、β受体阻断药、钙通道阻滞药、血管紧张素转化酶抑制药及血管紧张素Ⅱ受体阻断药的作用机制、作用特点、临床应用及不良反应。</w:t>
            </w:r>
          </w:p>
          <w:p w14:paraId="7F0A2F26">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理解抗高血压药的分类各类、代表药物名称及抗高血压药的临床应用原则。</w:t>
            </w:r>
          </w:p>
          <w:p w14:paraId="77AD4D58">
            <w:pPr>
              <w:snapToGrid w:val="0"/>
              <w:spacing w:line="288" w:lineRule="auto"/>
              <w:rPr>
                <w:rFonts w:hint="eastAsia" w:cs="仿宋"/>
                <w:sz w:val="21"/>
                <w:szCs w:val="21"/>
              </w:rPr>
            </w:pPr>
            <w:r>
              <w:rPr>
                <w:rFonts w:hint="eastAsia"/>
                <w:bCs/>
                <w:color w:val="000000"/>
                <w:sz w:val="21"/>
                <w:szCs w:val="21"/>
              </w:rPr>
              <w:t>③</w:t>
            </w:r>
            <w:r>
              <w:rPr>
                <w:rFonts w:hint="eastAsia" w:cs="仿宋"/>
                <w:sz w:val="21"/>
                <w:szCs w:val="21"/>
              </w:rPr>
              <w:t>了解中枢性降压药、α1受体阻断药、血管扩张药的降压特点、作用机制和临床应用。</w:t>
            </w:r>
          </w:p>
          <w:p w14:paraId="6F2383FC">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E723956">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具有观察药物疗效和常见不良反应的能力。</w:t>
            </w:r>
          </w:p>
          <w:p w14:paraId="0A79C0A1">
            <w:pPr>
              <w:snapToGrid w:val="0"/>
              <w:spacing w:line="288" w:lineRule="auto"/>
              <w:rPr>
                <w:rFonts w:hint="eastAsia"/>
                <w:bCs/>
                <w:color w:val="000000"/>
                <w:sz w:val="21"/>
                <w:szCs w:val="21"/>
              </w:rPr>
            </w:pPr>
            <w:r>
              <w:rPr>
                <w:rFonts w:hint="eastAsia"/>
                <w:bCs/>
                <w:color w:val="000000"/>
                <w:sz w:val="21"/>
                <w:szCs w:val="21"/>
              </w:rPr>
              <w:t>②</w:t>
            </w:r>
            <w:r>
              <w:rPr>
                <w:rFonts w:hint="eastAsia" w:cs="仿宋"/>
                <w:sz w:val="21"/>
                <w:szCs w:val="21"/>
              </w:rPr>
              <w:t>能够与患者及家属进行沟通，开展防治高血压病的健康教育，指导患者合理用药。</w:t>
            </w:r>
          </w:p>
          <w:p w14:paraId="38459AFB">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3B38FC0">
            <w:pPr>
              <w:widowControl w:val="0"/>
              <w:snapToGrid w:val="0"/>
              <w:spacing w:line="288" w:lineRule="auto"/>
              <w:rPr>
                <w:color w:val="000000"/>
                <w:sz w:val="21"/>
                <w:szCs w:val="21"/>
              </w:rPr>
            </w:pPr>
            <w:r>
              <w:rPr>
                <w:rFonts w:hint="eastAsia"/>
                <w:sz w:val="21"/>
                <w:szCs w:val="21"/>
              </w:rPr>
              <w:t>通过学习本章</w:t>
            </w:r>
            <w:r>
              <w:rPr>
                <w:rFonts w:hint="eastAsia"/>
                <w:bCs/>
                <w:sz w:val="21"/>
                <w:szCs w:val="21"/>
              </w:rPr>
              <w:t>,</w:t>
            </w:r>
            <w:r>
              <w:rPr>
                <w:rFonts w:hint="eastAsia"/>
                <w:sz w:val="21"/>
                <w:szCs w:val="21"/>
              </w:rPr>
              <w:t>充分认识到药理学知识的重要性，从而能进行主动、积极的学习，增强尊重科学</w:t>
            </w:r>
            <w:r>
              <w:rPr>
                <w:sz w:val="21"/>
                <w:szCs w:val="21"/>
              </w:rPr>
              <w:t>，</w:t>
            </w:r>
            <w:r>
              <w:rPr>
                <w:rFonts w:hint="eastAsia"/>
                <w:sz w:val="21"/>
                <w:szCs w:val="21"/>
              </w:rPr>
              <w:t>珍惜健康</w:t>
            </w:r>
            <w:r>
              <w:rPr>
                <w:sz w:val="21"/>
                <w:szCs w:val="21"/>
              </w:rPr>
              <w:t>，</w:t>
            </w:r>
            <w:r>
              <w:rPr>
                <w:rFonts w:hint="eastAsia"/>
                <w:sz w:val="21"/>
                <w:szCs w:val="21"/>
              </w:rPr>
              <w:t>救死扶伤的坚定信念。</w:t>
            </w:r>
          </w:p>
          <w:p w14:paraId="5613923E">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694FC811">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一线抗高血压药的作用机制、作用特点、临床应用及不良反应。</w:t>
            </w:r>
          </w:p>
          <w:p w14:paraId="6FCCCD80">
            <w:pPr>
              <w:snapToGrid w:val="0"/>
              <w:spacing w:line="288" w:lineRule="auto"/>
              <w:rPr>
                <w:sz w:val="21"/>
                <w:szCs w:val="21"/>
              </w:rPr>
            </w:pPr>
            <w:r>
              <w:rPr>
                <w:rFonts w:hint="eastAsia"/>
                <w:bCs/>
                <w:color w:val="000000"/>
                <w:sz w:val="21"/>
                <w:szCs w:val="21"/>
              </w:rPr>
              <w:t>②</w:t>
            </w:r>
            <w:r>
              <w:rPr>
                <w:rFonts w:hint="eastAsia" w:cs="仿宋"/>
                <w:sz w:val="21"/>
                <w:szCs w:val="21"/>
              </w:rPr>
              <w:t>抗高血压药的临床应用原则。</w:t>
            </w:r>
          </w:p>
        </w:tc>
      </w:tr>
      <w:tr w14:paraId="7836E4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76DB6516">
            <w:pPr>
              <w:snapToGrid w:val="0"/>
              <w:spacing w:line="288" w:lineRule="auto"/>
              <w:rPr>
                <w:rFonts w:hint="eastAsia" w:cs="仿宋"/>
                <w:sz w:val="21"/>
                <w:szCs w:val="21"/>
              </w:rPr>
            </w:pPr>
            <w:r>
              <w:rPr>
                <w:rFonts w:hint="eastAsia"/>
                <w:bCs/>
                <w:sz w:val="21"/>
                <w:szCs w:val="21"/>
              </w:rPr>
              <w:t xml:space="preserve">第八单元 </w:t>
            </w:r>
            <w:r>
              <w:rPr>
                <w:rFonts w:hint="eastAsia" w:cs="仿宋"/>
                <w:sz w:val="21"/>
                <w:szCs w:val="21"/>
              </w:rPr>
              <w:t>抗心律失常药、抗充血性心力衰竭药</w:t>
            </w:r>
          </w:p>
          <w:p w14:paraId="4D6A081A">
            <w:pPr>
              <w:snapToGrid w:val="0"/>
              <w:spacing w:line="288" w:lineRule="auto"/>
              <w:rPr>
                <w:rFonts w:cs="仿宋"/>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22E8CE0C">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知道抗心律失常药的分类，各类代表药的药理作用、临床应用及不良反应。血管紧张素转化酶抑制药、利尿药、β受体阻断药、醛固酮拮抗剂、强心苷的药理作用、临床应用、不良反应及注意事项。</w:t>
            </w:r>
          </w:p>
          <w:p w14:paraId="1F22E7F3">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理解抗心律失常药的基本电生理作用及临床常见心律失常的选药。抗充血性心力衰竭药的分类及代表药物名称、血管紧张素Ⅱ受体阻断药、血管扩张药、非苷类正性肌力药的作用特点及临床应用。</w:t>
            </w:r>
          </w:p>
          <w:p w14:paraId="402C46B6">
            <w:pPr>
              <w:snapToGrid w:val="0"/>
              <w:spacing w:line="288" w:lineRule="auto"/>
              <w:rPr>
                <w:sz w:val="21"/>
                <w:szCs w:val="21"/>
              </w:rPr>
            </w:pPr>
            <w:r>
              <w:rPr>
                <w:rFonts w:hint="eastAsia"/>
                <w:bCs/>
                <w:color w:val="000000"/>
                <w:sz w:val="21"/>
                <w:szCs w:val="21"/>
              </w:rPr>
              <w:t>③</w:t>
            </w:r>
            <w:r>
              <w:rPr>
                <w:rFonts w:hint="eastAsia" w:cs="仿宋"/>
                <w:sz w:val="21"/>
                <w:szCs w:val="21"/>
              </w:rPr>
              <w:t>了解正常心肌电生理及心律失常发生的电生理机制。强心苷类药物的给药方法及相互作用、血管扩张药及非苷类正性肌力药的不良反应及注意事项。</w:t>
            </w:r>
            <w:r>
              <w:rPr>
                <w:rFonts w:hint="eastAsia"/>
                <w:sz w:val="21"/>
                <w:szCs w:val="21"/>
              </w:rPr>
              <w:t xml:space="preserve">     </w:t>
            </w:r>
          </w:p>
          <w:p w14:paraId="53DF46F7">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1CA512F2">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学会观察抗心律失常药物的疗效及判断不良反应的能力。</w:t>
            </w:r>
          </w:p>
          <w:p w14:paraId="75F55D10">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具有根据适应证指导合理选择药物及防治不良反应的能力。</w:t>
            </w:r>
          </w:p>
          <w:p w14:paraId="1B163036">
            <w:pPr>
              <w:snapToGrid w:val="0"/>
              <w:spacing w:line="288" w:lineRule="auto"/>
              <w:rPr>
                <w:sz w:val="21"/>
                <w:szCs w:val="21"/>
              </w:rPr>
            </w:pPr>
            <w:r>
              <w:rPr>
                <w:rFonts w:hint="eastAsia"/>
                <w:bCs/>
                <w:color w:val="000000"/>
                <w:sz w:val="21"/>
                <w:szCs w:val="21"/>
              </w:rPr>
              <w:t>③</w:t>
            </w:r>
            <w:r>
              <w:rPr>
                <w:rFonts w:hint="eastAsia" w:cs="仿宋"/>
                <w:sz w:val="21"/>
                <w:szCs w:val="21"/>
              </w:rPr>
              <w:t>能与患者及家属进行沟通，帮助和指导患者正确合理用药。</w:t>
            </w:r>
          </w:p>
          <w:p w14:paraId="74E1E2ED">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78B9B30A">
            <w:pPr>
              <w:widowControl w:val="0"/>
              <w:snapToGrid w:val="0"/>
              <w:spacing w:line="288" w:lineRule="auto"/>
              <w:rPr>
                <w:bCs/>
                <w:color w:val="000000"/>
                <w:sz w:val="21"/>
                <w:szCs w:val="21"/>
              </w:rPr>
            </w:pPr>
            <w:r>
              <w:rPr>
                <w:rFonts w:hint="eastAsia"/>
                <w:color w:val="000000"/>
                <w:sz w:val="21"/>
                <w:szCs w:val="21"/>
              </w:rPr>
              <w:t>通过学习</w:t>
            </w:r>
            <w:r>
              <w:rPr>
                <w:rFonts w:hint="eastAsia"/>
                <w:sz w:val="21"/>
                <w:szCs w:val="21"/>
              </w:rPr>
              <w:t>本章</w:t>
            </w:r>
            <w:r>
              <w:rPr>
                <w:rFonts w:hint="eastAsia"/>
                <w:color w:val="000000"/>
                <w:sz w:val="21"/>
                <w:szCs w:val="21"/>
              </w:rPr>
              <w:t>，增强尊重科学</w:t>
            </w:r>
            <w:r>
              <w:rPr>
                <w:color w:val="000000"/>
                <w:sz w:val="21"/>
                <w:szCs w:val="21"/>
              </w:rPr>
              <w:t>,</w:t>
            </w:r>
            <w:r>
              <w:rPr>
                <w:rFonts w:hint="eastAsia"/>
                <w:color w:val="000000"/>
                <w:sz w:val="21"/>
                <w:szCs w:val="21"/>
              </w:rPr>
              <w:t>珍惜健康</w:t>
            </w:r>
            <w:r>
              <w:rPr>
                <w:color w:val="000000"/>
                <w:sz w:val="21"/>
                <w:szCs w:val="21"/>
              </w:rPr>
              <w:t>,</w:t>
            </w:r>
            <w:r>
              <w:rPr>
                <w:rFonts w:hint="eastAsia"/>
                <w:color w:val="000000"/>
                <w:sz w:val="21"/>
                <w:szCs w:val="21"/>
              </w:rPr>
              <w:t>救死扶伤的坚定信念。</w:t>
            </w:r>
          </w:p>
          <w:p w14:paraId="6D313D23">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DD600B3">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抗心律失常药的分类，各类代表药的药理作用、临床应用及不良反应。</w:t>
            </w:r>
          </w:p>
          <w:p w14:paraId="293E5722">
            <w:pPr>
              <w:snapToGrid w:val="0"/>
              <w:spacing w:line="288" w:lineRule="auto"/>
              <w:rPr>
                <w:sz w:val="21"/>
                <w:szCs w:val="21"/>
              </w:rPr>
            </w:pPr>
            <w:r>
              <w:rPr>
                <w:rFonts w:hint="eastAsia"/>
                <w:bCs/>
                <w:color w:val="000000"/>
                <w:sz w:val="21"/>
                <w:szCs w:val="21"/>
              </w:rPr>
              <w:t>②</w:t>
            </w:r>
            <w:r>
              <w:rPr>
                <w:rFonts w:hint="eastAsia" w:cs="仿宋"/>
                <w:sz w:val="21"/>
                <w:szCs w:val="21"/>
              </w:rPr>
              <w:t>血管紧张素转化酶抑制药、利尿药、β受体阻断药、醛固酮拮抗剂、强心苷的药理作用、临床应用、不良反应及注意事项。</w:t>
            </w:r>
          </w:p>
        </w:tc>
      </w:tr>
      <w:tr w14:paraId="4F7FE94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5D6F448A">
            <w:pPr>
              <w:snapToGrid w:val="0"/>
              <w:spacing w:line="288" w:lineRule="auto"/>
              <w:rPr>
                <w:rFonts w:cs="仿宋"/>
                <w:sz w:val="21"/>
                <w:szCs w:val="21"/>
              </w:rPr>
            </w:pPr>
            <w:r>
              <w:rPr>
                <w:rFonts w:hint="eastAsia"/>
                <w:bCs/>
                <w:color w:val="000000"/>
                <w:sz w:val="21"/>
                <w:szCs w:val="21"/>
              </w:rPr>
              <w:t>第九单元</w:t>
            </w:r>
            <w:r>
              <w:rPr>
                <w:rFonts w:hint="eastAsia" w:cs="仿宋"/>
                <w:sz w:val="21"/>
                <w:szCs w:val="21"/>
              </w:rPr>
              <w:t>抗心绞痛药、调血脂药、利尿药及脱水药</w:t>
            </w:r>
          </w:p>
          <w:p w14:paraId="7382A8FB">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0612A512">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抗心绞痛药的作用及分类，硝酸甘油、普萘洛尔、硝苯地平的抗心绞痛作用及临床应用。他汀类、贝特类药调血脂作用、临床应用及主要不良反应。呋塞米、氢氯噻嗪、螺内酯的利尿作用特点、临床应用、不良反应和用药注意事项。</w:t>
            </w:r>
          </w:p>
          <w:p w14:paraId="1C71A9BC">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理解硝酸甘油的给药方法，硝酸酯类与β受体阻断药联合用药的目的和意义。调血脂药的分类及代表药物，血脂异常的选药及用药原则。利尿药的分类、各类药物的作用机制；甘露醇的作用和临床应用。</w:t>
            </w:r>
          </w:p>
          <w:p w14:paraId="08650E18">
            <w:pPr>
              <w:snapToGrid w:val="0"/>
              <w:spacing w:line="288" w:lineRule="auto"/>
              <w:rPr>
                <w:sz w:val="21"/>
                <w:szCs w:val="21"/>
              </w:rPr>
            </w:pPr>
            <w:r>
              <w:rPr>
                <w:rFonts w:hint="eastAsia"/>
                <w:sz w:val="21"/>
                <w:szCs w:val="21"/>
              </w:rPr>
              <w:t>③</w:t>
            </w:r>
            <w:r>
              <w:rPr>
                <w:rFonts w:hint="eastAsia" w:cs="仿宋"/>
                <w:sz w:val="21"/>
                <w:szCs w:val="21"/>
              </w:rPr>
              <w:t>了解硝酸甘油、普萘洛尔、硝苯地平的常见不良反应。其他调血脂药的作用特点及临床适应证。其他利尿药和脱水药的作用特点及临床应用。</w:t>
            </w:r>
          </w:p>
          <w:p w14:paraId="15DD937A">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4A2A04E">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学会观察本类药物的疗效及不良反应。</w:t>
            </w:r>
          </w:p>
          <w:p w14:paraId="07915B5D">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具有指导合理选用抗心绞痛药物、调血脂药物及指导患者合理用药的能力。</w:t>
            </w:r>
            <w:r>
              <w:rPr>
                <w:rFonts w:hint="eastAsia"/>
                <w:sz w:val="21"/>
                <w:szCs w:val="21"/>
              </w:rPr>
              <w:t>③</w:t>
            </w:r>
            <w:r>
              <w:rPr>
                <w:rFonts w:hint="eastAsia" w:cs="仿宋"/>
                <w:sz w:val="21"/>
                <w:szCs w:val="21"/>
              </w:rPr>
              <w:t>具有指导患者改变生活方式、合理用药并确定用药目标的能力。</w:t>
            </w:r>
          </w:p>
          <w:p w14:paraId="65472B92">
            <w:pPr>
              <w:snapToGrid w:val="0"/>
              <w:spacing w:line="288" w:lineRule="auto"/>
              <w:rPr>
                <w:rFonts w:hint="eastAsia" w:cs="仿宋"/>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学会根据适应证指导合理选择利尿药、脱水药及防治不良反应。</w:t>
            </w:r>
          </w:p>
          <w:p w14:paraId="12ED586E">
            <w:pPr>
              <w:snapToGrid w:val="0"/>
              <w:spacing w:line="288" w:lineRule="auto"/>
              <w:rPr>
                <w:sz w:val="21"/>
                <w:szCs w:val="21"/>
              </w:rPr>
            </w:pPr>
            <w:r>
              <w:rPr>
                <w:rFonts w:cs="仿宋"/>
                <w:sz w:val="21"/>
                <w:szCs w:val="21"/>
              </w:rPr>
              <w:fldChar w:fldCharType="begin"/>
            </w:r>
            <w:r>
              <w:rPr>
                <w:rFonts w:cs="仿宋"/>
                <w:sz w:val="21"/>
                <w:szCs w:val="21"/>
              </w:rPr>
              <w:instrText xml:space="preserve"> </w:instrText>
            </w:r>
            <w:r>
              <w:rPr>
                <w:rFonts w:hint="eastAsia" w:cs="仿宋"/>
                <w:sz w:val="21"/>
                <w:szCs w:val="21"/>
              </w:rPr>
              <w:instrText xml:space="preserve">= 5 \* GB3</w:instrText>
            </w:r>
            <w:r>
              <w:rPr>
                <w:rFonts w:cs="仿宋"/>
                <w:sz w:val="21"/>
                <w:szCs w:val="21"/>
              </w:rPr>
              <w:instrText xml:space="preserve"> </w:instrText>
            </w:r>
            <w:r>
              <w:rPr>
                <w:rFonts w:cs="仿宋"/>
                <w:sz w:val="21"/>
                <w:szCs w:val="21"/>
              </w:rPr>
              <w:fldChar w:fldCharType="separate"/>
            </w:r>
            <w:r>
              <w:rPr>
                <w:rFonts w:hint="eastAsia" w:cs="仿宋"/>
                <w:sz w:val="21"/>
                <w:szCs w:val="21"/>
              </w:rPr>
              <w:t>⑤</w:t>
            </w:r>
            <w:r>
              <w:rPr>
                <w:rFonts w:cs="仿宋"/>
                <w:sz w:val="21"/>
                <w:szCs w:val="21"/>
              </w:rPr>
              <w:fldChar w:fldCharType="end"/>
            </w:r>
            <w:r>
              <w:rPr>
                <w:rFonts w:hint="eastAsia" w:cs="仿宋"/>
                <w:sz w:val="21"/>
                <w:szCs w:val="21"/>
              </w:rPr>
              <w:t>具有指导患者合理应用利尿药，开展用药咨询服务的能力。</w:t>
            </w:r>
            <w:r>
              <w:rPr>
                <w:rFonts w:hint="eastAsia"/>
                <w:bCs/>
                <w:color w:val="000000"/>
                <w:sz w:val="21"/>
                <w:szCs w:val="21"/>
              </w:rPr>
              <w:t>②</w:t>
            </w:r>
            <w:r>
              <w:rPr>
                <w:rFonts w:hint="eastAsia"/>
                <w:sz w:val="21"/>
                <w:szCs w:val="21"/>
              </w:rPr>
              <w:t>能说出其他利尿药、脱水药的特点；</w:t>
            </w:r>
          </w:p>
          <w:p w14:paraId="26D3AB6E">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46272004">
            <w:pPr>
              <w:widowControl w:val="0"/>
              <w:snapToGrid w:val="0"/>
              <w:spacing w:line="288" w:lineRule="auto"/>
              <w:rPr>
                <w:color w:val="000000"/>
                <w:sz w:val="21"/>
                <w:szCs w:val="21"/>
              </w:rPr>
            </w:pPr>
            <w:r>
              <w:rPr>
                <w:rFonts w:hint="eastAsia"/>
                <w:sz w:val="21"/>
                <w:szCs w:val="21"/>
              </w:rPr>
              <w:t>通过学习本章</w:t>
            </w:r>
            <w:r>
              <w:rPr>
                <w:rFonts w:hint="eastAsia"/>
                <w:bCs/>
                <w:sz w:val="21"/>
                <w:szCs w:val="21"/>
              </w:rPr>
              <w:t>,</w:t>
            </w:r>
            <w:r>
              <w:rPr>
                <w:rFonts w:hint="eastAsia"/>
                <w:sz w:val="21"/>
                <w:szCs w:val="21"/>
              </w:rPr>
              <w:t>充分认识到药理学知识的重要性，从而能进行主动、积极的学习，增强尊重科学</w:t>
            </w:r>
            <w:r>
              <w:rPr>
                <w:sz w:val="21"/>
                <w:szCs w:val="21"/>
              </w:rPr>
              <w:t>，</w:t>
            </w:r>
            <w:r>
              <w:rPr>
                <w:rFonts w:hint="eastAsia"/>
                <w:sz w:val="21"/>
                <w:szCs w:val="21"/>
              </w:rPr>
              <w:t>珍惜健康</w:t>
            </w:r>
            <w:r>
              <w:rPr>
                <w:sz w:val="21"/>
                <w:szCs w:val="21"/>
              </w:rPr>
              <w:t>，</w:t>
            </w:r>
            <w:r>
              <w:rPr>
                <w:rFonts w:hint="eastAsia"/>
                <w:sz w:val="21"/>
                <w:szCs w:val="21"/>
              </w:rPr>
              <w:t>救死扶伤的坚定信念。</w:t>
            </w:r>
          </w:p>
          <w:p w14:paraId="58C32D89">
            <w:pPr>
              <w:pStyle w:val="20"/>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4A5FA113">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抗心绞痛药的作用及分类，硝酸甘油、普萘洛尔、硝苯地平的抗心绞痛作用及临床应用。</w:t>
            </w:r>
          </w:p>
          <w:p w14:paraId="5F44C60E">
            <w:pPr>
              <w:snapToGrid w:val="0"/>
              <w:spacing w:line="288" w:lineRule="auto"/>
              <w:rPr>
                <w:rFonts w:hint="eastAsia" w:cs="仿宋"/>
                <w:sz w:val="21"/>
                <w:szCs w:val="21"/>
              </w:rPr>
            </w:pPr>
            <w:r>
              <w:rPr>
                <w:rFonts w:hint="eastAsia"/>
                <w:bCs/>
                <w:sz w:val="21"/>
                <w:szCs w:val="21"/>
              </w:rPr>
              <w:t>②</w:t>
            </w:r>
            <w:r>
              <w:rPr>
                <w:rFonts w:hint="eastAsia" w:cs="仿宋"/>
                <w:sz w:val="21"/>
                <w:szCs w:val="21"/>
              </w:rPr>
              <w:t>他汀类、贝特类药调血脂作用、临床应用及主要不良反应。</w:t>
            </w:r>
          </w:p>
          <w:p w14:paraId="438F1A3F">
            <w:pPr>
              <w:snapToGrid w:val="0"/>
              <w:spacing w:line="288" w:lineRule="auto"/>
              <w:rPr>
                <w:sz w:val="21"/>
                <w:szCs w:val="21"/>
              </w:rPr>
            </w:pPr>
            <w:r>
              <w:rPr>
                <w:rFonts w:hint="eastAsia"/>
                <w:sz w:val="21"/>
                <w:szCs w:val="21"/>
              </w:rPr>
              <w:t>③</w:t>
            </w:r>
            <w:r>
              <w:rPr>
                <w:rFonts w:hint="eastAsia" w:cs="仿宋"/>
                <w:sz w:val="21"/>
                <w:szCs w:val="21"/>
              </w:rPr>
              <w:t>呋塞米、氢氯噻嗪、螺内酯的利尿作用特点、临床应用、不良反应和用药注意事项。</w:t>
            </w:r>
          </w:p>
        </w:tc>
      </w:tr>
      <w:tr w14:paraId="79885C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411EDD19">
            <w:pPr>
              <w:snapToGrid w:val="0"/>
              <w:spacing w:line="288" w:lineRule="auto"/>
              <w:rPr>
                <w:rFonts w:cs="仿宋"/>
                <w:sz w:val="21"/>
                <w:szCs w:val="21"/>
              </w:rPr>
            </w:pPr>
            <w:r>
              <w:rPr>
                <w:rFonts w:hint="eastAsia"/>
                <w:bCs/>
                <w:color w:val="000000"/>
                <w:sz w:val="21"/>
                <w:szCs w:val="21"/>
              </w:rPr>
              <w:t xml:space="preserve">第十单元 </w:t>
            </w:r>
            <w:r>
              <w:rPr>
                <w:rFonts w:hint="eastAsia" w:cs="仿宋"/>
                <w:sz w:val="21"/>
                <w:szCs w:val="21"/>
              </w:rPr>
              <w:t>作用于消化系统的药物、作用于呼吸系统的药物</w:t>
            </w:r>
          </w:p>
          <w:p w14:paraId="270B89ED">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4956EB49">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知道抗消化性溃疡药的分类及各类代表药的药理作用、临床应用和主要不良反应。糖皮质激素、沙丁胺醇、氨茶碱的平喘作用及临床应用。</w:t>
            </w:r>
          </w:p>
          <w:p w14:paraId="1319857D">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理解促胃肠动力药、止吐药的药理作用及临床应用。平喘药的分类，色甘酸钠的作用及临床应用，可待因的镇咳作用及临床应用。</w:t>
            </w:r>
          </w:p>
          <w:p w14:paraId="1F3D507A">
            <w:pPr>
              <w:snapToGrid w:val="0"/>
              <w:spacing w:line="288" w:lineRule="auto"/>
              <w:rPr>
                <w:sz w:val="21"/>
                <w:szCs w:val="21"/>
              </w:rPr>
            </w:pPr>
            <w:r>
              <w:rPr>
                <w:rFonts w:hint="eastAsia"/>
                <w:sz w:val="21"/>
                <w:szCs w:val="21"/>
              </w:rPr>
              <w:t>③</w:t>
            </w:r>
            <w:r>
              <w:rPr>
                <w:rFonts w:hint="eastAsia" w:cs="仿宋"/>
                <w:sz w:val="21"/>
                <w:szCs w:val="21"/>
              </w:rPr>
              <w:t>了解助消化药、泻药及止泻药的药理作用及临床应用。右美沙芬、喷托维林、氯化铵、乙酰半胱氨酸的药理作用及临床应用。</w:t>
            </w:r>
          </w:p>
          <w:p w14:paraId="480DFEA3">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05B7CEC">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学会观察抗消化性溃疡药、止吐药、各类平喘药的疗效和不良反应。</w:t>
            </w:r>
          </w:p>
          <w:p w14:paraId="0E1A6578">
            <w:pPr>
              <w:snapToGrid w:val="0"/>
              <w:spacing w:line="288" w:lineRule="auto"/>
              <w:rPr>
                <w:sz w:val="21"/>
                <w:szCs w:val="21"/>
              </w:rPr>
            </w:pPr>
            <w:r>
              <w:rPr>
                <w:rFonts w:hint="eastAsia"/>
                <w:bCs/>
                <w:color w:val="000000"/>
                <w:sz w:val="21"/>
                <w:szCs w:val="21"/>
              </w:rPr>
              <w:t>②</w:t>
            </w:r>
            <w:r>
              <w:rPr>
                <w:rFonts w:hint="eastAsia" w:cs="仿宋"/>
                <w:sz w:val="21"/>
                <w:szCs w:val="21"/>
              </w:rPr>
              <w:t>具有根据适应证指导合理选择抗消化性溃疡药、平喘药及镇咳药，并具有指导不良反应防治的能力。</w:t>
            </w:r>
          </w:p>
          <w:p w14:paraId="211BD4F7">
            <w:pPr>
              <w:widowControl w:val="0"/>
              <w:snapToGrid w:val="0"/>
              <w:spacing w:line="288" w:lineRule="auto"/>
              <w:jc w:val="both"/>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AEC64FF">
            <w:pPr>
              <w:pStyle w:val="20"/>
              <w:widowControl w:val="0"/>
              <w:jc w:val="left"/>
              <w:rPr>
                <w:rFonts w:hint="eastAsia" w:ascii="宋体" w:hAnsi="宋体"/>
              </w:rPr>
            </w:pPr>
            <w:r>
              <w:rPr>
                <w:rFonts w:hint="eastAsia" w:ascii="宋体" w:hAnsi="宋体"/>
              </w:rPr>
              <w:t>使学生认识到药理学的重要性，学会主动学习与知识转化。</w:t>
            </w:r>
          </w:p>
          <w:p w14:paraId="3E02B76A">
            <w:pPr>
              <w:pStyle w:val="20"/>
              <w:widowControl w:val="0"/>
              <w:jc w:val="left"/>
              <w:rPr>
                <w:rFonts w:ascii="宋体" w:hAnsi="宋体"/>
                <w:bCs/>
              </w:rPr>
            </w:pPr>
            <w:r>
              <w:rPr>
                <w:rFonts w:hint="eastAsia" w:ascii="宋体" w:hAnsi="宋体"/>
                <w:bCs/>
              </w:rPr>
              <w:t>4</w:t>
            </w:r>
            <w:r>
              <w:rPr>
                <w:rFonts w:ascii="宋体" w:hAnsi="宋体"/>
                <w:bCs/>
              </w:rPr>
              <w:t>.</w:t>
            </w:r>
            <w:r>
              <w:rPr>
                <w:rFonts w:hint="eastAsia" w:ascii="宋体" w:hAnsi="宋体"/>
                <w:bCs/>
              </w:rPr>
              <w:t>教学难点：</w:t>
            </w:r>
          </w:p>
          <w:p w14:paraId="07076A98">
            <w:pPr>
              <w:widowControl w:val="0"/>
              <w:snapToGrid w:val="0"/>
              <w:spacing w:line="288" w:lineRule="auto"/>
              <w:jc w:val="both"/>
              <w:rPr>
                <w:rFonts w:hint="eastAsia" w:cs="仿宋"/>
                <w:sz w:val="21"/>
                <w:szCs w:val="21"/>
              </w:rPr>
            </w:pPr>
            <w:r>
              <w:rPr>
                <w:rFonts w:hint="eastAsia"/>
                <w:bCs/>
                <w:color w:val="000000"/>
                <w:sz w:val="21"/>
                <w:szCs w:val="21"/>
              </w:rPr>
              <w:t>①</w:t>
            </w:r>
            <w:r>
              <w:rPr>
                <w:rFonts w:hint="eastAsia" w:cs="仿宋"/>
                <w:sz w:val="21"/>
                <w:szCs w:val="21"/>
              </w:rPr>
              <w:t>抗消化性溃疡药的分类及各类代表药的药理作用、临床应用和主要不良反应。</w:t>
            </w:r>
          </w:p>
          <w:p w14:paraId="2A021CE7">
            <w:pPr>
              <w:widowControl w:val="0"/>
              <w:snapToGrid w:val="0"/>
              <w:spacing w:line="288" w:lineRule="auto"/>
              <w:jc w:val="both"/>
              <w:rPr>
                <w:color w:val="000000"/>
                <w:sz w:val="21"/>
                <w:szCs w:val="21"/>
              </w:rPr>
            </w:pPr>
            <w:r>
              <w:rPr>
                <w:rFonts w:hint="eastAsia"/>
                <w:bCs/>
                <w:color w:val="000000"/>
                <w:sz w:val="21"/>
                <w:szCs w:val="21"/>
              </w:rPr>
              <w:t>②</w:t>
            </w:r>
            <w:r>
              <w:rPr>
                <w:rFonts w:hint="eastAsia" w:cs="仿宋"/>
                <w:sz w:val="21"/>
                <w:szCs w:val="21"/>
              </w:rPr>
              <w:t>糖皮质激素、沙丁胺醇、氨茶碱的平喘作用及临床应用。</w:t>
            </w:r>
          </w:p>
        </w:tc>
      </w:tr>
      <w:tr w14:paraId="1B2DF1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5E5C0858">
            <w:pPr>
              <w:snapToGrid w:val="0"/>
              <w:spacing w:line="288" w:lineRule="auto"/>
              <w:ind w:left="1155" w:hanging="1155" w:hangingChars="550"/>
              <w:rPr>
                <w:rFonts w:hint="eastAsia" w:cs="仿宋"/>
                <w:sz w:val="21"/>
                <w:szCs w:val="21"/>
              </w:rPr>
            </w:pPr>
            <w:r>
              <w:rPr>
                <w:rFonts w:hint="eastAsia"/>
                <w:bCs/>
                <w:sz w:val="21"/>
                <w:szCs w:val="21"/>
              </w:rPr>
              <w:t xml:space="preserve">第十一单元 </w:t>
            </w:r>
            <w:r>
              <w:rPr>
                <w:rFonts w:hint="eastAsia" w:cs="仿宋"/>
                <w:sz w:val="21"/>
                <w:szCs w:val="21"/>
              </w:rPr>
              <w:t>子宫平滑肌收缩药与舒张药、作用于血液及造血系统的药物、拟组胺药与抗组胺药</w:t>
            </w:r>
          </w:p>
          <w:p w14:paraId="3F564233">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2294A3C2">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 xml:space="preserve">知道缩宫素的药理作用、临床应用及主要不良反应。抗贫血药（铁制剂、叶酸、维生素B12）、抗凝血药（肝素、香豆素类）的临床应用及不良反应。 </w:t>
            </w:r>
          </w:p>
          <w:p w14:paraId="1D911F6B">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理解麦角新碱的药理作用及临床应用。维生素K、氨甲苯酸、阿司匹林、双嘧达莫、链激酶、尿激酶的作用及临床应用。常用H1受体阻断药的药理作用、临床应用及不良反应。</w:t>
            </w:r>
          </w:p>
          <w:p w14:paraId="1F87FE7E">
            <w:pPr>
              <w:snapToGrid w:val="0"/>
              <w:spacing w:line="288" w:lineRule="auto"/>
              <w:rPr>
                <w:rFonts w:hint="eastAsia"/>
                <w:color w:val="000000"/>
                <w:sz w:val="21"/>
                <w:szCs w:val="21"/>
              </w:rPr>
            </w:pPr>
            <w:r>
              <w:rPr>
                <w:rFonts w:hint="eastAsia"/>
                <w:bCs/>
                <w:color w:val="000000"/>
                <w:sz w:val="21"/>
                <w:szCs w:val="21"/>
              </w:rPr>
              <w:t>③</w:t>
            </w:r>
            <w:r>
              <w:rPr>
                <w:rFonts w:hint="eastAsia" w:cs="仿宋"/>
                <w:sz w:val="21"/>
                <w:szCs w:val="21"/>
              </w:rPr>
              <w:t>了解其他子宫平滑肌收缩药与舒张药的药理作用及临床应用。叶酸、维生素B12的作用、血容量充药、促白细胞生成药的药理作用和临床应用</w:t>
            </w:r>
            <w:r>
              <w:rPr>
                <w:rFonts w:hint="eastAsia"/>
                <w:bCs/>
                <w:color w:val="000000"/>
                <w:sz w:val="21"/>
                <w:szCs w:val="21"/>
              </w:rPr>
              <w:t>。</w:t>
            </w:r>
          </w:p>
          <w:p w14:paraId="3208527A">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0C08EDE6">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学会合理应用子宫平滑肌收缩药。</w:t>
            </w:r>
          </w:p>
          <w:p w14:paraId="6EB3A4FF">
            <w:pPr>
              <w:snapToGrid w:val="0"/>
              <w:spacing w:line="288" w:lineRule="auto"/>
              <w:rPr>
                <w:rFonts w:hint="eastAsia"/>
                <w:color w:val="000000"/>
                <w:sz w:val="21"/>
                <w:szCs w:val="21"/>
              </w:rPr>
            </w:pPr>
            <w:r>
              <w:rPr>
                <w:rFonts w:hint="eastAsia"/>
                <w:bCs/>
                <w:color w:val="000000"/>
                <w:sz w:val="21"/>
                <w:szCs w:val="21"/>
              </w:rPr>
              <w:t>②</w:t>
            </w:r>
            <w:r>
              <w:rPr>
                <w:rFonts w:hint="eastAsia" w:cs="仿宋"/>
                <w:sz w:val="21"/>
                <w:szCs w:val="21"/>
              </w:rPr>
              <w:t>具有根据适应证指导合理选择子宫平滑肌收缩药、抗贫血药、常用H1受体阻断药及观察不良反应的能力。</w:t>
            </w:r>
          </w:p>
          <w:p w14:paraId="32F09E8B">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237D3171">
            <w:pPr>
              <w:widowControl w:val="0"/>
              <w:snapToGrid w:val="0"/>
              <w:spacing w:line="288" w:lineRule="auto"/>
              <w:rPr>
                <w:rFonts w:hint="eastAsia"/>
                <w:color w:val="000000"/>
                <w:sz w:val="21"/>
                <w:szCs w:val="21"/>
              </w:rPr>
            </w:pPr>
            <w:r>
              <w:rPr>
                <w:rFonts w:hint="eastAsia"/>
                <w:color w:val="000000"/>
                <w:sz w:val="21"/>
                <w:szCs w:val="21"/>
              </w:rPr>
              <w:t>使学生认识到</w:t>
            </w:r>
            <w:r>
              <w:rPr>
                <w:rFonts w:hint="eastAsia"/>
                <w:sz w:val="21"/>
                <w:szCs w:val="21"/>
              </w:rPr>
              <w:t>药理学</w:t>
            </w:r>
            <w:r>
              <w:rPr>
                <w:rFonts w:hint="eastAsia"/>
                <w:color w:val="000000"/>
                <w:sz w:val="21"/>
                <w:szCs w:val="21"/>
              </w:rPr>
              <w:t>的重要性，学会主动学习与知识转化。</w:t>
            </w:r>
          </w:p>
          <w:p w14:paraId="5ECA015D">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3204753D">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缩宫素的药理作用、临床应用及主要不良反应。</w:t>
            </w:r>
          </w:p>
          <w:p w14:paraId="4F30AC7A">
            <w:pPr>
              <w:widowControl w:val="0"/>
              <w:snapToGrid w:val="0"/>
              <w:spacing w:line="288" w:lineRule="auto"/>
              <w:jc w:val="both"/>
              <w:rPr>
                <w:color w:val="000000"/>
                <w:sz w:val="21"/>
                <w:szCs w:val="21"/>
              </w:rPr>
            </w:pPr>
            <w:r>
              <w:rPr>
                <w:rFonts w:hint="eastAsia"/>
                <w:bCs/>
                <w:color w:val="000000"/>
                <w:sz w:val="21"/>
                <w:szCs w:val="21"/>
              </w:rPr>
              <w:t>②</w:t>
            </w:r>
            <w:r>
              <w:rPr>
                <w:rFonts w:hint="eastAsia" w:cs="仿宋"/>
                <w:sz w:val="21"/>
                <w:szCs w:val="21"/>
              </w:rPr>
              <w:t>抗贫血药（铁制剂、叶酸、维生素B12）、抗凝血药（肝素、香豆素类）的临床应用及不良反应。</w:t>
            </w:r>
          </w:p>
        </w:tc>
      </w:tr>
      <w:tr w14:paraId="326AF1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265BCC6">
            <w:pPr>
              <w:snapToGrid w:val="0"/>
              <w:spacing w:line="288" w:lineRule="auto"/>
              <w:rPr>
                <w:rFonts w:hint="eastAsia" w:cs="仿宋"/>
                <w:sz w:val="21"/>
                <w:szCs w:val="21"/>
              </w:rPr>
            </w:pPr>
            <w:r>
              <w:rPr>
                <w:rFonts w:hint="eastAsia"/>
                <w:bCs/>
                <w:sz w:val="21"/>
                <w:szCs w:val="21"/>
              </w:rPr>
              <w:t>第十二单元</w:t>
            </w:r>
            <w:r>
              <w:rPr>
                <w:rFonts w:hint="eastAsia" w:cs="仿宋"/>
                <w:sz w:val="21"/>
                <w:szCs w:val="21"/>
              </w:rPr>
              <w:t>肾上腺皮质激素类药、甲状腺激素和抗甲状腺药</w:t>
            </w:r>
          </w:p>
          <w:p w14:paraId="1A4C64A2">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3CFDD5FB">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知道糖皮质激素类药物的药理作用、临床应用、不良反应及禁忌证。硫脲类、碘及碘化物的药理作用、临床应用及不良反应。</w:t>
            </w:r>
          </w:p>
          <w:p w14:paraId="096986B4">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理解糖皮质激素类药物的分类、分泌调节、用法、疗程及合理应用原则。甲状腺激素、β受体阻断药的药理作用及临床应用。</w:t>
            </w:r>
          </w:p>
          <w:p w14:paraId="5F10870C">
            <w:pPr>
              <w:snapToGrid w:val="0"/>
              <w:spacing w:line="288" w:lineRule="auto"/>
              <w:rPr>
                <w:sz w:val="21"/>
                <w:szCs w:val="21"/>
              </w:rPr>
            </w:pPr>
            <w:r>
              <w:rPr>
                <w:rFonts w:hint="eastAsia"/>
                <w:bCs/>
                <w:color w:val="000000"/>
                <w:sz w:val="21"/>
                <w:szCs w:val="21"/>
              </w:rPr>
              <w:t>③</w:t>
            </w:r>
            <w:r>
              <w:rPr>
                <w:rFonts w:hint="eastAsia" w:cs="仿宋"/>
                <w:sz w:val="21"/>
                <w:szCs w:val="21"/>
              </w:rPr>
              <w:t>了解糖皮质激素类药物的体内过程、盐皮质激素类药物及促皮质激素类药物的作用及临床应用。甲状腺激素的合成、释放与调节，放射性碘的作用特点及临床应用。</w:t>
            </w:r>
          </w:p>
          <w:p w14:paraId="7DEE679E">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818F848">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学会观察肾上腺皮质激素类药、甲状腺激素类药与抗甲状腺药的疗效及不良反应。</w:t>
            </w:r>
          </w:p>
          <w:p w14:paraId="0A83BD97">
            <w:pPr>
              <w:snapToGrid w:val="0"/>
              <w:spacing w:line="288" w:lineRule="auto"/>
              <w:rPr>
                <w:sz w:val="21"/>
                <w:szCs w:val="21"/>
              </w:rPr>
            </w:pPr>
            <w:r>
              <w:rPr>
                <w:rFonts w:hint="eastAsia"/>
                <w:bCs/>
                <w:color w:val="000000"/>
                <w:sz w:val="21"/>
                <w:szCs w:val="21"/>
              </w:rPr>
              <w:t>②</w:t>
            </w:r>
            <w:r>
              <w:rPr>
                <w:rFonts w:hint="eastAsia" w:cs="仿宋"/>
                <w:sz w:val="21"/>
                <w:szCs w:val="21"/>
              </w:rPr>
              <w:t>具有指导患者正确使用肾上腺皮质激素类药、甲状腺激素类药与抗甲状腺药的能力。</w:t>
            </w:r>
          </w:p>
          <w:p w14:paraId="212EF2AA">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C91E4CF">
            <w:pPr>
              <w:widowControl w:val="0"/>
              <w:snapToGrid w:val="0"/>
              <w:spacing w:line="288" w:lineRule="auto"/>
              <w:rPr>
                <w:rFonts w:hint="eastAsia"/>
                <w:color w:val="000000"/>
                <w:sz w:val="21"/>
                <w:szCs w:val="21"/>
              </w:rPr>
            </w:pPr>
            <w:r>
              <w:rPr>
                <w:rFonts w:hint="eastAsia"/>
                <w:color w:val="000000"/>
                <w:sz w:val="21"/>
                <w:szCs w:val="21"/>
              </w:rPr>
              <w:t>使学生认识到</w:t>
            </w:r>
            <w:r>
              <w:rPr>
                <w:rFonts w:hint="eastAsia"/>
                <w:sz w:val="21"/>
                <w:szCs w:val="21"/>
              </w:rPr>
              <w:t>药理学</w:t>
            </w:r>
            <w:r>
              <w:rPr>
                <w:rFonts w:hint="eastAsia"/>
                <w:color w:val="000000"/>
                <w:sz w:val="21"/>
                <w:szCs w:val="21"/>
              </w:rPr>
              <w:t>的重要性，学会主动学习与知识转化。</w:t>
            </w:r>
          </w:p>
          <w:p w14:paraId="4F39BFD3">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785A3EE8">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糖皮质激素类药物的药理作用、临床应用、不良反应及禁忌证。</w:t>
            </w:r>
          </w:p>
          <w:p w14:paraId="4CD8684C">
            <w:pPr>
              <w:snapToGrid w:val="0"/>
              <w:spacing w:line="288" w:lineRule="auto"/>
              <w:rPr>
                <w:sz w:val="21"/>
                <w:szCs w:val="21"/>
              </w:rPr>
            </w:pPr>
            <w:r>
              <w:rPr>
                <w:rFonts w:hint="eastAsia"/>
                <w:bCs/>
                <w:color w:val="000000"/>
                <w:sz w:val="21"/>
                <w:szCs w:val="21"/>
              </w:rPr>
              <w:t>②</w:t>
            </w:r>
            <w:r>
              <w:rPr>
                <w:rFonts w:hint="eastAsia" w:cs="仿宋"/>
                <w:sz w:val="21"/>
                <w:szCs w:val="21"/>
              </w:rPr>
              <w:t>硫脲类、碘及碘化物的药理作用、临床应用及不良反应。</w:t>
            </w:r>
          </w:p>
        </w:tc>
      </w:tr>
      <w:tr w14:paraId="7983AA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156FC5DB">
            <w:pPr>
              <w:snapToGrid w:val="0"/>
              <w:spacing w:line="288" w:lineRule="auto"/>
              <w:rPr>
                <w:rFonts w:hint="eastAsia" w:cs="仿宋"/>
                <w:sz w:val="21"/>
                <w:szCs w:val="21"/>
              </w:rPr>
            </w:pPr>
            <w:r>
              <w:rPr>
                <w:rFonts w:hint="eastAsia"/>
                <w:bCs/>
                <w:sz w:val="21"/>
                <w:szCs w:val="21"/>
              </w:rPr>
              <w:t>第十三单元</w:t>
            </w:r>
            <w:r>
              <w:rPr>
                <w:rFonts w:hint="eastAsia" w:cs="仿宋"/>
                <w:sz w:val="21"/>
                <w:szCs w:val="21"/>
              </w:rPr>
              <w:t>胰岛素和口服降血糖药、性激素类药及避孕药、抗骨质疏松症药</w:t>
            </w:r>
          </w:p>
          <w:p w14:paraId="1E402162">
            <w:pPr>
              <w:snapToGrid w:val="0"/>
              <w:spacing w:line="288" w:lineRule="auto"/>
              <w:rPr>
                <w:rFonts w:cs="仿宋"/>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F96FF1C">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知道胰岛素的药理作用、临床应用及不良反应。避孕药的药理作用、临床应用、不良反应及注意事项。双磷酸盐、雌激素的药理作用、临床应用及不良反应。</w:t>
            </w:r>
          </w:p>
          <w:p w14:paraId="05A5B1A8">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理解磺酰脲类和双胍类降糖药的药理作用、临床应用及不良反应。性激素类药物的药理作用、不良反应及注意事项。抗骨质疏松症药的分类，降钙素、钙剂、维生素D的作用及临床应用。</w:t>
            </w:r>
          </w:p>
          <w:p w14:paraId="6B9DB907">
            <w:pPr>
              <w:snapToGrid w:val="0"/>
              <w:spacing w:line="288" w:lineRule="auto"/>
              <w:rPr>
                <w:sz w:val="21"/>
                <w:szCs w:val="21"/>
              </w:rPr>
            </w:pPr>
            <w:r>
              <w:rPr>
                <w:rFonts w:hint="eastAsia"/>
                <w:bCs/>
                <w:color w:val="000000"/>
                <w:sz w:val="21"/>
                <w:szCs w:val="21"/>
              </w:rPr>
              <w:t>③</w:t>
            </w:r>
            <w:r>
              <w:rPr>
                <w:rFonts w:hint="eastAsia" w:cs="仿宋"/>
                <w:sz w:val="21"/>
                <w:szCs w:val="21"/>
              </w:rPr>
              <w:t>了解口服降糖药的分类，胰岛素增敏药、α-葡萄糖苷酶抑制剂、促胰岛素分泌药的作用特点及临床应用。抗性激素类药、促性腺激素类药的临床应用特点。其他抗骨质疏松症药的作用特点及临床应用。</w:t>
            </w:r>
          </w:p>
          <w:p w14:paraId="59520B69">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159448B">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学会观察胰岛素、口服降血糖药、性激素类、避孕药、抗骨质疏松症药的疗效及不良反应。</w:t>
            </w:r>
          </w:p>
          <w:p w14:paraId="3B0444F0">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具有指导患者正确使用胰岛素及口服降血糖药的能力。</w:t>
            </w:r>
          </w:p>
          <w:p w14:paraId="0545B9AE">
            <w:pPr>
              <w:snapToGrid w:val="0"/>
              <w:spacing w:line="288" w:lineRule="auto"/>
              <w:rPr>
                <w:rFonts w:hint="eastAsia" w:cs="仿宋"/>
                <w:sz w:val="21"/>
                <w:szCs w:val="21"/>
              </w:rPr>
            </w:pPr>
            <w:r>
              <w:rPr>
                <w:rFonts w:hint="eastAsia"/>
                <w:bCs/>
                <w:color w:val="000000"/>
                <w:sz w:val="21"/>
                <w:szCs w:val="21"/>
              </w:rPr>
              <w:t>③</w:t>
            </w:r>
            <w:r>
              <w:rPr>
                <w:rFonts w:hint="eastAsia" w:cs="仿宋"/>
                <w:sz w:val="21"/>
                <w:szCs w:val="21"/>
              </w:rPr>
              <w:t>具有根据适应证指导合理选择药物及防治不良反应的能力。</w:t>
            </w:r>
          </w:p>
          <w:p w14:paraId="7A44D63B">
            <w:pPr>
              <w:snapToGrid w:val="0"/>
              <w:spacing w:line="288" w:lineRule="auto"/>
              <w:rPr>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具有指导患者正确使用抗骨质疏松症药的能力</w:t>
            </w:r>
          </w:p>
          <w:p w14:paraId="5C73BBCD">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A2F95E7">
            <w:pPr>
              <w:widowControl w:val="0"/>
              <w:snapToGrid w:val="0"/>
              <w:spacing w:line="288" w:lineRule="auto"/>
              <w:rPr>
                <w:color w:val="000000"/>
                <w:sz w:val="21"/>
                <w:szCs w:val="21"/>
              </w:rPr>
            </w:pPr>
            <w:r>
              <w:rPr>
                <w:rFonts w:hint="eastAsia"/>
                <w:sz w:val="21"/>
                <w:szCs w:val="21"/>
              </w:rPr>
              <w:t>通过学习本章</w:t>
            </w:r>
            <w:r>
              <w:rPr>
                <w:rFonts w:hint="eastAsia"/>
                <w:bCs/>
                <w:sz w:val="21"/>
                <w:szCs w:val="21"/>
              </w:rPr>
              <w:t>,</w:t>
            </w:r>
            <w:r>
              <w:rPr>
                <w:rFonts w:hint="eastAsia"/>
                <w:sz w:val="21"/>
                <w:szCs w:val="21"/>
              </w:rPr>
              <w:t>充分认识到药理学知识的重要性，从而能进行主动、积极的学习，增强尊重科学</w:t>
            </w:r>
            <w:r>
              <w:rPr>
                <w:sz w:val="21"/>
                <w:szCs w:val="21"/>
              </w:rPr>
              <w:t>，</w:t>
            </w:r>
            <w:r>
              <w:rPr>
                <w:rFonts w:hint="eastAsia"/>
                <w:sz w:val="21"/>
                <w:szCs w:val="21"/>
              </w:rPr>
              <w:t>珍惜健康</w:t>
            </w:r>
            <w:r>
              <w:rPr>
                <w:sz w:val="21"/>
                <w:szCs w:val="21"/>
              </w:rPr>
              <w:t>，</w:t>
            </w:r>
            <w:r>
              <w:rPr>
                <w:rFonts w:hint="eastAsia"/>
                <w:sz w:val="21"/>
                <w:szCs w:val="21"/>
              </w:rPr>
              <w:t>救死扶伤的坚定信念。</w:t>
            </w:r>
          </w:p>
          <w:p w14:paraId="748D3F98">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9613B5A">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胰岛素的药理作用、临床应用及不良反应。</w:t>
            </w:r>
          </w:p>
          <w:p w14:paraId="524E5BFE">
            <w:pPr>
              <w:snapToGrid w:val="0"/>
              <w:spacing w:line="288" w:lineRule="auto"/>
              <w:rPr>
                <w:rFonts w:hint="eastAsia"/>
                <w:sz w:val="21"/>
                <w:szCs w:val="21"/>
              </w:rPr>
            </w:pPr>
            <w:r>
              <w:rPr>
                <w:rFonts w:hint="eastAsia"/>
                <w:bCs/>
                <w:color w:val="000000"/>
                <w:sz w:val="21"/>
                <w:szCs w:val="21"/>
              </w:rPr>
              <w:t>②</w:t>
            </w:r>
            <w:r>
              <w:rPr>
                <w:rFonts w:hint="eastAsia" w:cs="仿宋"/>
                <w:sz w:val="21"/>
                <w:szCs w:val="21"/>
              </w:rPr>
              <w:t>避孕药的药理作用、临床应用、不良反应及注意事项。</w:t>
            </w:r>
          </w:p>
        </w:tc>
      </w:tr>
      <w:tr w14:paraId="744E27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075A1EF8">
            <w:pPr>
              <w:snapToGrid w:val="0"/>
              <w:spacing w:line="288" w:lineRule="auto"/>
              <w:rPr>
                <w:rFonts w:hint="eastAsia" w:cs="仿宋"/>
                <w:sz w:val="21"/>
                <w:szCs w:val="21"/>
              </w:rPr>
            </w:pPr>
            <w:r>
              <w:rPr>
                <w:rFonts w:hint="eastAsia"/>
                <w:bCs/>
                <w:sz w:val="21"/>
                <w:szCs w:val="21"/>
              </w:rPr>
              <w:t>第十四单元</w:t>
            </w:r>
            <w:r>
              <w:rPr>
                <w:rFonts w:hint="eastAsia" w:cs="仿宋"/>
                <w:sz w:val="21"/>
                <w:szCs w:val="21"/>
              </w:rPr>
              <w:t>抗菌药概述、抗生素</w:t>
            </w:r>
          </w:p>
          <w:p w14:paraId="587D3BA6">
            <w:pPr>
              <w:snapToGrid w:val="0"/>
              <w:spacing w:line="288" w:lineRule="auto"/>
              <w:rPr>
                <w:rFonts w:cs="仿宋"/>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4E04E46">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抗生素、抗菌谱、抗菌活性、化疗指数、抗菌药、抗生素后效应、耐药性等基本概念；抗菌药物、病原体、机体三者间的相互关系及临床意义。青霉素类、大环内酯类、氨基糖苷类抗生素的抗菌作用、临床应用及不良反应；头孢菌素类药物的抗菌作用规律、临床应用及不良反应。</w:t>
            </w:r>
          </w:p>
          <w:p w14:paraId="26C57B07">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理解抗菌药物的合理应用原则，细菌耐药性的预防措施。四环素类、氯霉素类抗生素的抗菌作用、临床应用及不良反应。</w:t>
            </w:r>
          </w:p>
          <w:p w14:paraId="0F3C6526">
            <w:pPr>
              <w:snapToGrid w:val="0"/>
              <w:spacing w:line="288" w:lineRule="auto"/>
              <w:rPr>
                <w:sz w:val="21"/>
                <w:szCs w:val="21"/>
              </w:rPr>
            </w:pPr>
            <w:r>
              <w:rPr>
                <w:rFonts w:hint="eastAsia"/>
                <w:bCs/>
                <w:color w:val="000000"/>
                <w:sz w:val="21"/>
                <w:szCs w:val="21"/>
              </w:rPr>
              <w:t>③</w:t>
            </w:r>
            <w:r>
              <w:rPr>
                <w:rFonts w:hint="eastAsia" w:cs="仿宋"/>
                <w:sz w:val="21"/>
                <w:szCs w:val="21"/>
              </w:rPr>
              <w:t>了解抗菌药物的作用机制、耐药性的产生机制。其他β-内酰胺类、林可霉素类、万古霉素类抗生素的抗菌作用特点、临床应用及不良反应。</w:t>
            </w:r>
          </w:p>
          <w:p w14:paraId="25A99683">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0C26FCBC">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具有观察抗菌药物作用及判断不良反应的能力。</w:t>
            </w:r>
          </w:p>
          <w:p w14:paraId="7025EA78">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树立合理使用抗菌药物的概念，能够指导正确选用抗菌药物。</w:t>
            </w:r>
          </w:p>
          <w:p w14:paraId="22C8EBC1">
            <w:pPr>
              <w:snapToGrid w:val="0"/>
              <w:spacing w:line="288" w:lineRule="auto"/>
              <w:rPr>
                <w:rFonts w:hint="eastAsia" w:cs="仿宋"/>
                <w:sz w:val="21"/>
                <w:szCs w:val="21"/>
              </w:rPr>
            </w:pPr>
            <w:r>
              <w:rPr>
                <w:rFonts w:hint="eastAsia"/>
                <w:bCs/>
                <w:color w:val="000000"/>
                <w:sz w:val="21"/>
                <w:szCs w:val="21"/>
              </w:rPr>
              <w:t>③</w:t>
            </w:r>
            <w:r>
              <w:rPr>
                <w:rFonts w:hint="eastAsia" w:cs="仿宋"/>
                <w:sz w:val="21"/>
                <w:szCs w:val="21"/>
              </w:rPr>
              <w:t>具有根据适应证合理指导选择抗生素及防治不良反应的能力。</w:t>
            </w:r>
          </w:p>
          <w:p w14:paraId="23D97A59">
            <w:pPr>
              <w:snapToGrid w:val="0"/>
              <w:spacing w:line="288" w:lineRule="auto"/>
              <w:rPr>
                <w:sz w:val="21"/>
                <w:szCs w:val="21"/>
              </w:rPr>
            </w:pPr>
            <w:r>
              <w:rPr>
                <w:color w:val="000000"/>
                <w:sz w:val="21"/>
                <w:szCs w:val="21"/>
              </w:rPr>
              <w:fldChar w:fldCharType="begin"/>
            </w:r>
            <w:r>
              <w:rPr>
                <w:color w:val="000000"/>
                <w:sz w:val="21"/>
                <w:szCs w:val="21"/>
              </w:rPr>
              <w:instrText xml:space="preserve"> </w:instrText>
            </w:r>
            <w:r>
              <w:rPr>
                <w:rFonts w:hint="eastAsia"/>
                <w:color w:val="000000"/>
                <w:sz w:val="21"/>
                <w:szCs w:val="21"/>
              </w:rPr>
              <w:instrText xml:space="preserve">= 4 \* GB3</w:instrText>
            </w:r>
            <w:r>
              <w:rPr>
                <w:color w:val="000000"/>
                <w:sz w:val="21"/>
                <w:szCs w:val="21"/>
              </w:rPr>
              <w:instrText xml:space="preserve"> </w:instrText>
            </w:r>
            <w:r>
              <w:rPr>
                <w:color w:val="000000"/>
                <w:sz w:val="21"/>
                <w:szCs w:val="21"/>
              </w:rPr>
              <w:fldChar w:fldCharType="separate"/>
            </w:r>
            <w:r>
              <w:rPr>
                <w:rFonts w:hint="eastAsia"/>
                <w:color w:val="000000"/>
                <w:sz w:val="21"/>
                <w:szCs w:val="21"/>
              </w:rPr>
              <w:t>④</w:t>
            </w:r>
            <w:r>
              <w:rPr>
                <w:color w:val="000000"/>
                <w:sz w:val="21"/>
                <w:szCs w:val="21"/>
              </w:rPr>
              <w:fldChar w:fldCharType="end"/>
            </w:r>
            <w:r>
              <w:rPr>
                <w:rFonts w:hint="eastAsia" w:cs="仿宋"/>
                <w:sz w:val="21"/>
                <w:szCs w:val="21"/>
              </w:rPr>
              <w:t>充分认识各类抗生素药理作用和不良反应，能够指导患者合理使用药物，避免</w:t>
            </w:r>
          </w:p>
          <w:p w14:paraId="2974B2D5">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7EB726EF">
            <w:pPr>
              <w:widowControl w:val="0"/>
              <w:snapToGrid w:val="0"/>
              <w:spacing w:line="288" w:lineRule="auto"/>
              <w:rPr>
                <w:rFonts w:hint="eastAsia"/>
                <w:color w:val="000000"/>
                <w:sz w:val="21"/>
                <w:szCs w:val="21"/>
              </w:rPr>
            </w:pPr>
            <w:r>
              <w:rPr>
                <w:rFonts w:hint="eastAsia"/>
                <w:color w:val="000000"/>
                <w:sz w:val="21"/>
                <w:szCs w:val="21"/>
              </w:rPr>
              <w:t>使学生认识到</w:t>
            </w:r>
            <w:r>
              <w:rPr>
                <w:rFonts w:hint="eastAsia"/>
                <w:sz w:val="21"/>
                <w:szCs w:val="21"/>
              </w:rPr>
              <w:t>药理学</w:t>
            </w:r>
            <w:r>
              <w:rPr>
                <w:rFonts w:hint="eastAsia"/>
                <w:color w:val="000000"/>
                <w:sz w:val="21"/>
                <w:szCs w:val="21"/>
              </w:rPr>
              <w:t>的重要性，学会主动学习与知识转化。</w:t>
            </w:r>
          </w:p>
          <w:p w14:paraId="536C4AEF">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B2BF7EB">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抗生素、抗菌谱、抗菌活性、化疗指数、抗菌药、抗生素后效应、耐药性等基本概念；</w:t>
            </w:r>
          </w:p>
          <w:p w14:paraId="60E6AEB3">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抗菌药物、病原体、机体三者间的相互关系及临床意义。</w:t>
            </w:r>
          </w:p>
          <w:p w14:paraId="6B2187D5">
            <w:pPr>
              <w:snapToGrid w:val="0"/>
              <w:spacing w:line="288" w:lineRule="auto"/>
              <w:rPr>
                <w:rFonts w:hint="eastAsia"/>
                <w:sz w:val="21"/>
                <w:szCs w:val="21"/>
              </w:rPr>
            </w:pPr>
            <w:r>
              <w:rPr>
                <w:rFonts w:hint="eastAsia"/>
                <w:bCs/>
                <w:color w:val="000000"/>
                <w:sz w:val="21"/>
                <w:szCs w:val="21"/>
              </w:rPr>
              <w:t>③</w:t>
            </w:r>
            <w:r>
              <w:rPr>
                <w:rFonts w:hint="eastAsia" w:cs="仿宋"/>
                <w:sz w:val="21"/>
                <w:szCs w:val="21"/>
              </w:rPr>
              <w:t>青霉素类、大环内酯类、氨基糖苷类、头孢菌素类抗生素的抗菌作用、临床应用及不良反应。</w:t>
            </w:r>
          </w:p>
        </w:tc>
      </w:tr>
      <w:tr w14:paraId="505493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37051490">
            <w:pPr>
              <w:snapToGrid w:val="0"/>
              <w:spacing w:line="288" w:lineRule="auto"/>
              <w:rPr>
                <w:rFonts w:hint="eastAsia" w:cs="仿宋"/>
                <w:sz w:val="21"/>
                <w:szCs w:val="21"/>
              </w:rPr>
            </w:pPr>
            <w:r>
              <w:rPr>
                <w:rFonts w:hint="eastAsia"/>
                <w:bCs/>
                <w:sz w:val="21"/>
                <w:szCs w:val="21"/>
              </w:rPr>
              <w:t xml:space="preserve">第十五单元 </w:t>
            </w:r>
            <w:r>
              <w:rPr>
                <w:rFonts w:hint="eastAsia" w:cs="仿宋"/>
                <w:sz w:val="21"/>
                <w:szCs w:val="21"/>
              </w:rPr>
              <w:t>人工合成抗菌药、抗结核病药</w:t>
            </w:r>
            <w:r>
              <w:rPr>
                <w:rFonts w:hint="eastAsia"/>
                <w:sz w:val="21"/>
                <w:szCs w:val="21"/>
              </w:rPr>
              <w:t xml:space="preserve">  </w:t>
            </w:r>
          </w:p>
          <w:p w14:paraId="004A6A3E">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4B3EADA8">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知道氟喹诺酮类药、磺胺类药的抗菌谱、临床应用及不良反应。一线抗结核病药的抗菌作用、临床应用及不良反应。</w:t>
            </w:r>
          </w:p>
          <w:p w14:paraId="425C70B7">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理解氟喹诺酮类药、磺胺类药的抗菌机制及甲氧苄啶的抗菌增效作用。抗结核病药的用药原则。</w:t>
            </w:r>
          </w:p>
          <w:p w14:paraId="0BA78BDE">
            <w:pPr>
              <w:snapToGrid w:val="0"/>
              <w:spacing w:line="288" w:lineRule="auto"/>
              <w:rPr>
                <w:sz w:val="21"/>
                <w:szCs w:val="21"/>
              </w:rPr>
            </w:pPr>
            <w:r>
              <w:rPr>
                <w:rFonts w:hint="eastAsia"/>
                <w:bCs/>
                <w:color w:val="000000"/>
                <w:sz w:val="21"/>
                <w:szCs w:val="21"/>
              </w:rPr>
              <w:t>③</w:t>
            </w:r>
            <w:r>
              <w:rPr>
                <w:rFonts w:hint="eastAsia" w:cs="仿宋"/>
                <w:sz w:val="21"/>
                <w:szCs w:val="21"/>
              </w:rPr>
              <w:t>了解硝基呋喃、甲硝唑和小檗碱的临床应用。对氨基水杨酸等二线抗结核病药的作用特点及临床应用。</w:t>
            </w:r>
          </w:p>
          <w:p w14:paraId="5F31B3DF">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D9D9F48">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学会观察氟喹诺酮类药和磺胺类药的疗效及不良反应。</w:t>
            </w:r>
          </w:p>
          <w:p w14:paraId="46D6E4BB">
            <w:pPr>
              <w:snapToGrid w:val="0"/>
              <w:spacing w:line="288" w:lineRule="auto"/>
              <w:rPr>
                <w:sz w:val="21"/>
                <w:szCs w:val="21"/>
              </w:rPr>
            </w:pPr>
            <w:r>
              <w:rPr>
                <w:rFonts w:hint="eastAsia"/>
                <w:bCs/>
                <w:color w:val="000000"/>
                <w:sz w:val="21"/>
                <w:szCs w:val="21"/>
              </w:rPr>
              <w:t>②</w:t>
            </w:r>
            <w:r>
              <w:rPr>
                <w:rFonts w:hint="eastAsia" w:cs="仿宋"/>
                <w:sz w:val="21"/>
                <w:szCs w:val="21"/>
              </w:rPr>
              <w:t>具有指导合理选用氟喹诺酮类药、磺胺类药和抗结核病的能力。</w:t>
            </w:r>
          </w:p>
          <w:p w14:paraId="1BB72DD0">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88EDA72">
            <w:pPr>
              <w:widowControl w:val="0"/>
              <w:snapToGrid w:val="0"/>
              <w:spacing w:line="288" w:lineRule="auto"/>
              <w:rPr>
                <w:rFonts w:hint="eastAsia"/>
                <w:color w:val="000000"/>
                <w:sz w:val="21"/>
                <w:szCs w:val="21"/>
              </w:rPr>
            </w:pPr>
            <w:r>
              <w:rPr>
                <w:rFonts w:hint="eastAsia"/>
                <w:color w:val="000000"/>
                <w:sz w:val="21"/>
                <w:szCs w:val="21"/>
              </w:rPr>
              <w:t>使学生认识到</w:t>
            </w:r>
            <w:r>
              <w:rPr>
                <w:rFonts w:hint="eastAsia"/>
                <w:sz w:val="21"/>
                <w:szCs w:val="21"/>
              </w:rPr>
              <w:t>药理学</w:t>
            </w:r>
            <w:r>
              <w:rPr>
                <w:rFonts w:hint="eastAsia"/>
                <w:color w:val="000000"/>
                <w:sz w:val="21"/>
                <w:szCs w:val="21"/>
              </w:rPr>
              <w:t>的重要性，学会主动学习与知识转化。</w:t>
            </w:r>
          </w:p>
          <w:p w14:paraId="62862E9C">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41BD03CA">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氟喹诺酮类药、磺胺类药的抗菌谱、临床应用及不良反应。</w:t>
            </w:r>
          </w:p>
          <w:p w14:paraId="61C577A8">
            <w:pPr>
              <w:snapToGrid w:val="0"/>
              <w:spacing w:line="288" w:lineRule="auto"/>
              <w:rPr>
                <w:rFonts w:hint="eastAsia"/>
                <w:sz w:val="21"/>
                <w:szCs w:val="21"/>
              </w:rPr>
            </w:pPr>
            <w:r>
              <w:rPr>
                <w:rFonts w:hint="eastAsia"/>
                <w:bCs/>
                <w:color w:val="000000"/>
                <w:sz w:val="21"/>
                <w:szCs w:val="21"/>
              </w:rPr>
              <w:t>②</w:t>
            </w:r>
            <w:r>
              <w:rPr>
                <w:rFonts w:hint="eastAsia" w:cs="仿宋"/>
                <w:sz w:val="21"/>
                <w:szCs w:val="21"/>
              </w:rPr>
              <w:t>一线抗结核病药的抗菌作用、临床应用及不良反应。</w:t>
            </w:r>
          </w:p>
        </w:tc>
      </w:tr>
      <w:tr w14:paraId="133D6B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571A8765">
            <w:pPr>
              <w:snapToGrid w:val="0"/>
              <w:spacing w:line="288" w:lineRule="auto"/>
              <w:ind w:left="1155" w:hanging="1155" w:hangingChars="550"/>
              <w:rPr>
                <w:rFonts w:hint="eastAsia" w:cs="仿宋"/>
                <w:sz w:val="21"/>
                <w:szCs w:val="21"/>
              </w:rPr>
            </w:pPr>
            <w:r>
              <w:rPr>
                <w:rFonts w:hint="eastAsia"/>
                <w:bCs/>
                <w:sz w:val="21"/>
                <w:szCs w:val="21"/>
              </w:rPr>
              <w:t xml:space="preserve">第十六单元 </w:t>
            </w:r>
            <w:r>
              <w:rPr>
                <w:rFonts w:hint="eastAsia" w:cs="仿宋"/>
                <w:sz w:val="21"/>
                <w:szCs w:val="21"/>
              </w:rPr>
              <w:t>抗真菌药及抗病毒药、抗寄生虫药、抗恶性肿瘤药 、影响免疫功能的药物</w:t>
            </w:r>
          </w:p>
          <w:p w14:paraId="08FC0FD7">
            <w:pPr>
              <w:widowControl w:val="0"/>
              <w:snapToGrid w:val="0"/>
              <w:spacing w:line="288" w:lineRule="auto"/>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1169B2F3">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知道两性霉素B、氟康唑、特比奈芬的抗真菌作用、临床应用及不良反应。常用抗恶性肿瘤药的药理作用及临床应用。</w:t>
            </w:r>
          </w:p>
          <w:p w14:paraId="59343A17">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理解阿昔洛韦、利巴韦林、干扰素的抗病毒作用、临床应用及不良反应。氯喹、伯氨喹、乙胺嘧啶的抗疟作用特点、临床应用及不良反应；甲硝唑的药理作用、临床应用及不良反应。抗恶性肿瘤药的主要不良反应。免疫抑制药的共同特点；常用免疫抑制药环孢素、抗代谢药及烷化剂的药理作用、临床应用及主要不良反应。</w:t>
            </w:r>
          </w:p>
          <w:p w14:paraId="2FF76C0F">
            <w:pPr>
              <w:snapToGrid w:val="0"/>
              <w:spacing w:line="288" w:lineRule="auto"/>
              <w:rPr>
                <w:rFonts w:hint="eastAsia"/>
                <w:sz w:val="21"/>
                <w:szCs w:val="21"/>
              </w:rPr>
            </w:pPr>
            <w:r>
              <w:rPr>
                <w:rFonts w:hint="eastAsia"/>
                <w:bCs/>
                <w:color w:val="000000"/>
                <w:sz w:val="21"/>
                <w:szCs w:val="21"/>
              </w:rPr>
              <w:t>③</w:t>
            </w:r>
            <w:r>
              <w:rPr>
                <w:rFonts w:hint="eastAsia" w:cs="仿宋"/>
                <w:sz w:val="21"/>
                <w:szCs w:val="21"/>
              </w:rPr>
              <w:t>了解抗真菌药、抗病毒药的分类；抗疟药的作用环节和分类；青蒿素的作用特点及临床应用；抗肠蠕虫药的作用及临床应用。抗恶性肿瘤药的作用机制，抗恶性肿瘤药的合理应用。常用免疫增强药如左旋咪唑、转移因子、胸腺素、白介素-2及干扰素等的药理作用、临床应用及不良反应。</w:t>
            </w:r>
          </w:p>
          <w:p w14:paraId="5F35B1C2">
            <w:pPr>
              <w:widowControl w:val="0"/>
              <w:snapToGrid w:val="0"/>
              <w:spacing w:line="288" w:lineRule="auto"/>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CFEC0FD">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学会观察抗真菌药、抗病毒药、抗寄生虫药、恶性肿瘤药、免疫功能药物的疗效及不良反应。</w:t>
            </w:r>
          </w:p>
          <w:p w14:paraId="7010151E">
            <w:pPr>
              <w:snapToGrid w:val="0"/>
              <w:spacing w:line="288" w:lineRule="auto"/>
              <w:rPr>
                <w:rFonts w:hint="eastAsia" w:cs="仿宋"/>
                <w:sz w:val="21"/>
                <w:szCs w:val="21"/>
              </w:rPr>
            </w:pPr>
            <w:r>
              <w:rPr>
                <w:rFonts w:hint="eastAsia"/>
                <w:bCs/>
                <w:color w:val="000000"/>
                <w:sz w:val="21"/>
                <w:szCs w:val="21"/>
              </w:rPr>
              <w:t>②</w:t>
            </w:r>
            <w:r>
              <w:rPr>
                <w:rFonts w:hint="eastAsia" w:cs="仿宋"/>
                <w:sz w:val="21"/>
                <w:szCs w:val="21"/>
              </w:rPr>
              <w:t>能与患者有效沟通，具有指导合理选用抗真菌药、抗病毒药、抗恶性肿瘤药的能力。</w:t>
            </w:r>
          </w:p>
          <w:p w14:paraId="39234313">
            <w:pPr>
              <w:snapToGrid w:val="0"/>
              <w:spacing w:line="288" w:lineRule="auto"/>
              <w:rPr>
                <w:rFonts w:hint="eastAsia"/>
                <w:sz w:val="21"/>
                <w:szCs w:val="21"/>
              </w:rPr>
            </w:pPr>
            <w:r>
              <w:rPr>
                <w:rFonts w:hint="eastAsia"/>
                <w:bCs/>
                <w:color w:val="000000"/>
                <w:sz w:val="21"/>
                <w:szCs w:val="21"/>
              </w:rPr>
              <w:t>③</w:t>
            </w:r>
            <w:r>
              <w:rPr>
                <w:rFonts w:hint="eastAsia" w:cs="仿宋"/>
                <w:sz w:val="21"/>
                <w:szCs w:val="21"/>
              </w:rPr>
              <w:t>能正确认知影响免疫功能药物的利弊，并能指导患者合理用药的能力。</w:t>
            </w:r>
          </w:p>
          <w:p w14:paraId="074DBAD3">
            <w:pPr>
              <w:widowControl w:val="0"/>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B1987E1">
            <w:pPr>
              <w:widowControl w:val="0"/>
              <w:snapToGrid w:val="0"/>
              <w:spacing w:line="288" w:lineRule="auto"/>
              <w:rPr>
                <w:rFonts w:hint="eastAsia"/>
                <w:sz w:val="21"/>
                <w:szCs w:val="21"/>
              </w:rPr>
            </w:pPr>
            <w:r>
              <w:rPr>
                <w:rFonts w:hint="eastAsia"/>
                <w:color w:val="000000"/>
                <w:sz w:val="21"/>
                <w:szCs w:val="21"/>
              </w:rPr>
              <w:t>使学生认识到</w:t>
            </w:r>
            <w:r>
              <w:rPr>
                <w:rFonts w:hint="eastAsia"/>
                <w:sz w:val="21"/>
                <w:szCs w:val="21"/>
              </w:rPr>
              <w:t>药理学的</w:t>
            </w:r>
            <w:r>
              <w:rPr>
                <w:rFonts w:hint="eastAsia"/>
                <w:color w:val="000000"/>
                <w:sz w:val="21"/>
                <w:szCs w:val="21"/>
              </w:rPr>
              <w:t>重要性，学会主动学习与知识转化。</w:t>
            </w:r>
          </w:p>
          <w:p w14:paraId="28316E28">
            <w:pPr>
              <w:widowControl w:val="0"/>
              <w:snapToGrid w:val="0"/>
              <w:spacing w:line="288" w:lineRule="auto"/>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312A2321">
            <w:pPr>
              <w:snapToGrid w:val="0"/>
              <w:spacing w:line="288" w:lineRule="auto"/>
              <w:rPr>
                <w:rFonts w:hint="eastAsia" w:cs="仿宋"/>
                <w:sz w:val="21"/>
                <w:szCs w:val="21"/>
              </w:rPr>
            </w:pPr>
            <w:r>
              <w:rPr>
                <w:rFonts w:hint="eastAsia"/>
                <w:bCs/>
                <w:color w:val="000000"/>
                <w:sz w:val="21"/>
                <w:szCs w:val="21"/>
              </w:rPr>
              <w:t>①</w:t>
            </w:r>
            <w:r>
              <w:rPr>
                <w:rFonts w:hint="eastAsia" w:cs="仿宋"/>
                <w:sz w:val="21"/>
                <w:szCs w:val="21"/>
              </w:rPr>
              <w:t>两性霉素B、氟康唑、特比奈芬的抗真菌作用、临床应用及不良反应。</w:t>
            </w:r>
          </w:p>
          <w:p w14:paraId="169ABA7C">
            <w:pPr>
              <w:snapToGrid w:val="0"/>
              <w:spacing w:line="288" w:lineRule="auto"/>
              <w:rPr>
                <w:rFonts w:hint="eastAsia" w:cs="仿宋"/>
                <w:sz w:val="21"/>
                <w:szCs w:val="21"/>
              </w:rPr>
            </w:pPr>
            <w:r>
              <w:rPr>
                <w:rFonts w:hint="eastAsia"/>
                <w:sz w:val="21"/>
                <w:szCs w:val="21"/>
              </w:rPr>
              <w:t>②</w:t>
            </w:r>
            <w:r>
              <w:rPr>
                <w:rFonts w:hint="eastAsia" w:cs="仿宋"/>
                <w:sz w:val="21"/>
                <w:szCs w:val="21"/>
              </w:rPr>
              <w:t>常用抗恶性肿瘤药的药理作用及临床应用。</w:t>
            </w:r>
          </w:p>
          <w:p w14:paraId="07684F61">
            <w:pPr>
              <w:snapToGrid w:val="0"/>
              <w:spacing w:line="288" w:lineRule="auto"/>
              <w:rPr>
                <w:rFonts w:hint="eastAsia"/>
                <w:sz w:val="21"/>
                <w:szCs w:val="21"/>
              </w:rPr>
            </w:pPr>
            <w:r>
              <w:rPr>
                <w:rFonts w:hint="eastAsia"/>
                <w:sz w:val="21"/>
                <w:szCs w:val="21"/>
              </w:rPr>
              <w:t>③</w:t>
            </w:r>
            <w:r>
              <w:rPr>
                <w:rFonts w:hint="eastAsia" w:cs="仿宋"/>
                <w:sz w:val="21"/>
                <w:szCs w:val="21"/>
              </w:rPr>
              <w:t>抗病毒作用、临床应用及不良反应。</w:t>
            </w:r>
          </w:p>
        </w:tc>
      </w:tr>
      <w:bookmarkEnd w:id="0"/>
      <w:bookmarkEnd w:id="1"/>
    </w:tbl>
    <w:p w14:paraId="46B8E00B">
      <w:pPr>
        <w:pStyle w:val="23"/>
        <w:spacing w:before="81" w:after="163"/>
      </w:pPr>
      <w:r>
        <w:rPr>
          <w:rFonts w:hint="eastAsia"/>
        </w:rPr>
        <w:t>（二）教学单元对课程目标的支撑关系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931"/>
        <w:gridCol w:w="905"/>
        <w:gridCol w:w="851"/>
        <w:gridCol w:w="793"/>
        <w:gridCol w:w="850"/>
        <w:gridCol w:w="992"/>
        <w:gridCol w:w="993"/>
        <w:gridCol w:w="992"/>
      </w:tblGrid>
      <w:tr w14:paraId="3256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31" w:type="dxa"/>
            <w:tcBorders>
              <w:top w:val="single" w:color="auto" w:sz="12" w:space="0"/>
              <w:left w:val="single" w:color="auto" w:sz="4" w:space="0"/>
              <w:tl2br w:val="single" w:color="auto" w:sz="4" w:space="0"/>
            </w:tcBorders>
            <w:noWrap w:val="0"/>
            <w:vAlign w:val="top"/>
          </w:tcPr>
          <w:p w14:paraId="08662FB4">
            <w:pPr>
              <w:pStyle w:val="19"/>
              <w:ind w:firstLine="489"/>
              <w:jc w:val="right"/>
              <w:rPr>
                <w:szCs w:val="16"/>
              </w:rPr>
            </w:pPr>
            <w:r>
              <w:rPr>
                <w:rFonts w:hint="eastAsia"/>
                <w:szCs w:val="16"/>
              </w:rPr>
              <w:t>课程目标</w:t>
            </w:r>
          </w:p>
          <w:p w14:paraId="62DA0EC7">
            <w:pPr>
              <w:pStyle w:val="19"/>
              <w:ind w:right="210"/>
              <w:jc w:val="left"/>
              <w:rPr>
                <w:szCs w:val="16"/>
              </w:rPr>
            </w:pPr>
          </w:p>
          <w:p w14:paraId="4457D972">
            <w:pPr>
              <w:pStyle w:val="19"/>
              <w:ind w:right="210"/>
              <w:jc w:val="left"/>
              <w:rPr>
                <w:szCs w:val="16"/>
              </w:rPr>
            </w:pPr>
            <w:r>
              <w:rPr>
                <w:rFonts w:hint="eastAsia"/>
                <w:szCs w:val="16"/>
              </w:rPr>
              <w:t>教学单元</w:t>
            </w:r>
          </w:p>
        </w:tc>
        <w:tc>
          <w:tcPr>
            <w:tcW w:w="905" w:type="dxa"/>
            <w:tcBorders>
              <w:top w:val="single" w:color="auto" w:sz="12" w:space="0"/>
            </w:tcBorders>
            <w:noWrap w:val="0"/>
            <w:vAlign w:val="center"/>
          </w:tcPr>
          <w:p w14:paraId="684E7A19">
            <w:pPr>
              <w:pStyle w:val="19"/>
              <w:rPr>
                <w:szCs w:val="16"/>
              </w:rPr>
            </w:pPr>
            <w:r>
              <w:rPr>
                <w:rFonts w:hint="eastAsia"/>
                <w:szCs w:val="16"/>
              </w:rPr>
              <w:t>1</w:t>
            </w:r>
          </w:p>
        </w:tc>
        <w:tc>
          <w:tcPr>
            <w:tcW w:w="851" w:type="dxa"/>
            <w:tcBorders>
              <w:top w:val="single" w:color="auto" w:sz="12" w:space="0"/>
            </w:tcBorders>
            <w:noWrap w:val="0"/>
            <w:vAlign w:val="center"/>
          </w:tcPr>
          <w:p w14:paraId="20958AD5">
            <w:pPr>
              <w:pStyle w:val="19"/>
              <w:rPr>
                <w:szCs w:val="16"/>
              </w:rPr>
            </w:pPr>
            <w:r>
              <w:rPr>
                <w:rFonts w:hint="eastAsia"/>
                <w:szCs w:val="16"/>
              </w:rPr>
              <w:t>2</w:t>
            </w:r>
          </w:p>
        </w:tc>
        <w:tc>
          <w:tcPr>
            <w:tcW w:w="793" w:type="dxa"/>
            <w:tcBorders>
              <w:top w:val="single" w:color="auto" w:sz="12" w:space="0"/>
            </w:tcBorders>
            <w:noWrap w:val="0"/>
            <w:vAlign w:val="center"/>
          </w:tcPr>
          <w:p w14:paraId="76734FE5">
            <w:pPr>
              <w:pStyle w:val="19"/>
              <w:rPr>
                <w:szCs w:val="16"/>
              </w:rPr>
            </w:pPr>
            <w:r>
              <w:rPr>
                <w:rFonts w:hint="eastAsia"/>
                <w:szCs w:val="16"/>
              </w:rPr>
              <w:t>3</w:t>
            </w:r>
          </w:p>
        </w:tc>
        <w:tc>
          <w:tcPr>
            <w:tcW w:w="850" w:type="dxa"/>
            <w:tcBorders>
              <w:top w:val="single" w:color="auto" w:sz="12" w:space="0"/>
            </w:tcBorders>
            <w:noWrap w:val="0"/>
            <w:vAlign w:val="center"/>
          </w:tcPr>
          <w:p w14:paraId="2B81B18F">
            <w:pPr>
              <w:pStyle w:val="19"/>
              <w:rPr>
                <w:szCs w:val="16"/>
              </w:rPr>
            </w:pPr>
            <w:r>
              <w:rPr>
                <w:rFonts w:hint="eastAsia"/>
                <w:szCs w:val="16"/>
              </w:rPr>
              <w:t>4</w:t>
            </w:r>
          </w:p>
        </w:tc>
        <w:tc>
          <w:tcPr>
            <w:tcW w:w="992" w:type="dxa"/>
            <w:tcBorders>
              <w:top w:val="single" w:color="auto" w:sz="12" w:space="0"/>
            </w:tcBorders>
            <w:noWrap w:val="0"/>
            <w:vAlign w:val="center"/>
          </w:tcPr>
          <w:p w14:paraId="28371A41">
            <w:pPr>
              <w:pStyle w:val="19"/>
              <w:rPr>
                <w:szCs w:val="16"/>
              </w:rPr>
            </w:pPr>
            <w:r>
              <w:rPr>
                <w:rFonts w:hint="eastAsia"/>
                <w:szCs w:val="16"/>
              </w:rPr>
              <w:t>5</w:t>
            </w:r>
          </w:p>
        </w:tc>
        <w:tc>
          <w:tcPr>
            <w:tcW w:w="993" w:type="dxa"/>
            <w:tcBorders>
              <w:top w:val="single" w:color="auto" w:sz="12" w:space="0"/>
              <w:bottom w:val="single" w:color="auto" w:sz="4" w:space="0"/>
              <w:right w:val="single" w:color="auto" w:sz="4" w:space="0"/>
            </w:tcBorders>
            <w:noWrap w:val="0"/>
            <w:vAlign w:val="center"/>
          </w:tcPr>
          <w:p w14:paraId="7ED8A60A">
            <w:pPr>
              <w:pStyle w:val="19"/>
              <w:rPr>
                <w:b/>
                <w:szCs w:val="16"/>
              </w:rPr>
            </w:pPr>
            <w:r>
              <w:rPr>
                <w:rFonts w:hint="eastAsia"/>
                <w:b/>
                <w:szCs w:val="16"/>
              </w:rPr>
              <w:t>6</w:t>
            </w:r>
          </w:p>
        </w:tc>
        <w:tc>
          <w:tcPr>
            <w:tcW w:w="992" w:type="dxa"/>
            <w:tcBorders>
              <w:top w:val="single" w:color="auto" w:sz="12" w:space="0"/>
              <w:left w:val="single" w:color="auto" w:sz="4" w:space="0"/>
              <w:right w:val="single" w:color="auto" w:sz="4" w:space="0"/>
            </w:tcBorders>
            <w:noWrap w:val="0"/>
            <w:vAlign w:val="center"/>
          </w:tcPr>
          <w:p w14:paraId="377ABD71">
            <w:pPr>
              <w:pStyle w:val="19"/>
              <w:rPr>
                <w:szCs w:val="16"/>
              </w:rPr>
            </w:pPr>
            <w:r>
              <w:rPr>
                <w:rFonts w:hint="eastAsia"/>
                <w:szCs w:val="16"/>
              </w:rPr>
              <w:t>7</w:t>
            </w:r>
          </w:p>
        </w:tc>
      </w:tr>
      <w:tr w14:paraId="3DF4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2B03F56A">
            <w:pPr>
              <w:pStyle w:val="20"/>
              <w:widowControl w:val="0"/>
              <w:jc w:val="left"/>
              <w:rPr>
                <w:rFonts w:ascii="宋体" w:hAnsi="宋体"/>
              </w:rPr>
            </w:pPr>
            <w:r>
              <w:rPr>
                <w:rFonts w:hint="eastAsia" w:ascii="宋体" w:hAnsi="宋体"/>
                <w:bCs/>
              </w:rPr>
              <w:t xml:space="preserve">第一单元 </w:t>
            </w:r>
            <w:r>
              <w:rPr>
                <w:rFonts w:hint="eastAsia" w:ascii="宋体" w:hAnsi="宋体"/>
              </w:rPr>
              <w:t>药理学总论、药物效应动力学</w:t>
            </w:r>
          </w:p>
        </w:tc>
        <w:tc>
          <w:tcPr>
            <w:tcW w:w="905" w:type="dxa"/>
            <w:noWrap w:val="0"/>
            <w:vAlign w:val="center"/>
          </w:tcPr>
          <w:p w14:paraId="50D0339B">
            <w:pPr>
              <w:pStyle w:val="20"/>
            </w:pPr>
            <w:r>
              <w:rPr>
                <w:rFonts w:hint="eastAsia"/>
              </w:rPr>
              <w:t>√</w:t>
            </w:r>
          </w:p>
        </w:tc>
        <w:tc>
          <w:tcPr>
            <w:tcW w:w="851" w:type="dxa"/>
            <w:noWrap w:val="0"/>
            <w:vAlign w:val="center"/>
          </w:tcPr>
          <w:p w14:paraId="78EC03B1">
            <w:pPr>
              <w:pStyle w:val="20"/>
            </w:pPr>
            <w:r>
              <w:rPr>
                <w:rFonts w:hint="eastAsia"/>
              </w:rPr>
              <w:t>√</w:t>
            </w:r>
          </w:p>
        </w:tc>
        <w:tc>
          <w:tcPr>
            <w:tcW w:w="793" w:type="dxa"/>
            <w:noWrap w:val="0"/>
            <w:vAlign w:val="center"/>
          </w:tcPr>
          <w:p w14:paraId="03DC4A5F">
            <w:pPr>
              <w:pStyle w:val="20"/>
            </w:pPr>
            <w:r>
              <w:rPr>
                <w:rFonts w:hint="eastAsia"/>
              </w:rPr>
              <w:t>√</w:t>
            </w:r>
          </w:p>
        </w:tc>
        <w:tc>
          <w:tcPr>
            <w:tcW w:w="850" w:type="dxa"/>
            <w:noWrap w:val="0"/>
            <w:vAlign w:val="center"/>
          </w:tcPr>
          <w:p w14:paraId="60A4C5D9">
            <w:pPr>
              <w:pStyle w:val="20"/>
            </w:pPr>
          </w:p>
        </w:tc>
        <w:tc>
          <w:tcPr>
            <w:tcW w:w="992" w:type="dxa"/>
            <w:noWrap w:val="0"/>
            <w:vAlign w:val="center"/>
          </w:tcPr>
          <w:p w14:paraId="7C987CBC">
            <w:pPr>
              <w:pStyle w:val="20"/>
            </w:pPr>
          </w:p>
        </w:tc>
        <w:tc>
          <w:tcPr>
            <w:tcW w:w="993" w:type="dxa"/>
            <w:tcBorders>
              <w:top w:val="single" w:color="auto" w:sz="4" w:space="0"/>
              <w:bottom w:val="single" w:color="auto" w:sz="4" w:space="0"/>
              <w:right w:val="single" w:color="auto" w:sz="4" w:space="0"/>
            </w:tcBorders>
            <w:noWrap w:val="0"/>
            <w:vAlign w:val="center"/>
          </w:tcPr>
          <w:p w14:paraId="7E72B584">
            <w:pPr>
              <w:pStyle w:val="20"/>
            </w:pPr>
          </w:p>
        </w:tc>
        <w:tc>
          <w:tcPr>
            <w:tcW w:w="992" w:type="dxa"/>
            <w:tcBorders>
              <w:left w:val="single" w:color="auto" w:sz="4" w:space="0"/>
              <w:right w:val="single" w:color="auto" w:sz="4" w:space="0"/>
            </w:tcBorders>
            <w:noWrap w:val="0"/>
            <w:vAlign w:val="top"/>
          </w:tcPr>
          <w:p w14:paraId="2FB417CD">
            <w:pPr>
              <w:pStyle w:val="20"/>
            </w:pPr>
            <w:r>
              <w:rPr>
                <w:rFonts w:hint="eastAsia"/>
              </w:rPr>
              <w:t>√</w:t>
            </w:r>
          </w:p>
        </w:tc>
      </w:tr>
      <w:tr w14:paraId="3811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2E20AEE3">
            <w:pPr>
              <w:snapToGrid w:val="0"/>
              <w:spacing w:line="288" w:lineRule="auto"/>
              <w:rPr>
                <w:rFonts w:cs="仿宋"/>
                <w:sz w:val="21"/>
                <w:szCs w:val="21"/>
              </w:rPr>
            </w:pPr>
            <w:r>
              <w:rPr>
                <w:rFonts w:hint="eastAsia"/>
                <w:bCs/>
                <w:sz w:val="21"/>
                <w:szCs w:val="21"/>
              </w:rPr>
              <w:t xml:space="preserve">第二单元 </w:t>
            </w:r>
            <w:r>
              <w:rPr>
                <w:rFonts w:hint="eastAsia" w:cs="仿宋"/>
                <w:sz w:val="21"/>
                <w:szCs w:val="21"/>
              </w:rPr>
              <w:t>药物代谢动力学、影响药物作用的因素</w:t>
            </w:r>
          </w:p>
        </w:tc>
        <w:tc>
          <w:tcPr>
            <w:tcW w:w="905" w:type="dxa"/>
            <w:noWrap w:val="0"/>
            <w:vAlign w:val="center"/>
          </w:tcPr>
          <w:p w14:paraId="2BBCB936">
            <w:pPr>
              <w:pStyle w:val="20"/>
            </w:pPr>
            <w:r>
              <w:rPr>
                <w:rFonts w:hint="eastAsia"/>
              </w:rPr>
              <w:t>√</w:t>
            </w:r>
          </w:p>
        </w:tc>
        <w:tc>
          <w:tcPr>
            <w:tcW w:w="851" w:type="dxa"/>
            <w:noWrap w:val="0"/>
            <w:vAlign w:val="center"/>
          </w:tcPr>
          <w:p w14:paraId="44DEC864">
            <w:pPr>
              <w:pStyle w:val="20"/>
            </w:pPr>
          </w:p>
        </w:tc>
        <w:tc>
          <w:tcPr>
            <w:tcW w:w="793" w:type="dxa"/>
            <w:noWrap w:val="0"/>
            <w:vAlign w:val="center"/>
          </w:tcPr>
          <w:p w14:paraId="09691E98">
            <w:pPr>
              <w:pStyle w:val="20"/>
            </w:pPr>
            <w:r>
              <w:rPr>
                <w:rFonts w:hint="eastAsia"/>
              </w:rPr>
              <w:t>√</w:t>
            </w:r>
          </w:p>
        </w:tc>
        <w:tc>
          <w:tcPr>
            <w:tcW w:w="850" w:type="dxa"/>
            <w:noWrap w:val="0"/>
            <w:vAlign w:val="center"/>
          </w:tcPr>
          <w:p w14:paraId="2AD5429D">
            <w:pPr>
              <w:pStyle w:val="20"/>
            </w:pPr>
            <w:r>
              <w:rPr>
                <w:rFonts w:hint="eastAsia"/>
              </w:rPr>
              <w:t>√</w:t>
            </w:r>
          </w:p>
        </w:tc>
        <w:tc>
          <w:tcPr>
            <w:tcW w:w="992" w:type="dxa"/>
            <w:noWrap w:val="0"/>
            <w:vAlign w:val="center"/>
          </w:tcPr>
          <w:p w14:paraId="5A32B0A7">
            <w:pPr>
              <w:pStyle w:val="20"/>
            </w:pPr>
            <w:r>
              <w:rPr>
                <w:rFonts w:hint="eastAsia"/>
              </w:rPr>
              <w:t>√</w:t>
            </w:r>
          </w:p>
        </w:tc>
        <w:tc>
          <w:tcPr>
            <w:tcW w:w="993" w:type="dxa"/>
            <w:tcBorders>
              <w:top w:val="single" w:color="auto" w:sz="4" w:space="0"/>
              <w:bottom w:val="single" w:color="auto" w:sz="4" w:space="0"/>
              <w:right w:val="single" w:color="auto" w:sz="4" w:space="0"/>
            </w:tcBorders>
            <w:noWrap w:val="0"/>
            <w:vAlign w:val="center"/>
          </w:tcPr>
          <w:p w14:paraId="74D24AC8">
            <w:pPr>
              <w:pStyle w:val="20"/>
            </w:pPr>
          </w:p>
        </w:tc>
        <w:tc>
          <w:tcPr>
            <w:tcW w:w="992" w:type="dxa"/>
            <w:tcBorders>
              <w:left w:val="single" w:color="auto" w:sz="4" w:space="0"/>
              <w:right w:val="single" w:color="auto" w:sz="4" w:space="0"/>
            </w:tcBorders>
            <w:noWrap w:val="0"/>
            <w:vAlign w:val="center"/>
          </w:tcPr>
          <w:p w14:paraId="0E857BDE">
            <w:pPr>
              <w:pStyle w:val="20"/>
            </w:pPr>
            <w:r>
              <w:rPr>
                <w:rFonts w:hint="eastAsia"/>
              </w:rPr>
              <w:t>√</w:t>
            </w:r>
          </w:p>
        </w:tc>
      </w:tr>
      <w:tr w14:paraId="6C39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4985DFE">
            <w:pPr>
              <w:pStyle w:val="20"/>
              <w:widowControl w:val="0"/>
              <w:jc w:val="left"/>
              <w:rPr>
                <w:rFonts w:ascii="宋体" w:hAnsi="宋体"/>
              </w:rPr>
            </w:pPr>
            <w:r>
              <w:rPr>
                <w:rFonts w:hint="eastAsia" w:ascii="宋体" w:hAnsi="宋体"/>
                <w:bCs/>
              </w:rPr>
              <w:t xml:space="preserve">第三单元 </w:t>
            </w:r>
            <w:r>
              <w:rPr>
                <w:rFonts w:hint="eastAsia" w:ascii="宋体" w:hAnsi="宋体" w:cs="仿宋"/>
              </w:rPr>
              <w:t>传出神经系统药物概述，拟胆碱药、抗胆碱药</w:t>
            </w:r>
          </w:p>
        </w:tc>
        <w:tc>
          <w:tcPr>
            <w:tcW w:w="905" w:type="dxa"/>
            <w:noWrap w:val="0"/>
            <w:vAlign w:val="center"/>
          </w:tcPr>
          <w:p w14:paraId="021B4F38">
            <w:pPr>
              <w:pStyle w:val="20"/>
            </w:pPr>
            <w:r>
              <w:rPr>
                <w:rFonts w:hint="eastAsia"/>
              </w:rPr>
              <w:t>√</w:t>
            </w:r>
          </w:p>
        </w:tc>
        <w:tc>
          <w:tcPr>
            <w:tcW w:w="851" w:type="dxa"/>
            <w:noWrap w:val="0"/>
            <w:vAlign w:val="center"/>
          </w:tcPr>
          <w:p w14:paraId="3BAFE1DB">
            <w:pPr>
              <w:pStyle w:val="20"/>
            </w:pPr>
            <w:r>
              <w:rPr>
                <w:rFonts w:hint="eastAsia"/>
              </w:rPr>
              <w:t>√</w:t>
            </w:r>
          </w:p>
        </w:tc>
        <w:tc>
          <w:tcPr>
            <w:tcW w:w="793" w:type="dxa"/>
            <w:noWrap w:val="0"/>
            <w:vAlign w:val="center"/>
          </w:tcPr>
          <w:p w14:paraId="16BF9F15">
            <w:pPr>
              <w:pStyle w:val="20"/>
            </w:pPr>
            <w:r>
              <w:rPr>
                <w:rFonts w:hint="eastAsia"/>
              </w:rPr>
              <w:t>√</w:t>
            </w:r>
          </w:p>
        </w:tc>
        <w:tc>
          <w:tcPr>
            <w:tcW w:w="850" w:type="dxa"/>
            <w:noWrap w:val="0"/>
            <w:vAlign w:val="center"/>
          </w:tcPr>
          <w:p w14:paraId="761F9DDA">
            <w:pPr>
              <w:pStyle w:val="20"/>
            </w:pPr>
            <w:r>
              <w:rPr>
                <w:rFonts w:hint="eastAsia"/>
              </w:rPr>
              <w:t>√</w:t>
            </w:r>
          </w:p>
        </w:tc>
        <w:tc>
          <w:tcPr>
            <w:tcW w:w="992" w:type="dxa"/>
            <w:noWrap w:val="0"/>
            <w:vAlign w:val="center"/>
          </w:tcPr>
          <w:p w14:paraId="45CCF742">
            <w:pPr>
              <w:pStyle w:val="20"/>
            </w:pPr>
          </w:p>
        </w:tc>
        <w:tc>
          <w:tcPr>
            <w:tcW w:w="993" w:type="dxa"/>
            <w:tcBorders>
              <w:top w:val="single" w:color="auto" w:sz="4" w:space="0"/>
              <w:bottom w:val="single" w:color="auto" w:sz="4" w:space="0"/>
              <w:right w:val="single" w:color="auto" w:sz="4" w:space="0"/>
            </w:tcBorders>
            <w:noWrap w:val="0"/>
            <w:vAlign w:val="center"/>
          </w:tcPr>
          <w:p w14:paraId="55D63ED5">
            <w:pPr>
              <w:pStyle w:val="20"/>
            </w:pPr>
          </w:p>
        </w:tc>
        <w:tc>
          <w:tcPr>
            <w:tcW w:w="992" w:type="dxa"/>
            <w:tcBorders>
              <w:left w:val="single" w:color="auto" w:sz="4" w:space="0"/>
              <w:right w:val="single" w:color="auto" w:sz="4" w:space="0"/>
            </w:tcBorders>
            <w:noWrap w:val="0"/>
            <w:vAlign w:val="center"/>
          </w:tcPr>
          <w:p w14:paraId="40DCF30D">
            <w:pPr>
              <w:pStyle w:val="20"/>
            </w:pPr>
            <w:r>
              <w:rPr>
                <w:rFonts w:hint="eastAsia"/>
              </w:rPr>
              <w:t>√</w:t>
            </w:r>
          </w:p>
        </w:tc>
      </w:tr>
      <w:tr w14:paraId="0F5F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1931" w:type="dxa"/>
            <w:tcBorders>
              <w:left w:val="single" w:color="auto" w:sz="4" w:space="0"/>
            </w:tcBorders>
            <w:noWrap w:val="0"/>
            <w:vAlign w:val="top"/>
          </w:tcPr>
          <w:p w14:paraId="486B7E60">
            <w:pPr>
              <w:pStyle w:val="20"/>
              <w:widowControl w:val="0"/>
              <w:jc w:val="left"/>
              <w:rPr>
                <w:rFonts w:ascii="宋体" w:hAnsi="宋体" w:cs="仿宋"/>
              </w:rPr>
            </w:pPr>
            <w:r>
              <w:rPr>
                <w:rFonts w:hint="eastAsia" w:ascii="宋体" w:hAnsi="宋体"/>
                <w:bCs/>
              </w:rPr>
              <w:t xml:space="preserve">第四单元 </w:t>
            </w:r>
            <w:r>
              <w:rPr>
                <w:rFonts w:hint="eastAsia" w:ascii="宋体" w:hAnsi="宋体" w:cs="仿宋"/>
              </w:rPr>
              <w:t>拟肾上腺素药、抗肾上腺素药、麻醉药</w:t>
            </w:r>
          </w:p>
        </w:tc>
        <w:tc>
          <w:tcPr>
            <w:tcW w:w="905" w:type="dxa"/>
            <w:noWrap w:val="0"/>
            <w:vAlign w:val="center"/>
          </w:tcPr>
          <w:p w14:paraId="3CA0E698">
            <w:pPr>
              <w:pStyle w:val="20"/>
            </w:pPr>
            <w:r>
              <w:rPr>
                <w:rFonts w:hint="eastAsia"/>
              </w:rPr>
              <w:t>√</w:t>
            </w:r>
          </w:p>
        </w:tc>
        <w:tc>
          <w:tcPr>
            <w:tcW w:w="851" w:type="dxa"/>
            <w:noWrap w:val="0"/>
            <w:vAlign w:val="center"/>
          </w:tcPr>
          <w:p w14:paraId="56662D5D">
            <w:pPr>
              <w:pStyle w:val="20"/>
            </w:pPr>
            <w:r>
              <w:rPr>
                <w:rFonts w:hint="eastAsia"/>
              </w:rPr>
              <w:t>√</w:t>
            </w:r>
          </w:p>
        </w:tc>
        <w:tc>
          <w:tcPr>
            <w:tcW w:w="793" w:type="dxa"/>
            <w:noWrap w:val="0"/>
            <w:vAlign w:val="center"/>
          </w:tcPr>
          <w:p w14:paraId="7E940744">
            <w:pPr>
              <w:pStyle w:val="20"/>
            </w:pPr>
          </w:p>
        </w:tc>
        <w:tc>
          <w:tcPr>
            <w:tcW w:w="850" w:type="dxa"/>
            <w:noWrap w:val="0"/>
            <w:vAlign w:val="center"/>
          </w:tcPr>
          <w:p w14:paraId="17721831">
            <w:pPr>
              <w:pStyle w:val="20"/>
            </w:pPr>
            <w:r>
              <w:rPr>
                <w:rFonts w:hint="eastAsia"/>
              </w:rPr>
              <w:t>√</w:t>
            </w:r>
          </w:p>
        </w:tc>
        <w:tc>
          <w:tcPr>
            <w:tcW w:w="992" w:type="dxa"/>
            <w:noWrap w:val="0"/>
            <w:vAlign w:val="center"/>
          </w:tcPr>
          <w:p w14:paraId="64FE7033">
            <w:pPr>
              <w:pStyle w:val="20"/>
            </w:pPr>
          </w:p>
        </w:tc>
        <w:tc>
          <w:tcPr>
            <w:tcW w:w="993" w:type="dxa"/>
            <w:tcBorders>
              <w:top w:val="single" w:color="auto" w:sz="4" w:space="0"/>
              <w:bottom w:val="single" w:color="auto" w:sz="4" w:space="0"/>
              <w:right w:val="single" w:color="auto" w:sz="4" w:space="0"/>
            </w:tcBorders>
            <w:noWrap w:val="0"/>
            <w:vAlign w:val="center"/>
          </w:tcPr>
          <w:p w14:paraId="0A612216">
            <w:pPr>
              <w:pStyle w:val="20"/>
            </w:pPr>
            <w:r>
              <w:rPr>
                <w:rFonts w:hint="eastAsia"/>
              </w:rPr>
              <w:t>√</w:t>
            </w:r>
          </w:p>
        </w:tc>
        <w:tc>
          <w:tcPr>
            <w:tcW w:w="992" w:type="dxa"/>
            <w:tcBorders>
              <w:left w:val="single" w:color="auto" w:sz="4" w:space="0"/>
              <w:right w:val="single" w:color="auto" w:sz="4" w:space="0"/>
            </w:tcBorders>
            <w:noWrap w:val="0"/>
            <w:vAlign w:val="center"/>
          </w:tcPr>
          <w:p w14:paraId="53C485CE">
            <w:pPr>
              <w:pStyle w:val="20"/>
            </w:pPr>
            <w:r>
              <w:rPr>
                <w:rFonts w:hint="eastAsia"/>
              </w:rPr>
              <w:t>√</w:t>
            </w:r>
          </w:p>
        </w:tc>
      </w:tr>
      <w:tr w14:paraId="243C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1AF7A78">
            <w:pPr>
              <w:pStyle w:val="20"/>
              <w:widowControl w:val="0"/>
              <w:jc w:val="left"/>
              <w:rPr>
                <w:rFonts w:ascii="宋体" w:hAnsi="宋体" w:cs="仿宋"/>
              </w:rPr>
            </w:pPr>
            <w:r>
              <w:rPr>
                <w:rFonts w:hint="eastAsia" w:ascii="宋体" w:hAnsi="宋体"/>
                <w:bCs/>
              </w:rPr>
              <w:t xml:space="preserve">第五单元 </w:t>
            </w:r>
            <w:r>
              <w:rPr>
                <w:rFonts w:hint="eastAsia" w:ascii="宋体" w:hAnsi="宋体" w:cs="仿宋"/>
              </w:rPr>
              <w:t>镇静催眠药和抗惊厥药抗癫痫药，抗帕金森病药及抗阿尔茨海默病药</w:t>
            </w:r>
          </w:p>
        </w:tc>
        <w:tc>
          <w:tcPr>
            <w:tcW w:w="905" w:type="dxa"/>
            <w:noWrap w:val="0"/>
            <w:vAlign w:val="center"/>
          </w:tcPr>
          <w:p w14:paraId="2A466F3B">
            <w:pPr>
              <w:pStyle w:val="20"/>
            </w:pPr>
            <w:r>
              <w:rPr>
                <w:rFonts w:hint="eastAsia"/>
              </w:rPr>
              <w:t>√</w:t>
            </w:r>
          </w:p>
        </w:tc>
        <w:tc>
          <w:tcPr>
            <w:tcW w:w="851" w:type="dxa"/>
            <w:noWrap w:val="0"/>
            <w:vAlign w:val="center"/>
          </w:tcPr>
          <w:p w14:paraId="3296D6A5">
            <w:pPr>
              <w:pStyle w:val="20"/>
            </w:pPr>
          </w:p>
        </w:tc>
        <w:tc>
          <w:tcPr>
            <w:tcW w:w="793" w:type="dxa"/>
            <w:noWrap w:val="0"/>
            <w:vAlign w:val="center"/>
          </w:tcPr>
          <w:p w14:paraId="1385A0AB">
            <w:pPr>
              <w:pStyle w:val="20"/>
            </w:pPr>
          </w:p>
        </w:tc>
        <w:tc>
          <w:tcPr>
            <w:tcW w:w="850" w:type="dxa"/>
            <w:noWrap w:val="0"/>
            <w:vAlign w:val="center"/>
          </w:tcPr>
          <w:p w14:paraId="1CDD7F6E">
            <w:pPr>
              <w:pStyle w:val="20"/>
            </w:pPr>
            <w:r>
              <w:rPr>
                <w:rFonts w:hint="eastAsia"/>
              </w:rPr>
              <w:t>√</w:t>
            </w:r>
          </w:p>
        </w:tc>
        <w:tc>
          <w:tcPr>
            <w:tcW w:w="992" w:type="dxa"/>
            <w:noWrap w:val="0"/>
            <w:vAlign w:val="center"/>
          </w:tcPr>
          <w:p w14:paraId="77684279">
            <w:pPr>
              <w:pStyle w:val="20"/>
            </w:pPr>
            <w:r>
              <w:rPr>
                <w:rFonts w:hint="eastAsia"/>
              </w:rPr>
              <w:t>√</w:t>
            </w:r>
          </w:p>
        </w:tc>
        <w:tc>
          <w:tcPr>
            <w:tcW w:w="993" w:type="dxa"/>
            <w:tcBorders>
              <w:top w:val="single" w:color="auto" w:sz="4" w:space="0"/>
              <w:bottom w:val="single" w:color="auto" w:sz="4" w:space="0"/>
              <w:right w:val="single" w:color="auto" w:sz="4" w:space="0"/>
            </w:tcBorders>
            <w:noWrap w:val="0"/>
            <w:vAlign w:val="center"/>
          </w:tcPr>
          <w:p w14:paraId="3BBEDDE5">
            <w:pPr>
              <w:pStyle w:val="20"/>
            </w:pPr>
            <w:r>
              <w:rPr>
                <w:rFonts w:hint="eastAsia"/>
              </w:rPr>
              <w:t>√</w:t>
            </w:r>
          </w:p>
        </w:tc>
        <w:tc>
          <w:tcPr>
            <w:tcW w:w="992" w:type="dxa"/>
            <w:tcBorders>
              <w:left w:val="single" w:color="auto" w:sz="4" w:space="0"/>
              <w:right w:val="single" w:color="auto" w:sz="4" w:space="0"/>
            </w:tcBorders>
            <w:noWrap w:val="0"/>
            <w:vAlign w:val="center"/>
          </w:tcPr>
          <w:p w14:paraId="5873D320">
            <w:pPr>
              <w:pStyle w:val="20"/>
            </w:pPr>
            <w:r>
              <w:rPr>
                <w:rFonts w:hint="eastAsia"/>
              </w:rPr>
              <w:t>√</w:t>
            </w:r>
          </w:p>
        </w:tc>
      </w:tr>
      <w:tr w14:paraId="6A8F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44057045">
            <w:pPr>
              <w:widowControl w:val="0"/>
              <w:snapToGrid w:val="0"/>
              <w:spacing w:line="288" w:lineRule="auto"/>
              <w:rPr>
                <w:color w:val="000000"/>
                <w:sz w:val="20"/>
                <w:szCs w:val="20"/>
              </w:rPr>
            </w:pPr>
            <w:r>
              <w:rPr>
                <w:rFonts w:hint="eastAsia"/>
                <w:bCs/>
                <w:sz w:val="21"/>
                <w:szCs w:val="21"/>
              </w:rPr>
              <w:t xml:space="preserve">第六单元 </w:t>
            </w:r>
            <w:r>
              <w:rPr>
                <w:rFonts w:hint="eastAsia" w:cs="仿宋"/>
                <w:sz w:val="21"/>
                <w:szCs w:val="21"/>
              </w:rPr>
              <w:t>抗精神失常药镇痛药、解热镇痛抗炎药、枢兴奋药与促大脑功能恢复药</w:t>
            </w:r>
          </w:p>
        </w:tc>
        <w:tc>
          <w:tcPr>
            <w:tcW w:w="905" w:type="dxa"/>
            <w:noWrap w:val="0"/>
            <w:vAlign w:val="center"/>
          </w:tcPr>
          <w:p w14:paraId="6BB371A3">
            <w:pPr>
              <w:pStyle w:val="20"/>
            </w:pPr>
            <w:r>
              <w:rPr>
                <w:rFonts w:hint="eastAsia"/>
              </w:rPr>
              <w:t>√</w:t>
            </w:r>
          </w:p>
        </w:tc>
        <w:tc>
          <w:tcPr>
            <w:tcW w:w="851" w:type="dxa"/>
            <w:noWrap w:val="0"/>
            <w:vAlign w:val="center"/>
          </w:tcPr>
          <w:p w14:paraId="2039DCBB">
            <w:pPr>
              <w:pStyle w:val="20"/>
            </w:pPr>
          </w:p>
        </w:tc>
        <w:tc>
          <w:tcPr>
            <w:tcW w:w="793" w:type="dxa"/>
            <w:noWrap w:val="0"/>
            <w:vAlign w:val="center"/>
          </w:tcPr>
          <w:p w14:paraId="4278CED8">
            <w:pPr>
              <w:pStyle w:val="20"/>
            </w:pPr>
            <w:r>
              <w:rPr>
                <w:rFonts w:hint="eastAsia"/>
              </w:rPr>
              <w:t>√</w:t>
            </w:r>
          </w:p>
        </w:tc>
        <w:tc>
          <w:tcPr>
            <w:tcW w:w="850" w:type="dxa"/>
            <w:noWrap w:val="0"/>
            <w:vAlign w:val="center"/>
          </w:tcPr>
          <w:p w14:paraId="48D5290F">
            <w:pPr>
              <w:pStyle w:val="20"/>
            </w:pPr>
          </w:p>
        </w:tc>
        <w:tc>
          <w:tcPr>
            <w:tcW w:w="992" w:type="dxa"/>
            <w:noWrap w:val="0"/>
            <w:vAlign w:val="center"/>
          </w:tcPr>
          <w:p w14:paraId="0961F01E">
            <w:pPr>
              <w:pStyle w:val="20"/>
            </w:pPr>
          </w:p>
        </w:tc>
        <w:tc>
          <w:tcPr>
            <w:tcW w:w="993" w:type="dxa"/>
            <w:tcBorders>
              <w:top w:val="single" w:color="auto" w:sz="4" w:space="0"/>
              <w:bottom w:val="single" w:color="auto" w:sz="4" w:space="0"/>
              <w:right w:val="single" w:color="auto" w:sz="4" w:space="0"/>
            </w:tcBorders>
            <w:noWrap w:val="0"/>
            <w:vAlign w:val="center"/>
          </w:tcPr>
          <w:p w14:paraId="3EB3B621">
            <w:pPr>
              <w:pStyle w:val="20"/>
            </w:pPr>
          </w:p>
        </w:tc>
        <w:tc>
          <w:tcPr>
            <w:tcW w:w="992" w:type="dxa"/>
            <w:tcBorders>
              <w:left w:val="single" w:color="auto" w:sz="4" w:space="0"/>
              <w:right w:val="single" w:color="auto" w:sz="4" w:space="0"/>
            </w:tcBorders>
            <w:noWrap w:val="0"/>
            <w:vAlign w:val="top"/>
          </w:tcPr>
          <w:p w14:paraId="26EECC99">
            <w:pPr>
              <w:pStyle w:val="20"/>
            </w:pPr>
          </w:p>
        </w:tc>
      </w:tr>
      <w:tr w14:paraId="088A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341AE830">
            <w:pPr>
              <w:widowControl w:val="0"/>
              <w:snapToGrid w:val="0"/>
              <w:spacing w:line="288" w:lineRule="auto"/>
              <w:rPr>
                <w:color w:val="000000"/>
                <w:sz w:val="21"/>
                <w:szCs w:val="21"/>
              </w:rPr>
            </w:pPr>
            <w:r>
              <w:rPr>
                <w:rFonts w:hint="eastAsia"/>
                <w:bCs/>
                <w:sz w:val="21"/>
                <w:szCs w:val="21"/>
              </w:rPr>
              <w:t xml:space="preserve">第七单元 </w:t>
            </w:r>
            <w:r>
              <w:rPr>
                <w:rFonts w:hint="eastAsia" w:cs="仿宋"/>
                <w:sz w:val="21"/>
                <w:szCs w:val="21"/>
              </w:rPr>
              <w:t>抗高血压药</w:t>
            </w:r>
          </w:p>
        </w:tc>
        <w:tc>
          <w:tcPr>
            <w:tcW w:w="905" w:type="dxa"/>
            <w:noWrap w:val="0"/>
            <w:vAlign w:val="center"/>
          </w:tcPr>
          <w:p w14:paraId="2E02C789">
            <w:pPr>
              <w:pStyle w:val="20"/>
            </w:pPr>
            <w:r>
              <w:rPr>
                <w:rFonts w:hint="eastAsia"/>
              </w:rPr>
              <w:t>√</w:t>
            </w:r>
          </w:p>
        </w:tc>
        <w:tc>
          <w:tcPr>
            <w:tcW w:w="851" w:type="dxa"/>
            <w:noWrap w:val="0"/>
            <w:vAlign w:val="center"/>
          </w:tcPr>
          <w:p w14:paraId="68E0DC13">
            <w:pPr>
              <w:pStyle w:val="20"/>
            </w:pPr>
            <w:r>
              <w:rPr>
                <w:rFonts w:hint="eastAsia"/>
              </w:rPr>
              <w:t>√</w:t>
            </w:r>
          </w:p>
        </w:tc>
        <w:tc>
          <w:tcPr>
            <w:tcW w:w="793" w:type="dxa"/>
            <w:noWrap w:val="0"/>
            <w:vAlign w:val="center"/>
          </w:tcPr>
          <w:p w14:paraId="4FBF38B5">
            <w:pPr>
              <w:pStyle w:val="20"/>
            </w:pPr>
          </w:p>
        </w:tc>
        <w:tc>
          <w:tcPr>
            <w:tcW w:w="850" w:type="dxa"/>
            <w:noWrap w:val="0"/>
            <w:vAlign w:val="center"/>
          </w:tcPr>
          <w:p w14:paraId="1106A05D">
            <w:pPr>
              <w:pStyle w:val="20"/>
            </w:pPr>
            <w:r>
              <w:rPr>
                <w:rFonts w:hint="eastAsia"/>
              </w:rPr>
              <w:t>√</w:t>
            </w:r>
          </w:p>
        </w:tc>
        <w:tc>
          <w:tcPr>
            <w:tcW w:w="992" w:type="dxa"/>
            <w:noWrap w:val="0"/>
            <w:vAlign w:val="center"/>
          </w:tcPr>
          <w:p w14:paraId="6FF7C18C">
            <w:pPr>
              <w:pStyle w:val="20"/>
            </w:pPr>
          </w:p>
        </w:tc>
        <w:tc>
          <w:tcPr>
            <w:tcW w:w="993" w:type="dxa"/>
            <w:tcBorders>
              <w:top w:val="single" w:color="auto" w:sz="4" w:space="0"/>
              <w:right w:val="single" w:color="auto" w:sz="4" w:space="0"/>
            </w:tcBorders>
            <w:noWrap w:val="0"/>
            <w:vAlign w:val="center"/>
          </w:tcPr>
          <w:p w14:paraId="2EB75A3D">
            <w:pPr>
              <w:pStyle w:val="20"/>
            </w:pPr>
            <w:r>
              <w:rPr>
                <w:rFonts w:hint="eastAsia"/>
              </w:rPr>
              <w:t>√</w:t>
            </w:r>
          </w:p>
        </w:tc>
        <w:tc>
          <w:tcPr>
            <w:tcW w:w="992" w:type="dxa"/>
            <w:tcBorders>
              <w:left w:val="single" w:color="auto" w:sz="4" w:space="0"/>
              <w:right w:val="single" w:color="auto" w:sz="4" w:space="0"/>
            </w:tcBorders>
            <w:noWrap w:val="0"/>
            <w:vAlign w:val="top"/>
          </w:tcPr>
          <w:p w14:paraId="0AA04BB5">
            <w:pPr>
              <w:pStyle w:val="20"/>
              <w:rPr>
                <w:rFonts w:hint="eastAsia"/>
              </w:rPr>
            </w:pPr>
          </w:p>
        </w:tc>
      </w:tr>
      <w:tr w14:paraId="018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31" w:type="dxa"/>
            <w:tcBorders>
              <w:left w:val="single" w:color="auto" w:sz="4" w:space="0"/>
            </w:tcBorders>
            <w:noWrap w:val="0"/>
            <w:vAlign w:val="top"/>
          </w:tcPr>
          <w:p w14:paraId="3000A92C">
            <w:pPr>
              <w:snapToGrid w:val="0"/>
              <w:spacing w:line="288" w:lineRule="auto"/>
              <w:rPr>
                <w:rFonts w:cs="仿宋"/>
                <w:sz w:val="21"/>
                <w:szCs w:val="21"/>
              </w:rPr>
            </w:pPr>
            <w:r>
              <w:rPr>
                <w:rFonts w:hint="eastAsia"/>
                <w:bCs/>
                <w:sz w:val="21"/>
                <w:szCs w:val="21"/>
              </w:rPr>
              <w:t xml:space="preserve">第八单元 </w:t>
            </w:r>
            <w:r>
              <w:rPr>
                <w:rFonts w:hint="eastAsia" w:cs="仿宋"/>
                <w:sz w:val="21"/>
                <w:szCs w:val="21"/>
              </w:rPr>
              <w:t>抗心律失常药、抗充血性心力衰竭药</w:t>
            </w:r>
          </w:p>
        </w:tc>
        <w:tc>
          <w:tcPr>
            <w:tcW w:w="905" w:type="dxa"/>
            <w:noWrap w:val="0"/>
            <w:vAlign w:val="center"/>
          </w:tcPr>
          <w:p w14:paraId="520FDBEA">
            <w:pPr>
              <w:pStyle w:val="20"/>
            </w:pPr>
            <w:r>
              <w:rPr>
                <w:rFonts w:hint="eastAsia"/>
              </w:rPr>
              <w:t>√</w:t>
            </w:r>
          </w:p>
        </w:tc>
        <w:tc>
          <w:tcPr>
            <w:tcW w:w="851" w:type="dxa"/>
            <w:noWrap w:val="0"/>
            <w:vAlign w:val="center"/>
          </w:tcPr>
          <w:p w14:paraId="19E06F2C">
            <w:pPr>
              <w:pStyle w:val="20"/>
            </w:pPr>
            <w:r>
              <w:rPr>
                <w:rFonts w:hint="eastAsia"/>
              </w:rPr>
              <w:t>√</w:t>
            </w:r>
          </w:p>
        </w:tc>
        <w:tc>
          <w:tcPr>
            <w:tcW w:w="793" w:type="dxa"/>
            <w:noWrap w:val="0"/>
            <w:vAlign w:val="center"/>
          </w:tcPr>
          <w:p w14:paraId="2E12B2F5">
            <w:pPr>
              <w:pStyle w:val="20"/>
            </w:pPr>
            <w:r>
              <w:rPr>
                <w:rFonts w:hint="eastAsia"/>
              </w:rPr>
              <w:t>√</w:t>
            </w:r>
          </w:p>
        </w:tc>
        <w:tc>
          <w:tcPr>
            <w:tcW w:w="850" w:type="dxa"/>
            <w:noWrap w:val="0"/>
            <w:vAlign w:val="center"/>
          </w:tcPr>
          <w:p w14:paraId="0A9C9DA5">
            <w:pPr>
              <w:pStyle w:val="20"/>
            </w:pPr>
          </w:p>
        </w:tc>
        <w:tc>
          <w:tcPr>
            <w:tcW w:w="992" w:type="dxa"/>
            <w:noWrap w:val="0"/>
            <w:vAlign w:val="center"/>
          </w:tcPr>
          <w:p w14:paraId="39094301">
            <w:pPr>
              <w:pStyle w:val="20"/>
            </w:pPr>
          </w:p>
        </w:tc>
        <w:tc>
          <w:tcPr>
            <w:tcW w:w="993" w:type="dxa"/>
            <w:tcBorders>
              <w:right w:val="single" w:color="auto" w:sz="12" w:space="0"/>
            </w:tcBorders>
            <w:noWrap w:val="0"/>
            <w:vAlign w:val="center"/>
          </w:tcPr>
          <w:p w14:paraId="61FB7EFB">
            <w:pPr>
              <w:pStyle w:val="20"/>
            </w:pPr>
            <w:r>
              <w:rPr>
                <w:rFonts w:hint="eastAsia"/>
              </w:rPr>
              <w:t>√</w:t>
            </w:r>
          </w:p>
        </w:tc>
        <w:tc>
          <w:tcPr>
            <w:tcW w:w="992" w:type="dxa"/>
            <w:tcBorders>
              <w:right w:val="single" w:color="auto" w:sz="4" w:space="0"/>
            </w:tcBorders>
            <w:noWrap w:val="0"/>
            <w:vAlign w:val="center"/>
          </w:tcPr>
          <w:p w14:paraId="4259FDD9">
            <w:pPr>
              <w:pStyle w:val="20"/>
            </w:pPr>
            <w:r>
              <w:rPr>
                <w:rFonts w:hint="eastAsia"/>
              </w:rPr>
              <w:t>√</w:t>
            </w:r>
          </w:p>
        </w:tc>
      </w:tr>
      <w:tr w14:paraId="27B6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3CC3D008">
            <w:pPr>
              <w:snapToGrid w:val="0"/>
              <w:spacing w:line="288" w:lineRule="auto"/>
              <w:rPr>
                <w:sz w:val="21"/>
                <w:szCs w:val="21"/>
              </w:rPr>
            </w:pPr>
            <w:r>
              <w:rPr>
                <w:rFonts w:hint="eastAsia"/>
                <w:bCs/>
                <w:color w:val="000000"/>
                <w:sz w:val="21"/>
                <w:szCs w:val="21"/>
              </w:rPr>
              <w:t xml:space="preserve">第九单元 </w:t>
            </w:r>
            <w:r>
              <w:rPr>
                <w:rFonts w:hint="eastAsia" w:cs="仿宋"/>
                <w:sz w:val="21"/>
                <w:szCs w:val="21"/>
              </w:rPr>
              <w:t>抗心绞痛药、调血脂药、利尿药及脱水药</w:t>
            </w:r>
          </w:p>
        </w:tc>
        <w:tc>
          <w:tcPr>
            <w:tcW w:w="905" w:type="dxa"/>
            <w:noWrap w:val="0"/>
            <w:vAlign w:val="center"/>
          </w:tcPr>
          <w:p w14:paraId="4FD7EDF1">
            <w:pPr>
              <w:pStyle w:val="20"/>
            </w:pPr>
            <w:r>
              <w:rPr>
                <w:rFonts w:hint="eastAsia"/>
              </w:rPr>
              <w:t>√</w:t>
            </w:r>
          </w:p>
        </w:tc>
        <w:tc>
          <w:tcPr>
            <w:tcW w:w="851" w:type="dxa"/>
            <w:noWrap w:val="0"/>
            <w:vAlign w:val="center"/>
          </w:tcPr>
          <w:p w14:paraId="506D61FA">
            <w:pPr>
              <w:pStyle w:val="20"/>
            </w:pPr>
            <w:r>
              <w:rPr>
                <w:rFonts w:hint="eastAsia"/>
              </w:rPr>
              <w:t>√</w:t>
            </w:r>
          </w:p>
        </w:tc>
        <w:tc>
          <w:tcPr>
            <w:tcW w:w="793" w:type="dxa"/>
            <w:noWrap w:val="0"/>
            <w:vAlign w:val="center"/>
          </w:tcPr>
          <w:p w14:paraId="0E212C57">
            <w:pPr>
              <w:pStyle w:val="20"/>
            </w:pPr>
            <w:r>
              <w:rPr>
                <w:rFonts w:hint="eastAsia"/>
              </w:rPr>
              <w:t>√</w:t>
            </w:r>
          </w:p>
        </w:tc>
        <w:tc>
          <w:tcPr>
            <w:tcW w:w="850" w:type="dxa"/>
            <w:noWrap w:val="0"/>
            <w:vAlign w:val="center"/>
          </w:tcPr>
          <w:p w14:paraId="25C40479">
            <w:pPr>
              <w:pStyle w:val="20"/>
            </w:pPr>
          </w:p>
        </w:tc>
        <w:tc>
          <w:tcPr>
            <w:tcW w:w="992" w:type="dxa"/>
            <w:noWrap w:val="0"/>
            <w:vAlign w:val="center"/>
          </w:tcPr>
          <w:p w14:paraId="56CC439F">
            <w:pPr>
              <w:pStyle w:val="20"/>
            </w:pPr>
            <w:r>
              <w:rPr>
                <w:rFonts w:hint="eastAsia"/>
              </w:rPr>
              <w:t>√</w:t>
            </w:r>
          </w:p>
        </w:tc>
        <w:tc>
          <w:tcPr>
            <w:tcW w:w="993" w:type="dxa"/>
            <w:tcBorders>
              <w:right w:val="single" w:color="auto" w:sz="12" w:space="0"/>
            </w:tcBorders>
            <w:noWrap w:val="0"/>
            <w:vAlign w:val="center"/>
          </w:tcPr>
          <w:p w14:paraId="1098B199">
            <w:pPr>
              <w:pStyle w:val="20"/>
            </w:pPr>
          </w:p>
        </w:tc>
        <w:tc>
          <w:tcPr>
            <w:tcW w:w="992" w:type="dxa"/>
            <w:tcBorders>
              <w:right w:val="single" w:color="auto" w:sz="4" w:space="0"/>
            </w:tcBorders>
            <w:noWrap w:val="0"/>
            <w:vAlign w:val="center"/>
          </w:tcPr>
          <w:p w14:paraId="17D775CF">
            <w:pPr>
              <w:pStyle w:val="20"/>
            </w:pPr>
            <w:r>
              <w:rPr>
                <w:rFonts w:hint="eastAsia"/>
              </w:rPr>
              <w:t>√</w:t>
            </w:r>
          </w:p>
        </w:tc>
      </w:tr>
      <w:tr w14:paraId="30FB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60ECEE8">
            <w:pPr>
              <w:snapToGrid w:val="0"/>
              <w:spacing w:line="288" w:lineRule="auto"/>
              <w:rPr>
                <w:rFonts w:hint="eastAsia" w:cs="仿宋"/>
                <w:sz w:val="21"/>
                <w:szCs w:val="21"/>
              </w:rPr>
            </w:pPr>
            <w:r>
              <w:rPr>
                <w:rFonts w:hint="eastAsia"/>
                <w:bCs/>
                <w:color w:val="000000"/>
                <w:sz w:val="21"/>
                <w:szCs w:val="21"/>
              </w:rPr>
              <w:t xml:space="preserve">第十单元 </w:t>
            </w:r>
            <w:r>
              <w:rPr>
                <w:rFonts w:hint="eastAsia" w:cs="仿宋"/>
                <w:sz w:val="21"/>
                <w:szCs w:val="21"/>
              </w:rPr>
              <w:t>作用于消化系统的药物、作用于呼吸系统的药物</w:t>
            </w:r>
          </w:p>
        </w:tc>
        <w:tc>
          <w:tcPr>
            <w:tcW w:w="905" w:type="dxa"/>
            <w:noWrap w:val="0"/>
            <w:vAlign w:val="center"/>
          </w:tcPr>
          <w:p w14:paraId="62548528">
            <w:pPr>
              <w:pStyle w:val="20"/>
            </w:pPr>
            <w:r>
              <w:rPr>
                <w:rFonts w:hint="eastAsia"/>
              </w:rPr>
              <w:t>√</w:t>
            </w:r>
          </w:p>
        </w:tc>
        <w:tc>
          <w:tcPr>
            <w:tcW w:w="851" w:type="dxa"/>
            <w:noWrap w:val="0"/>
            <w:vAlign w:val="center"/>
          </w:tcPr>
          <w:p w14:paraId="55029E1C">
            <w:pPr>
              <w:pStyle w:val="20"/>
            </w:pPr>
            <w:r>
              <w:rPr>
                <w:rFonts w:hint="eastAsia"/>
              </w:rPr>
              <w:t>√</w:t>
            </w:r>
          </w:p>
        </w:tc>
        <w:tc>
          <w:tcPr>
            <w:tcW w:w="793" w:type="dxa"/>
            <w:noWrap w:val="0"/>
            <w:vAlign w:val="center"/>
          </w:tcPr>
          <w:p w14:paraId="791E3A84">
            <w:pPr>
              <w:pStyle w:val="20"/>
            </w:pPr>
            <w:r>
              <w:rPr>
                <w:rFonts w:hint="eastAsia"/>
              </w:rPr>
              <w:t>√</w:t>
            </w:r>
          </w:p>
        </w:tc>
        <w:tc>
          <w:tcPr>
            <w:tcW w:w="850" w:type="dxa"/>
            <w:noWrap w:val="0"/>
            <w:vAlign w:val="center"/>
          </w:tcPr>
          <w:p w14:paraId="3FB3AE7D">
            <w:pPr>
              <w:pStyle w:val="20"/>
            </w:pPr>
          </w:p>
        </w:tc>
        <w:tc>
          <w:tcPr>
            <w:tcW w:w="992" w:type="dxa"/>
            <w:noWrap w:val="0"/>
            <w:vAlign w:val="center"/>
          </w:tcPr>
          <w:p w14:paraId="675DDCEA">
            <w:pPr>
              <w:pStyle w:val="20"/>
              <w:rPr>
                <w:rFonts w:hint="eastAsia"/>
              </w:rPr>
            </w:pPr>
          </w:p>
        </w:tc>
        <w:tc>
          <w:tcPr>
            <w:tcW w:w="993" w:type="dxa"/>
            <w:tcBorders>
              <w:right w:val="single" w:color="auto" w:sz="12" w:space="0"/>
            </w:tcBorders>
            <w:noWrap w:val="0"/>
            <w:vAlign w:val="center"/>
          </w:tcPr>
          <w:p w14:paraId="40C8DE83">
            <w:pPr>
              <w:pStyle w:val="20"/>
            </w:pPr>
          </w:p>
        </w:tc>
        <w:tc>
          <w:tcPr>
            <w:tcW w:w="992" w:type="dxa"/>
            <w:tcBorders>
              <w:right w:val="single" w:color="auto" w:sz="4" w:space="0"/>
            </w:tcBorders>
            <w:noWrap w:val="0"/>
            <w:vAlign w:val="top"/>
          </w:tcPr>
          <w:p w14:paraId="66131E23">
            <w:pPr>
              <w:pStyle w:val="20"/>
            </w:pPr>
          </w:p>
        </w:tc>
      </w:tr>
      <w:tr w14:paraId="0B40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31" w:type="dxa"/>
            <w:tcBorders>
              <w:left w:val="single" w:color="auto" w:sz="4" w:space="0"/>
            </w:tcBorders>
            <w:noWrap w:val="0"/>
            <w:vAlign w:val="top"/>
          </w:tcPr>
          <w:p w14:paraId="2DCD306B">
            <w:pPr>
              <w:snapToGrid w:val="0"/>
              <w:spacing w:line="288" w:lineRule="auto"/>
              <w:rPr>
                <w:rFonts w:hint="eastAsia" w:cs="仿宋"/>
                <w:sz w:val="21"/>
                <w:szCs w:val="21"/>
              </w:rPr>
            </w:pPr>
            <w:r>
              <w:rPr>
                <w:rFonts w:hint="eastAsia"/>
                <w:bCs/>
                <w:color w:val="000000"/>
                <w:sz w:val="21"/>
                <w:szCs w:val="21"/>
              </w:rPr>
              <w:t>第十一单元 子宫平滑肌收缩药与舒张药、作用于血液及造血系统的药物、拟组胺药与抗组胺药</w:t>
            </w:r>
            <w:r>
              <w:rPr>
                <w:rFonts w:hint="eastAsia"/>
                <w:sz w:val="21"/>
                <w:szCs w:val="21"/>
              </w:rPr>
              <w:t xml:space="preserve">  </w:t>
            </w:r>
          </w:p>
        </w:tc>
        <w:tc>
          <w:tcPr>
            <w:tcW w:w="905" w:type="dxa"/>
            <w:noWrap w:val="0"/>
            <w:vAlign w:val="center"/>
          </w:tcPr>
          <w:p w14:paraId="13997961">
            <w:pPr>
              <w:pStyle w:val="20"/>
            </w:pPr>
            <w:r>
              <w:rPr>
                <w:rFonts w:hint="eastAsia"/>
              </w:rPr>
              <w:t>√</w:t>
            </w:r>
          </w:p>
        </w:tc>
        <w:tc>
          <w:tcPr>
            <w:tcW w:w="851" w:type="dxa"/>
            <w:noWrap w:val="0"/>
            <w:vAlign w:val="center"/>
          </w:tcPr>
          <w:p w14:paraId="3EF47CDB">
            <w:pPr>
              <w:pStyle w:val="20"/>
              <w:rPr>
                <w:rFonts w:hint="eastAsia"/>
              </w:rPr>
            </w:pPr>
          </w:p>
        </w:tc>
        <w:tc>
          <w:tcPr>
            <w:tcW w:w="793" w:type="dxa"/>
            <w:noWrap w:val="0"/>
            <w:vAlign w:val="center"/>
          </w:tcPr>
          <w:p w14:paraId="609022FF">
            <w:pPr>
              <w:pStyle w:val="20"/>
            </w:pPr>
            <w:r>
              <w:rPr>
                <w:rFonts w:hint="eastAsia"/>
              </w:rPr>
              <w:t>√</w:t>
            </w:r>
          </w:p>
        </w:tc>
        <w:tc>
          <w:tcPr>
            <w:tcW w:w="850" w:type="dxa"/>
            <w:noWrap w:val="0"/>
            <w:vAlign w:val="center"/>
          </w:tcPr>
          <w:p w14:paraId="4C5C5D72">
            <w:pPr>
              <w:pStyle w:val="20"/>
            </w:pPr>
          </w:p>
        </w:tc>
        <w:tc>
          <w:tcPr>
            <w:tcW w:w="992" w:type="dxa"/>
            <w:noWrap w:val="0"/>
            <w:vAlign w:val="center"/>
          </w:tcPr>
          <w:p w14:paraId="24F4CE41">
            <w:pPr>
              <w:pStyle w:val="20"/>
              <w:rPr>
                <w:rFonts w:hint="eastAsia"/>
              </w:rPr>
            </w:pPr>
            <w:r>
              <w:rPr>
                <w:rFonts w:hint="eastAsia"/>
              </w:rPr>
              <w:t>√</w:t>
            </w:r>
          </w:p>
        </w:tc>
        <w:tc>
          <w:tcPr>
            <w:tcW w:w="993" w:type="dxa"/>
            <w:tcBorders>
              <w:right w:val="single" w:color="auto" w:sz="12" w:space="0"/>
            </w:tcBorders>
            <w:noWrap w:val="0"/>
            <w:vAlign w:val="center"/>
          </w:tcPr>
          <w:p w14:paraId="4450A46E">
            <w:pPr>
              <w:pStyle w:val="20"/>
            </w:pPr>
          </w:p>
        </w:tc>
        <w:tc>
          <w:tcPr>
            <w:tcW w:w="992" w:type="dxa"/>
            <w:tcBorders>
              <w:right w:val="single" w:color="auto" w:sz="4" w:space="0"/>
            </w:tcBorders>
            <w:noWrap w:val="0"/>
            <w:vAlign w:val="top"/>
          </w:tcPr>
          <w:p w14:paraId="7ADFAF93">
            <w:pPr>
              <w:pStyle w:val="20"/>
            </w:pPr>
          </w:p>
        </w:tc>
      </w:tr>
      <w:tr w14:paraId="45BE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0CF58DBD">
            <w:pPr>
              <w:snapToGrid w:val="0"/>
              <w:spacing w:line="288" w:lineRule="auto"/>
              <w:rPr>
                <w:rFonts w:hint="eastAsia" w:cs="仿宋"/>
                <w:sz w:val="21"/>
                <w:szCs w:val="21"/>
              </w:rPr>
            </w:pPr>
            <w:r>
              <w:rPr>
                <w:rFonts w:hint="eastAsia"/>
                <w:bCs/>
                <w:sz w:val="21"/>
                <w:szCs w:val="21"/>
              </w:rPr>
              <w:t>第十二单元</w:t>
            </w:r>
            <w:r>
              <w:rPr>
                <w:rFonts w:hint="eastAsia" w:cs="仿宋"/>
                <w:sz w:val="21"/>
                <w:szCs w:val="21"/>
              </w:rPr>
              <w:t>肾上腺皮质激素类药、甲状腺激素和抗甲状腺药</w:t>
            </w:r>
          </w:p>
        </w:tc>
        <w:tc>
          <w:tcPr>
            <w:tcW w:w="905" w:type="dxa"/>
            <w:noWrap w:val="0"/>
            <w:vAlign w:val="center"/>
          </w:tcPr>
          <w:p w14:paraId="1454E0BE">
            <w:pPr>
              <w:pStyle w:val="20"/>
            </w:pPr>
            <w:r>
              <w:rPr>
                <w:rFonts w:hint="eastAsia"/>
              </w:rPr>
              <w:t>√</w:t>
            </w:r>
          </w:p>
        </w:tc>
        <w:tc>
          <w:tcPr>
            <w:tcW w:w="851" w:type="dxa"/>
            <w:noWrap w:val="0"/>
            <w:vAlign w:val="center"/>
          </w:tcPr>
          <w:p w14:paraId="1C4E439C">
            <w:pPr>
              <w:pStyle w:val="20"/>
            </w:pPr>
            <w:r>
              <w:rPr>
                <w:rFonts w:hint="eastAsia"/>
              </w:rPr>
              <w:t>√</w:t>
            </w:r>
          </w:p>
        </w:tc>
        <w:tc>
          <w:tcPr>
            <w:tcW w:w="793" w:type="dxa"/>
            <w:noWrap w:val="0"/>
            <w:vAlign w:val="center"/>
          </w:tcPr>
          <w:p w14:paraId="6D06A3FE">
            <w:pPr>
              <w:pStyle w:val="20"/>
              <w:rPr>
                <w:rFonts w:hint="eastAsia"/>
              </w:rPr>
            </w:pPr>
          </w:p>
        </w:tc>
        <w:tc>
          <w:tcPr>
            <w:tcW w:w="850" w:type="dxa"/>
            <w:noWrap w:val="0"/>
            <w:vAlign w:val="center"/>
          </w:tcPr>
          <w:p w14:paraId="3E24E610">
            <w:pPr>
              <w:pStyle w:val="20"/>
            </w:pPr>
            <w:r>
              <w:rPr>
                <w:rFonts w:hint="eastAsia"/>
              </w:rPr>
              <w:t>√</w:t>
            </w:r>
          </w:p>
        </w:tc>
        <w:tc>
          <w:tcPr>
            <w:tcW w:w="992" w:type="dxa"/>
            <w:noWrap w:val="0"/>
            <w:vAlign w:val="center"/>
          </w:tcPr>
          <w:p w14:paraId="6AB74590">
            <w:pPr>
              <w:pStyle w:val="20"/>
              <w:rPr>
                <w:rFonts w:hint="eastAsia"/>
              </w:rPr>
            </w:pPr>
            <w:r>
              <w:rPr>
                <w:rFonts w:hint="eastAsia"/>
              </w:rPr>
              <w:t>√</w:t>
            </w:r>
          </w:p>
        </w:tc>
        <w:tc>
          <w:tcPr>
            <w:tcW w:w="993" w:type="dxa"/>
            <w:tcBorders>
              <w:right w:val="single" w:color="auto" w:sz="12" w:space="0"/>
            </w:tcBorders>
            <w:noWrap w:val="0"/>
            <w:vAlign w:val="center"/>
          </w:tcPr>
          <w:p w14:paraId="663C4ECB">
            <w:pPr>
              <w:pStyle w:val="20"/>
            </w:pPr>
          </w:p>
        </w:tc>
        <w:tc>
          <w:tcPr>
            <w:tcW w:w="992" w:type="dxa"/>
            <w:tcBorders>
              <w:right w:val="single" w:color="auto" w:sz="4" w:space="0"/>
            </w:tcBorders>
            <w:noWrap w:val="0"/>
            <w:vAlign w:val="center"/>
          </w:tcPr>
          <w:p w14:paraId="18CE8222">
            <w:pPr>
              <w:pStyle w:val="20"/>
            </w:pPr>
            <w:r>
              <w:rPr>
                <w:rFonts w:hint="eastAsia"/>
              </w:rPr>
              <w:t>√</w:t>
            </w:r>
          </w:p>
        </w:tc>
      </w:tr>
      <w:tr w14:paraId="5CF3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547C5194">
            <w:pPr>
              <w:snapToGrid w:val="0"/>
              <w:spacing w:line="288" w:lineRule="auto"/>
              <w:rPr>
                <w:rFonts w:hint="eastAsia" w:cs="仿宋"/>
                <w:sz w:val="21"/>
                <w:szCs w:val="21"/>
              </w:rPr>
            </w:pPr>
            <w:r>
              <w:rPr>
                <w:rFonts w:hint="eastAsia"/>
                <w:bCs/>
                <w:sz w:val="21"/>
                <w:szCs w:val="21"/>
              </w:rPr>
              <w:t>第十三单元</w:t>
            </w:r>
            <w:r>
              <w:rPr>
                <w:rFonts w:hint="eastAsia" w:cs="仿宋"/>
                <w:sz w:val="21"/>
                <w:szCs w:val="21"/>
              </w:rPr>
              <w:t>胰岛素和口服降血糖药、性激素类药及避孕药、抗骨质疏松症药</w:t>
            </w:r>
          </w:p>
        </w:tc>
        <w:tc>
          <w:tcPr>
            <w:tcW w:w="905" w:type="dxa"/>
            <w:noWrap w:val="0"/>
            <w:vAlign w:val="center"/>
          </w:tcPr>
          <w:p w14:paraId="11273C8D">
            <w:pPr>
              <w:pStyle w:val="20"/>
            </w:pPr>
            <w:r>
              <w:rPr>
                <w:rFonts w:hint="eastAsia"/>
              </w:rPr>
              <w:t>√</w:t>
            </w:r>
          </w:p>
        </w:tc>
        <w:tc>
          <w:tcPr>
            <w:tcW w:w="851" w:type="dxa"/>
            <w:noWrap w:val="0"/>
            <w:vAlign w:val="center"/>
          </w:tcPr>
          <w:p w14:paraId="1E1FFC10">
            <w:pPr>
              <w:pStyle w:val="20"/>
              <w:rPr>
                <w:rFonts w:hint="eastAsia"/>
              </w:rPr>
            </w:pPr>
          </w:p>
        </w:tc>
        <w:tc>
          <w:tcPr>
            <w:tcW w:w="793" w:type="dxa"/>
            <w:noWrap w:val="0"/>
            <w:vAlign w:val="center"/>
          </w:tcPr>
          <w:p w14:paraId="1146A782">
            <w:pPr>
              <w:pStyle w:val="20"/>
            </w:pPr>
            <w:r>
              <w:rPr>
                <w:rFonts w:hint="eastAsia"/>
              </w:rPr>
              <w:t>√</w:t>
            </w:r>
          </w:p>
        </w:tc>
        <w:tc>
          <w:tcPr>
            <w:tcW w:w="850" w:type="dxa"/>
            <w:noWrap w:val="0"/>
            <w:vAlign w:val="center"/>
          </w:tcPr>
          <w:p w14:paraId="13CC905B">
            <w:pPr>
              <w:pStyle w:val="20"/>
            </w:pPr>
          </w:p>
        </w:tc>
        <w:tc>
          <w:tcPr>
            <w:tcW w:w="992" w:type="dxa"/>
            <w:noWrap w:val="0"/>
            <w:vAlign w:val="center"/>
          </w:tcPr>
          <w:p w14:paraId="71341311">
            <w:pPr>
              <w:pStyle w:val="20"/>
              <w:rPr>
                <w:rFonts w:hint="eastAsia"/>
              </w:rPr>
            </w:pPr>
            <w:r>
              <w:rPr>
                <w:rFonts w:hint="eastAsia"/>
              </w:rPr>
              <w:t>√</w:t>
            </w:r>
          </w:p>
        </w:tc>
        <w:tc>
          <w:tcPr>
            <w:tcW w:w="993" w:type="dxa"/>
            <w:tcBorders>
              <w:right w:val="single" w:color="auto" w:sz="12" w:space="0"/>
            </w:tcBorders>
            <w:noWrap w:val="0"/>
            <w:vAlign w:val="center"/>
          </w:tcPr>
          <w:p w14:paraId="6D53DC30">
            <w:pPr>
              <w:pStyle w:val="20"/>
            </w:pPr>
          </w:p>
        </w:tc>
        <w:tc>
          <w:tcPr>
            <w:tcW w:w="992" w:type="dxa"/>
            <w:tcBorders>
              <w:right w:val="single" w:color="auto" w:sz="4" w:space="0"/>
            </w:tcBorders>
            <w:noWrap w:val="0"/>
            <w:vAlign w:val="top"/>
          </w:tcPr>
          <w:p w14:paraId="41455D15">
            <w:pPr>
              <w:pStyle w:val="20"/>
            </w:pPr>
          </w:p>
        </w:tc>
      </w:tr>
      <w:tr w14:paraId="5846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31" w:type="dxa"/>
            <w:tcBorders>
              <w:left w:val="single" w:color="auto" w:sz="4" w:space="0"/>
            </w:tcBorders>
            <w:noWrap w:val="0"/>
            <w:vAlign w:val="top"/>
          </w:tcPr>
          <w:p w14:paraId="49149C10">
            <w:pPr>
              <w:widowControl w:val="0"/>
              <w:snapToGrid w:val="0"/>
              <w:spacing w:line="288" w:lineRule="auto"/>
              <w:rPr>
                <w:rFonts w:hint="eastAsia"/>
                <w:sz w:val="21"/>
                <w:szCs w:val="21"/>
              </w:rPr>
            </w:pPr>
            <w:r>
              <w:rPr>
                <w:rFonts w:hint="eastAsia"/>
                <w:bCs/>
                <w:sz w:val="21"/>
                <w:szCs w:val="21"/>
              </w:rPr>
              <w:t>第十四单元</w:t>
            </w:r>
            <w:r>
              <w:rPr>
                <w:rFonts w:hint="eastAsia" w:cs="仿宋"/>
                <w:sz w:val="21"/>
                <w:szCs w:val="21"/>
              </w:rPr>
              <w:t>抗菌药概述、抗生素</w:t>
            </w:r>
          </w:p>
        </w:tc>
        <w:tc>
          <w:tcPr>
            <w:tcW w:w="905" w:type="dxa"/>
            <w:noWrap w:val="0"/>
            <w:vAlign w:val="center"/>
          </w:tcPr>
          <w:p w14:paraId="11A25A95">
            <w:pPr>
              <w:pStyle w:val="20"/>
            </w:pPr>
            <w:r>
              <w:rPr>
                <w:rFonts w:hint="eastAsia"/>
              </w:rPr>
              <w:t>√</w:t>
            </w:r>
          </w:p>
        </w:tc>
        <w:tc>
          <w:tcPr>
            <w:tcW w:w="851" w:type="dxa"/>
            <w:noWrap w:val="0"/>
            <w:vAlign w:val="center"/>
          </w:tcPr>
          <w:p w14:paraId="50F25012">
            <w:pPr>
              <w:pStyle w:val="20"/>
              <w:rPr>
                <w:rFonts w:hint="eastAsia"/>
              </w:rPr>
            </w:pPr>
          </w:p>
        </w:tc>
        <w:tc>
          <w:tcPr>
            <w:tcW w:w="793" w:type="dxa"/>
            <w:noWrap w:val="0"/>
            <w:vAlign w:val="center"/>
          </w:tcPr>
          <w:p w14:paraId="48301C5D">
            <w:pPr>
              <w:pStyle w:val="20"/>
              <w:rPr>
                <w:rFonts w:hint="eastAsia"/>
              </w:rPr>
            </w:pPr>
          </w:p>
        </w:tc>
        <w:tc>
          <w:tcPr>
            <w:tcW w:w="850" w:type="dxa"/>
            <w:noWrap w:val="0"/>
            <w:vAlign w:val="center"/>
          </w:tcPr>
          <w:p w14:paraId="5E3F404E">
            <w:pPr>
              <w:pStyle w:val="20"/>
            </w:pPr>
          </w:p>
        </w:tc>
        <w:tc>
          <w:tcPr>
            <w:tcW w:w="992" w:type="dxa"/>
            <w:noWrap w:val="0"/>
            <w:vAlign w:val="center"/>
          </w:tcPr>
          <w:p w14:paraId="5E305797">
            <w:pPr>
              <w:pStyle w:val="20"/>
            </w:pPr>
            <w:r>
              <w:rPr>
                <w:rFonts w:hint="eastAsia"/>
              </w:rPr>
              <w:t>√</w:t>
            </w:r>
          </w:p>
        </w:tc>
        <w:tc>
          <w:tcPr>
            <w:tcW w:w="993" w:type="dxa"/>
            <w:tcBorders>
              <w:right w:val="single" w:color="auto" w:sz="12" w:space="0"/>
            </w:tcBorders>
            <w:noWrap w:val="0"/>
            <w:vAlign w:val="center"/>
          </w:tcPr>
          <w:p w14:paraId="190D6432">
            <w:pPr>
              <w:pStyle w:val="20"/>
            </w:pPr>
            <w:r>
              <w:rPr>
                <w:rFonts w:hint="eastAsia"/>
              </w:rPr>
              <w:t>√</w:t>
            </w:r>
          </w:p>
        </w:tc>
        <w:tc>
          <w:tcPr>
            <w:tcW w:w="992" w:type="dxa"/>
            <w:tcBorders>
              <w:right w:val="single" w:color="auto" w:sz="4" w:space="0"/>
            </w:tcBorders>
            <w:noWrap w:val="0"/>
            <w:vAlign w:val="top"/>
          </w:tcPr>
          <w:p w14:paraId="71AF5A6E">
            <w:pPr>
              <w:pStyle w:val="20"/>
            </w:pPr>
          </w:p>
        </w:tc>
      </w:tr>
      <w:tr w14:paraId="236A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176D4069">
            <w:pPr>
              <w:widowControl w:val="0"/>
              <w:snapToGrid w:val="0"/>
              <w:spacing w:line="288" w:lineRule="auto"/>
              <w:rPr>
                <w:rFonts w:hint="eastAsia"/>
                <w:sz w:val="21"/>
                <w:szCs w:val="21"/>
              </w:rPr>
            </w:pPr>
            <w:r>
              <w:rPr>
                <w:rFonts w:hint="eastAsia"/>
                <w:bCs/>
                <w:sz w:val="21"/>
                <w:szCs w:val="21"/>
              </w:rPr>
              <w:t xml:space="preserve">第十五单元 </w:t>
            </w:r>
            <w:r>
              <w:rPr>
                <w:rFonts w:hint="eastAsia" w:cs="仿宋"/>
                <w:sz w:val="21"/>
                <w:szCs w:val="21"/>
              </w:rPr>
              <w:t>人工合成抗菌药、抗结核病药</w:t>
            </w:r>
          </w:p>
        </w:tc>
        <w:tc>
          <w:tcPr>
            <w:tcW w:w="905" w:type="dxa"/>
            <w:noWrap w:val="0"/>
            <w:vAlign w:val="center"/>
          </w:tcPr>
          <w:p w14:paraId="32C7D43E">
            <w:pPr>
              <w:pStyle w:val="20"/>
            </w:pPr>
            <w:r>
              <w:rPr>
                <w:rFonts w:hint="eastAsia"/>
              </w:rPr>
              <w:t>√</w:t>
            </w:r>
          </w:p>
        </w:tc>
        <w:tc>
          <w:tcPr>
            <w:tcW w:w="851" w:type="dxa"/>
            <w:noWrap w:val="0"/>
            <w:vAlign w:val="center"/>
          </w:tcPr>
          <w:p w14:paraId="7A582097">
            <w:pPr>
              <w:pStyle w:val="20"/>
              <w:rPr>
                <w:rFonts w:hint="eastAsia"/>
              </w:rPr>
            </w:pPr>
          </w:p>
        </w:tc>
        <w:tc>
          <w:tcPr>
            <w:tcW w:w="793" w:type="dxa"/>
            <w:noWrap w:val="0"/>
            <w:vAlign w:val="center"/>
          </w:tcPr>
          <w:p w14:paraId="3DC978BF">
            <w:pPr>
              <w:pStyle w:val="20"/>
              <w:rPr>
                <w:rFonts w:hint="eastAsia"/>
              </w:rPr>
            </w:pPr>
          </w:p>
        </w:tc>
        <w:tc>
          <w:tcPr>
            <w:tcW w:w="850" w:type="dxa"/>
            <w:noWrap w:val="0"/>
            <w:vAlign w:val="center"/>
          </w:tcPr>
          <w:p w14:paraId="4FE68E6A">
            <w:pPr>
              <w:pStyle w:val="20"/>
            </w:pPr>
          </w:p>
        </w:tc>
        <w:tc>
          <w:tcPr>
            <w:tcW w:w="992" w:type="dxa"/>
            <w:noWrap w:val="0"/>
            <w:vAlign w:val="center"/>
          </w:tcPr>
          <w:p w14:paraId="1498B760">
            <w:pPr>
              <w:pStyle w:val="20"/>
            </w:pPr>
            <w:r>
              <w:rPr>
                <w:rFonts w:hint="eastAsia"/>
              </w:rPr>
              <w:t>√</w:t>
            </w:r>
          </w:p>
        </w:tc>
        <w:tc>
          <w:tcPr>
            <w:tcW w:w="993" w:type="dxa"/>
            <w:tcBorders>
              <w:right w:val="single" w:color="auto" w:sz="12" w:space="0"/>
            </w:tcBorders>
            <w:noWrap w:val="0"/>
            <w:vAlign w:val="center"/>
          </w:tcPr>
          <w:p w14:paraId="5EF4207C">
            <w:pPr>
              <w:pStyle w:val="20"/>
            </w:pPr>
          </w:p>
        </w:tc>
        <w:tc>
          <w:tcPr>
            <w:tcW w:w="992" w:type="dxa"/>
            <w:tcBorders>
              <w:right w:val="single" w:color="auto" w:sz="4" w:space="0"/>
            </w:tcBorders>
            <w:noWrap w:val="0"/>
            <w:vAlign w:val="center"/>
          </w:tcPr>
          <w:p w14:paraId="00672565">
            <w:pPr>
              <w:pStyle w:val="20"/>
            </w:pPr>
            <w:r>
              <w:rPr>
                <w:rFonts w:hint="eastAsia"/>
              </w:rPr>
              <w:t>√</w:t>
            </w:r>
          </w:p>
        </w:tc>
      </w:tr>
      <w:tr w14:paraId="5B7B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63D1E825">
            <w:pPr>
              <w:widowControl w:val="0"/>
              <w:snapToGrid w:val="0"/>
              <w:spacing w:line="288" w:lineRule="auto"/>
              <w:rPr>
                <w:rFonts w:hint="eastAsia"/>
                <w:bCs/>
                <w:sz w:val="21"/>
                <w:szCs w:val="21"/>
              </w:rPr>
            </w:pPr>
            <w:r>
              <w:rPr>
                <w:rFonts w:hint="eastAsia"/>
                <w:bCs/>
                <w:sz w:val="21"/>
                <w:szCs w:val="21"/>
              </w:rPr>
              <w:t>第十六单元 抗真菌药及抗病毒药、抗寄生虫药、抗恶性肿瘤药 、影响免疫功能的药物</w:t>
            </w:r>
          </w:p>
        </w:tc>
        <w:tc>
          <w:tcPr>
            <w:tcW w:w="905" w:type="dxa"/>
            <w:noWrap w:val="0"/>
            <w:vAlign w:val="center"/>
          </w:tcPr>
          <w:p w14:paraId="7F6EE326">
            <w:pPr>
              <w:pStyle w:val="20"/>
            </w:pPr>
            <w:r>
              <w:rPr>
                <w:rFonts w:hint="eastAsia"/>
              </w:rPr>
              <w:t>√</w:t>
            </w:r>
          </w:p>
        </w:tc>
        <w:tc>
          <w:tcPr>
            <w:tcW w:w="851" w:type="dxa"/>
            <w:noWrap w:val="0"/>
            <w:vAlign w:val="center"/>
          </w:tcPr>
          <w:p w14:paraId="0A861D6D">
            <w:pPr>
              <w:pStyle w:val="20"/>
            </w:pPr>
            <w:r>
              <w:rPr>
                <w:rFonts w:hint="eastAsia"/>
              </w:rPr>
              <w:t>√</w:t>
            </w:r>
          </w:p>
        </w:tc>
        <w:tc>
          <w:tcPr>
            <w:tcW w:w="793" w:type="dxa"/>
            <w:noWrap w:val="0"/>
            <w:vAlign w:val="center"/>
          </w:tcPr>
          <w:p w14:paraId="7311C251">
            <w:pPr>
              <w:pStyle w:val="20"/>
              <w:rPr>
                <w:rFonts w:hint="eastAsia"/>
              </w:rPr>
            </w:pPr>
          </w:p>
        </w:tc>
        <w:tc>
          <w:tcPr>
            <w:tcW w:w="850" w:type="dxa"/>
            <w:noWrap w:val="0"/>
            <w:vAlign w:val="center"/>
          </w:tcPr>
          <w:p w14:paraId="173946CA">
            <w:pPr>
              <w:pStyle w:val="20"/>
            </w:pPr>
            <w:r>
              <w:rPr>
                <w:rFonts w:hint="eastAsia"/>
              </w:rPr>
              <w:t>√</w:t>
            </w:r>
          </w:p>
        </w:tc>
        <w:tc>
          <w:tcPr>
            <w:tcW w:w="992" w:type="dxa"/>
            <w:noWrap w:val="0"/>
            <w:vAlign w:val="center"/>
          </w:tcPr>
          <w:p w14:paraId="4FDF08A2">
            <w:pPr>
              <w:pStyle w:val="20"/>
              <w:rPr>
                <w:rFonts w:hint="eastAsia"/>
              </w:rPr>
            </w:pPr>
          </w:p>
        </w:tc>
        <w:tc>
          <w:tcPr>
            <w:tcW w:w="993" w:type="dxa"/>
            <w:tcBorders>
              <w:right w:val="single" w:color="auto" w:sz="12" w:space="0"/>
            </w:tcBorders>
            <w:noWrap w:val="0"/>
            <w:vAlign w:val="center"/>
          </w:tcPr>
          <w:p w14:paraId="25E8CD29">
            <w:pPr>
              <w:pStyle w:val="20"/>
            </w:pPr>
            <w:r>
              <w:rPr>
                <w:rFonts w:hint="eastAsia"/>
              </w:rPr>
              <w:t>√</w:t>
            </w:r>
          </w:p>
        </w:tc>
        <w:tc>
          <w:tcPr>
            <w:tcW w:w="992" w:type="dxa"/>
            <w:tcBorders>
              <w:right w:val="single" w:color="auto" w:sz="4" w:space="0"/>
            </w:tcBorders>
            <w:noWrap w:val="0"/>
            <w:vAlign w:val="center"/>
          </w:tcPr>
          <w:p w14:paraId="67B870EE">
            <w:pPr>
              <w:pStyle w:val="20"/>
            </w:pPr>
            <w:r>
              <w:rPr>
                <w:rFonts w:hint="eastAsia"/>
              </w:rPr>
              <w:t>√</w:t>
            </w:r>
          </w:p>
        </w:tc>
      </w:tr>
    </w:tbl>
    <w:p w14:paraId="1B998465">
      <w:pPr>
        <w:pStyle w:val="23"/>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2"/>
        <w:gridCol w:w="2415"/>
        <w:gridCol w:w="1738"/>
        <w:gridCol w:w="725"/>
        <w:gridCol w:w="669"/>
        <w:gridCol w:w="717"/>
      </w:tblGrid>
      <w:tr w14:paraId="70C99E5F">
        <w:tblPrEx>
          <w:tblCellMar>
            <w:top w:w="0" w:type="dxa"/>
            <w:left w:w="85" w:type="dxa"/>
            <w:bottom w:w="0" w:type="dxa"/>
            <w:right w:w="85" w:type="dxa"/>
          </w:tblCellMar>
        </w:tblPrEx>
        <w:trPr>
          <w:trHeight w:val="340" w:hRule="atLeast"/>
          <w:jc w:val="center"/>
        </w:trPr>
        <w:tc>
          <w:tcPr>
            <w:tcW w:w="2212" w:type="dxa"/>
            <w:vMerge w:val="restart"/>
            <w:tcBorders>
              <w:top w:val="single" w:color="auto" w:sz="12" w:space="0"/>
              <w:left w:val="single" w:color="auto" w:sz="12" w:space="0"/>
            </w:tcBorders>
            <w:noWrap w:val="0"/>
            <w:vAlign w:val="center"/>
          </w:tcPr>
          <w:p w14:paraId="4BAAF25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415" w:type="dxa"/>
            <w:vMerge w:val="restart"/>
            <w:tcBorders>
              <w:top w:val="single" w:color="auto" w:sz="12" w:space="0"/>
            </w:tcBorders>
            <w:noWrap w:val="0"/>
            <w:vAlign w:val="center"/>
          </w:tcPr>
          <w:p w14:paraId="09F9D309">
            <w:pPr>
              <w:pStyle w:val="19"/>
              <w:widowControl w:val="0"/>
              <w:rPr>
                <w:szCs w:val="21"/>
              </w:rPr>
            </w:pPr>
            <w:r>
              <w:rPr>
                <w:rFonts w:hint="eastAsia" w:ascii="黑体" w:hAnsi="黑体"/>
                <w:szCs w:val="21"/>
              </w:rPr>
              <w:t>教与学方式</w:t>
            </w:r>
          </w:p>
        </w:tc>
        <w:tc>
          <w:tcPr>
            <w:tcW w:w="1738" w:type="dxa"/>
            <w:vMerge w:val="restart"/>
            <w:tcBorders>
              <w:top w:val="single" w:color="auto" w:sz="12" w:space="0"/>
            </w:tcBorders>
            <w:noWrap w:val="0"/>
            <w:vAlign w:val="center"/>
          </w:tcPr>
          <w:p w14:paraId="1F243FAB">
            <w:pPr>
              <w:pStyle w:val="19"/>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noWrap w:val="0"/>
            <w:vAlign w:val="center"/>
          </w:tcPr>
          <w:p w14:paraId="29E96095">
            <w:pPr>
              <w:pStyle w:val="19"/>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06F4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continue"/>
            <w:tcBorders>
              <w:left w:val="single" w:color="auto" w:sz="12" w:space="0"/>
            </w:tcBorders>
            <w:noWrap w:val="0"/>
            <w:vAlign w:val="top"/>
          </w:tcPr>
          <w:p w14:paraId="49906D22">
            <w:pPr>
              <w:widowControl w:val="0"/>
              <w:snapToGrid w:val="0"/>
              <w:jc w:val="center"/>
              <w:rPr>
                <w:rFonts w:ascii="黑体" w:hAnsi="黑体" w:eastAsia="黑体"/>
                <w:bCs/>
                <w:sz w:val="21"/>
                <w:szCs w:val="21"/>
              </w:rPr>
            </w:pPr>
          </w:p>
        </w:tc>
        <w:tc>
          <w:tcPr>
            <w:tcW w:w="2415" w:type="dxa"/>
            <w:vMerge w:val="continue"/>
            <w:noWrap w:val="0"/>
            <w:vAlign w:val="top"/>
          </w:tcPr>
          <w:p w14:paraId="1E564F57">
            <w:pPr>
              <w:widowControl w:val="0"/>
              <w:snapToGrid w:val="0"/>
              <w:jc w:val="center"/>
              <w:rPr>
                <w:rFonts w:ascii="黑体" w:hAnsi="黑体" w:eastAsia="黑体"/>
                <w:bCs/>
                <w:sz w:val="21"/>
                <w:szCs w:val="21"/>
              </w:rPr>
            </w:pPr>
          </w:p>
        </w:tc>
        <w:tc>
          <w:tcPr>
            <w:tcW w:w="1738" w:type="dxa"/>
            <w:vMerge w:val="continue"/>
            <w:noWrap w:val="0"/>
            <w:vAlign w:val="top"/>
          </w:tcPr>
          <w:p w14:paraId="392F0C71">
            <w:pPr>
              <w:widowControl w:val="0"/>
              <w:snapToGrid w:val="0"/>
              <w:jc w:val="center"/>
              <w:rPr>
                <w:rFonts w:ascii="黑体" w:hAnsi="黑体" w:eastAsia="黑体"/>
                <w:bCs/>
                <w:sz w:val="21"/>
                <w:szCs w:val="21"/>
              </w:rPr>
            </w:pPr>
          </w:p>
        </w:tc>
        <w:tc>
          <w:tcPr>
            <w:tcW w:w="725" w:type="dxa"/>
            <w:noWrap w:val="0"/>
            <w:vAlign w:val="center"/>
          </w:tcPr>
          <w:p w14:paraId="1461955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noWrap w:val="0"/>
            <w:vAlign w:val="center"/>
          </w:tcPr>
          <w:p w14:paraId="23C92D77">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noWrap w:val="0"/>
            <w:vAlign w:val="center"/>
          </w:tcPr>
          <w:p w14:paraId="3BA35881">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A45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252642DB">
            <w:pPr>
              <w:pStyle w:val="20"/>
              <w:widowControl w:val="0"/>
              <w:jc w:val="left"/>
              <w:rPr>
                <w:rFonts w:ascii="宋体" w:hAnsi="宋体"/>
              </w:rPr>
            </w:pPr>
            <w:r>
              <w:rPr>
                <w:rFonts w:hint="eastAsia" w:ascii="宋体" w:hAnsi="宋体"/>
                <w:bCs/>
              </w:rPr>
              <w:t xml:space="preserve">第一单元 </w:t>
            </w:r>
            <w:r>
              <w:rPr>
                <w:rFonts w:hint="eastAsia" w:ascii="宋体" w:hAnsi="宋体"/>
              </w:rPr>
              <w:t>药理学总论、药物效应动力学</w:t>
            </w:r>
          </w:p>
        </w:tc>
        <w:tc>
          <w:tcPr>
            <w:tcW w:w="2415" w:type="dxa"/>
            <w:noWrap w:val="0"/>
            <w:vAlign w:val="center"/>
          </w:tcPr>
          <w:p w14:paraId="41E66D87">
            <w:pPr>
              <w:widowControl w:val="0"/>
              <w:snapToGrid w:val="0"/>
              <w:spacing w:line="288" w:lineRule="auto"/>
              <w:jc w:val="center"/>
              <w:rPr>
                <w:sz w:val="20"/>
                <w:szCs w:val="20"/>
              </w:rPr>
            </w:pPr>
            <w:r>
              <w:rPr>
                <w:rFonts w:hint="eastAsia"/>
                <w:sz w:val="20"/>
                <w:szCs w:val="20"/>
              </w:rPr>
              <w:t>直接教学法</w:t>
            </w:r>
          </w:p>
          <w:p w14:paraId="2AA33E23">
            <w:pPr>
              <w:widowControl w:val="0"/>
              <w:snapToGrid w:val="0"/>
              <w:spacing w:line="288" w:lineRule="auto"/>
              <w:jc w:val="center"/>
              <w:rPr>
                <w:sz w:val="20"/>
                <w:szCs w:val="20"/>
              </w:rPr>
            </w:pPr>
            <w:r>
              <w:rPr>
                <w:rFonts w:hint="eastAsia"/>
                <w:sz w:val="20"/>
                <w:szCs w:val="20"/>
              </w:rPr>
              <w:t>讨论教学法</w:t>
            </w:r>
          </w:p>
        </w:tc>
        <w:tc>
          <w:tcPr>
            <w:tcW w:w="1738" w:type="dxa"/>
            <w:noWrap w:val="0"/>
            <w:vAlign w:val="top"/>
          </w:tcPr>
          <w:p w14:paraId="1BF8115C">
            <w:pPr>
              <w:jc w:val="center"/>
              <w:rPr>
                <w:rFonts w:hint="eastAsia" w:cs="Arial"/>
                <w:sz w:val="20"/>
                <w:szCs w:val="20"/>
              </w:rPr>
            </w:pPr>
            <w:r>
              <w:rPr>
                <w:rFonts w:hint="eastAsia" w:cs="Arial"/>
                <w:sz w:val="20"/>
                <w:szCs w:val="20"/>
              </w:rPr>
              <w:t>期末闭卷考试</w:t>
            </w:r>
          </w:p>
          <w:p w14:paraId="210C1D5D">
            <w:pPr>
              <w:jc w:val="center"/>
              <w:rPr>
                <w:rFonts w:hint="eastAsia" w:cs="Arial"/>
                <w:sz w:val="20"/>
                <w:szCs w:val="20"/>
              </w:rPr>
            </w:pPr>
            <w:r>
              <w:rPr>
                <w:rFonts w:hint="eastAsia" w:cs="Arial"/>
                <w:sz w:val="20"/>
                <w:szCs w:val="20"/>
              </w:rPr>
              <w:t>实验报告</w:t>
            </w:r>
          </w:p>
          <w:p w14:paraId="76D4DD37">
            <w:pPr>
              <w:jc w:val="center"/>
            </w:pPr>
            <w:r>
              <w:rPr>
                <w:rFonts w:hint="eastAsia" w:cs="Arial"/>
                <w:sz w:val="20"/>
                <w:szCs w:val="20"/>
              </w:rPr>
              <w:t>阶段测验</w:t>
            </w:r>
          </w:p>
        </w:tc>
        <w:tc>
          <w:tcPr>
            <w:tcW w:w="725" w:type="dxa"/>
            <w:noWrap w:val="0"/>
            <w:vAlign w:val="center"/>
          </w:tcPr>
          <w:p w14:paraId="5134199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689E04F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22E65C0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792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A9484F0">
            <w:pPr>
              <w:snapToGrid w:val="0"/>
              <w:spacing w:line="288" w:lineRule="auto"/>
              <w:rPr>
                <w:rFonts w:cs="仿宋"/>
                <w:sz w:val="21"/>
                <w:szCs w:val="21"/>
              </w:rPr>
            </w:pPr>
            <w:r>
              <w:rPr>
                <w:rFonts w:hint="eastAsia"/>
                <w:bCs/>
                <w:sz w:val="21"/>
                <w:szCs w:val="21"/>
              </w:rPr>
              <w:t xml:space="preserve">第二单元 </w:t>
            </w:r>
            <w:r>
              <w:rPr>
                <w:rFonts w:hint="eastAsia" w:cs="仿宋"/>
                <w:sz w:val="21"/>
                <w:szCs w:val="21"/>
              </w:rPr>
              <w:t>药物代谢动力学、影响药物作用的因素</w:t>
            </w:r>
          </w:p>
        </w:tc>
        <w:tc>
          <w:tcPr>
            <w:tcW w:w="2415" w:type="dxa"/>
            <w:noWrap w:val="0"/>
            <w:vAlign w:val="center"/>
          </w:tcPr>
          <w:p w14:paraId="0D442DAD">
            <w:pPr>
              <w:widowControl w:val="0"/>
              <w:snapToGrid w:val="0"/>
              <w:spacing w:line="288" w:lineRule="auto"/>
              <w:jc w:val="center"/>
              <w:rPr>
                <w:sz w:val="20"/>
                <w:szCs w:val="20"/>
              </w:rPr>
            </w:pPr>
            <w:r>
              <w:rPr>
                <w:rFonts w:hint="eastAsia"/>
                <w:sz w:val="20"/>
                <w:szCs w:val="20"/>
              </w:rPr>
              <w:t>直接教学法</w:t>
            </w:r>
          </w:p>
          <w:p w14:paraId="38A864AA">
            <w:pPr>
              <w:widowControl w:val="0"/>
              <w:snapToGrid w:val="0"/>
              <w:jc w:val="center"/>
              <w:rPr>
                <w:sz w:val="20"/>
                <w:szCs w:val="20"/>
              </w:rPr>
            </w:pPr>
            <w:r>
              <w:rPr>
                <w:rFonts w:hint="eastAsia"/>
                <w:sz w:val="20"/>
                <w:szCs w:val="20"/>
              </w:rPr>
              <w:t>示范教学法</w:t>
            </w:r>
          </w:p>
        </w:tc>
        <w:tc>
          <w:tcPr>
            <w:tcW w:w="1738" w:type="dxa"/>
            <w:noWrap w:val="0"/>
            <w:vAlign w:val="top"/>
          </w:tcPr>
          <w:p w14:paraId="02A008DC">
            <w:pPr>
              <w:jc w:val="center"/>
              <w:rPr>
                <w:rFonts w:hint="eastAsia" w:cs="Arial"/>
                <w:sz w:val="20"/>
                <w:szCs w:val="20"/>
              </w:rPr>
            </w:pPr>
            <w:r>
              <w:rPr>
                <w:rFonts w:hint="eastAsia" w:cs="Arial"/>
                <w:sz w:val="20"/>
                <w:szCs w:val="20"/>
              </w:rPr>
              <w:t>期末闭卷考试</w:t>
            </w:r>
          </w:p>
          <w:p w14:paraId="6493F70A">
            <w:pPr>
              <w:jc w:val="center"/>
              <w:rPr>
                <w:rFonts w:hint="eastAsia" w:cs="Arial"/>
                <w:sz w:val="20"/>
                <w:szCs w:val="20"/>
              </w:rPr>
            </w:pPr>
            <w:r>
              <w:rPr>
                <w:rFonts w:hint="eastAsia" w:cs="Arial"/>
                <w:sz w:val="20"/>
                <w:szCs w:val="20"/>
              </w:rPr>
              <w:t>实验报告</w:t>
            </w:r>
          </w:p>
          <w:p w14:paraId="73F727A9">
            <w:pPr>
              <w:jc w:val="center"/>
            </w:pPr>
            <w:r>
              <w:rPr>
                <w:rFonts w:hint="eastAsia" w:cs="Arial"/>
                <w:sz w:val="20"/>
                <w:szCs w:val="20"/>
              </w:rPr>
              <w:t>阶段测验</w:t>
            </w:r>
          </w:p>
        </w:tc>
        <w:tc>
          <w:tcPr>
            <w:tcW w:w="725" w:type="dxa"/>
            <w:noWrap w:val="0"/>
            <w:vAlign w:val="center"/>
          </w:tcPr>
          <w:p w14:paraId="7991EB7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414585A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07E8A09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D88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32C8D2A">
            <w:pPr>
              <w:pStyle w:val="20"/>
              <w:widowControl w:val="0"/>
              <w:jc w:val="left"/>
              <w:rPr>
                <w:rFonts w:ascii="宋体" w:hAnsi="宋体"/>
              </w:rPr>
            </w:pPr>
            <w:r>
              <w:rPr>
                <w:rFonts w:hint="eastAsia" w:ascii="宋体" w:hAnsi="宋体"/>
                <w:bCs/>
              </w:rPr>
              <w:t xml:space="preserve">第三单元 </w:t>
            </w:r>
            <w:r>
              <w:rPr>
                <w:rFonts w:hint="eastAsia" w:ascii="宋体" w:hAnsi="宋体" w:cs="仿宋"/>
              </w:rPr>
              <w:t>传出神经系统药物概述，拟胆碱药、抗胆碱药</w:t>
            </w:r>
          </w:p>
        </w:tc>
        <w:tc>
          <w:tcPr>
            <w:tcW w:w="2415" w:type="dxa"/>
            <w:noWrap w:val="0"/>
            <w:vAlign w:val="center"/>
          </w:tcPr>
          <w:p w14:paraId="2E56D71F">
            <w:pPr>
              <w:widowControl w:val="0"/>
              <w:snapToGrid w:val="0"/>
              <w:spacing w:line="288" w:lineRule="auto"/>
              <w:jc w:val="center"/>
              <w:rPr>
                <w:sz w:val="20"/>
                <w:szCs w:val="20"/>
              </w:rPr>
            </w:pPr>
            <w:r>
              <w:rPr>
                <w:rFonts w:hint="eastAsia"/>
                <w:sz w:val="20"/>
                <w:szCs w:val="20"/>
              </w:rPr>
              <w:t>直接教学法</w:t>
            </w:r>
          </w:p>
          <w:p w14:paraId="2A7E5C53">
            <w:pPr>
              <w:widowControl w:val="0"/>
              <w:snapToGrid w:val="0"/>
              <w:jc w:val="center"/>
              <w:rPr>
                <w:sz w:val="20"/>
                <w:szCs w:val="20"/>
              </w:rPr>
            </w:pPr>
            <w:r>
              <w:rPr>
                <w:rFonts w:hint="eastAsia"/>
                <w:sz w:val="20"/>
                <w:szCs w:val="20"/>
              </w:rPr>
              <w:t>示范教学法</w:t>
            </w:r>
          </w:p>
        </w:tc>
        <w:tc>
          <w:tcPr>
            <w:tcW w:w="1738" w:type="dxa"/>
            <w:noWrap w:val="0"/>
            <w:vAlign w:val="top"/>
          </w:tcPr>
          <w:p w14:paraId="36E328AA">
            <w:pPr>
              <w:jc w:val="center"/>
              <w:rPr>
                <w:rFonts w:hint="eastAsia" w:cs="Arial"/>
                <w:sz w:val="20"/>
                <w:szCs w:val="20"/>
              </w:rPr>
            </w:pPr>
            <w:r>
              <w:rPr>
                <w:rFonts w:hint="eastAsia" w:cs="Arial"/>
                <w:sz w:val="20"/>
                <w:szCs w:val="20"/>
              </w:rPr>
              <w:t>期末闭卷考试</w:t>
            </w:r>
          </w:p>
          <w:p w14:paraId="044615B0">
            <w:pPr>
              <w:jc w:val="center"/>
              <w:rPr>
                <w:rFonts w:hint="eastAsia" w:cs="Arial"/>
                <w:sz w:val="20"/>
                <w:szCs w:val="20"/>
              </w:rPr>
            </w:pPr>
            <w:r>
              <w:rPr>
                <w:rFonts w:hint="eastAsia" w:cs="Arial"/>
                <w:sz w:val="20"/>
                <w:szCs w:val="20"/>
              </w:rPr>
              <w:t>实验报告</w:t>
            </w:r>
          </w:p>
          <w:p w14:paraId="1B7D1982">
            <w:pPr>
              <w:jc w:val="center"/>
            </w:pPr>
            <w:r>
              <w:rPr>
                <w:rFonts w:hint="eastAsia" w:cs="Arial"/>
                <w:sz w:val="20"/>
                <w:szCs w:val="20"/>
              </w:rPr>
              <w:t>阶段测验</w:t>
            </w:r>
          </w:p>
        </w:tc>
        <w:tc>
          <w:tcPr>
            <w:tcW w:w="725" w:type="dxa"/>
            <w:noWrap w:val="0"/>
            <w:vAlign w:val="center"/>
          </w:tcPr>
          <w:p w14:paraId="62EE56D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3A59DD6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10161A1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82C5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31D70689">
            <w:pPr>
              <w:pStyle w:val="20"/>
              <w:widowControl w:val="0"/>
              <w:jc w:val="left"/>
              <w:rPr>
                <w:rFonts w:ascii="宋体" w:hAnsi="宋体" w:cs="仿宋"/>
              </w:rPr>
            </w:pPr>
            <w:r>
              <w:rPr>
                <w:rFonts w:hint="eastAsia" w:ascii="宋体" w:hAnsi="宋体"/>
                <w:bCs/>
              </w:rPr>
              <w:t xml:space="preserve">第四单元 </w:t>
            </w:r>
            <w:r>
              <w:rPr>
                <w:rFonts w:hint="eastAsia" w:ascii="宋体" w:hAnsi="宋体" w:cs="仿宋"/>
              </w:rPr>
              <w:t>拟肾上腺素药、抗肾上腺素药、麻醉药</w:t>
            </w:r>
          </w:p>
        </w:tc>
        <w:tc>
          <w:tcPr>
            <w:tcW w:w="2415" w:type="dxa"/>
            <w:noWrap w:val="0"/>
            <w:vAlign w:val="center"/>
          </w:tcPr>
          <w:p w14:paraId="1DC66F6E">
            <w:pPr>
              <w:widowControl w:val="0"/>
              <w:snapToGrid w:val="0"/>
              <w:spacing w:line="288" w:lineRule="auto"/>
              <w:jc w:val="center"/>
              <w:rPr>
                <w:sz w:val="20"/>
                <w:szCs w:val="20"/>
              </w:rPr>
            </w:pPr>
            <w:r>
              <w:rPr>
                <w:rFonts w:hint="eastAsia"/>
                <w:sz w:val="20"/>
                <w:szCs w:val="20"/>
              </w:rPr>
              <w:t>直接教学法</w:t>
            </w:r>
          </w:p>
          <w:p w14:paraId="3EED7538">
            <w:pPr>
              <w:widowControl w:val="0"/>
              <w:snapToGrid w:val="0"/>
              <w:spacing w:line="288" w:lineRule="auto"/>
              <w:jc w:val="center"/>
              <w:rPr>
                <w:sz w:val="20"/>
                <w:szCs w:val="20"/>
              </w:rPr>
            </w:pPr>
            <w:r>
              <w:rPr>
                <w:rFonts w:hint="eastAsia"/>
                <w:sz w:val="20"/>
                <w:szCs w:val="20"/>
              </w:rPr>
              <w:t>示范教学法</w:t>
            </w:r>
          </w:p>
        </w:tc>
        <w:tc>
          <w:tcPr>
            <w:tcW w:w="1738" w:type="dxa"/>
            <w:noWrap w:val="0"/>
            <w:vAlign w:val="top"/>
          </w:tcPr>
          <w:p w14:paraId="6E440329">
            <w:pPr>
              <w:jc w:val="center"/>
              <w:rPr>
                <w:rFonts w:hint="eastAsia" w:cs="Arial"/>
                <w:sz w:val="20"/>
                <w:szCs w:val="20"/>
              </w:rPr>
            </w:pPr>
            <w:r>
              <w:rPr>
                <w:rFonts w:hint="eastAsia" w:cs="Arial"/>
                <w:sz w:val="20"/>
                <w:szCs w:val="20"/>
              </w:rPr>
              <w:t>期末闭卷考试</w:t>
            </w:r>
          </w:p>
          <w:p w14:paraId="20C4849E">
            <w:pPr>
              <w:jc w:val="center"/>
              <w:rPr>
                <w:rFonts w:hint="eastAsia" w:cs="Arial"/>
                <w:sz w:val="20"/>
                <w:szCs w:val="20"/>
              </w:rPr>
            </w:pPr>
            <w:r>
              <w:rPr>
                <w:rFonts w:hint="eastAsia" w:cs="Arial"/>
                <w:sz w:val="20"/>
                <w:szCs w:val="20"/>
              </w:rPr>
              <w:t>实验报告</w:t>
            </w:r>
          </w:p>
          <w:p w14:paraId="4DD4A44C">
            <w:pPr>
              <w:jc w:val="center"/>
            </w:pPr>
            <w:r>
              <w:rPr>
                <w:rFonts w:hint="eastAsia" w:cs="Arial"/>
                <w:sz w:val="20"/>
                <w:szCs w:val="20"/>
              </w:rPr>
              <w:t>阶段测验</w:t>
            </w:r>
          </w:p>
        </w:tc>
        <w:tc>
          <w:tcPr>
            <w:tcW w:w="725" w:type="dxa"/>
            <w:noWrap w:val="0"/>
            <w:vAlign w:val="center"/>
          </w:tcPr>
          <w:p w14:paraId="1E53D20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72531E5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4F612FB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1C2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416074E5">
            <w:pPr>
              <w:pStyle w:val="20"/>
              <w:widowControl w:val="0"/>
              <w:jc w:val="left"/>
              <w:rPr>
                <w:rFonts w:ascii="宋体" w:hAnsi="宋体" w:cs="仿宋"/>
              </w:rPr>
            </w:pPr>
            <w:r>
              <w:rPr>
                <w:rFonts w:hint="eastAsia" w:ascii="宋体" w:hAnsi="宋体"/>
                <w:bCs/>
              </w:rPr>
              <w:t xml:space="preserve">第五单元 </w:t>
            </w:r>
            <w:r>
              <w:rPr>
                <w:rFonts w:hint="eastAsia" w:ascii="宋体" w:hAnsi="宋体" w:cs="仿宋"/>
              </w:rPr>
              <w:t>镇静催眠药和抗惊厥药抗癫痫药，抗帕金森病药及抗阿尔茨海默病药</w:t>
            </w:r>
          </w:p>
        </w:tc>
        <w:tc>
          <w:tcPr>
            <w:tcW w:w="2415" w:type="dxa"/>
            <w:noWrap w:val="0"/>
            <w:vAlign w:val="center"/>
          </w:tcPr>
          <w:p w14:paraId="269C5368">
            <w:pPr>
              <w:widowControl w:val="0"/>
              <w:snapToGrid w:val="0"/>
              <w:spacing w:line="288" w:lineRule="auto"/>
              <w:jc w:val="center"/>
              <w:rPr>
                <w:sz w:val="20"/>
                <w:szCs w:val="20"/>
              </w:rPr>
            </w:pPr>
            <w:r>
              <w:rPr>
                <w:rFonts w:hint="eastAsia"/>
                <w:sz w:val="20"/>
                <w:szCs w:val="20"/>
              </w:rPr>
              <w:t>直接教学法</w:t>
            </w:r>
          </w:p>
          <w:p w14:paraId="7A1824A4">
            <w:pPr>
              <w:widowControl w:val="0"/>
              <w:snapToGrid w:val="0"/>
              <w:jc w:val="center"/>
              <w:rPr>
                <w:rFonts w:ascii="Times New Roman" w:hAnsi="Times New Roman"/>
                <w:bCs/>
                <w:sz w:val="21"/>
                <w:szCs w:val="21"/>
              </w:rPr>
            </w:pPr>
            <w:r>
              <w:rPr>
                <w:rFonts w:hint="eastAsia"/>
                <w:sz w:val="20"/>
                <w:szCs w:val="20"/>
              </w:rPr>
              <w:t>示范教学法</w:t>
            </w:r>
          </w:p>
        </w:tc>
        <w:tc>
          <w:tcPr>
            <w:tcW w:w="1738" w:type="dxa"/>
            <w:noWrap w:val="0"/>
            <w:vAlign w:val="top"/>
          </w:tcPr>
          <w:p w14:paraId="7F4FC986">
            <w:pPr>
              <w:jc w:val="center"/>
              <w:rPr>
                <w:rFonts w:hint="eastAsia" w:cs="Arial"/>
                <w:sz w:val="20"/>
                <w:szCs w:val="20"/>
              </w:rPr>
            </w:pPr>
            <w:r>
              <w:rPr>
                <w:rFonts w:hint="eastAsia" w:cs="Arial"/>
                <w:sz w:val="20"/>
                <w:szCs w:val="20"/>
              </w:rPr>
              <w:t>期末闭卷考试</w:t>
            </w:r>
          </w:p>
          <w:p w14:paraId="19D6036F">
            <w:pPr>
              <w:jc w:val="center"/>
              <w:rPr>
                <w:rFonts w:hint="eastAsia" w:cs="Arial"/>
                <w:sz w:val="20"/>
                <w:szCs w:val="20"/>
              </w:rPr>
            </w:pPr>
            <w:r>
              <w:rPr>
                <w:rFonts w:hint="eastAsia" w:cs="Arial"/>
                <w:sz w:val="20"/>
                <w:szCs w:val="20"/>
              </w:rPr>
              <w:t>实验报告</w:t>
            </w:r>
          </w:p>
          <w:p w14:paraId="1266B065">
            <w:pPr>
              <w:jc w:val="center"/>
            </w:pPr>
            <w:r>
              <w:rPr>
                <w:rFonts w:hint="eastAsia" w:cs="Arial"/>
                <w:sz w:val="20"/>
                <w:szCs w:val="20"/>
              </w:rPr>
              <w:t>阶段测验</w:t>
            </w:r>
          </w:p>
        </w:tc>
        <w:tc>
          <w:tcPr>
            <w:tcW w:w="725" w:type="dxa"/>
            <w:noWrap w:val="0"/>
            <w:vAlign w:val="center"/>
          </w:tcPr>
          <w:p w14:paraId="3E3F137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3BDE026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7B01D4A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D44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6ED7903">
            <w:pPr>
              <w:widowControl w:val="0"/>
              <w:snapToGrid w:val="0"/>
              <w:spacing w:line="288" w:lineRule="auto"/>
              <w:rPr>
                <w:color w:val="000000"/>
                <w:sz w:val="20"/>
                <w:szCs w:val="20"/>
              </w:rPr>
            </w:pPr>
            <w:r>
              <w:rPr>
                <w:rFonts w:hint="eastAsia"/>
                <w:bCs/>
                <w:sz w:val="21"/>
                <w:szCs w:val="21"/>
              </w:rPr>
              <w:t xml:space="preserve">第六单元 </w:t>
            </w:r>
            <w:r>
              <w:rPr>
                <w:rFonts w:hint="eastAsia" w:cs="仿宋"/>
                <w:sz w:val="21"/>
                <w:szCs w:val="21"/>
              </w:rPr>
              <w:t>抗精神失常药镇痛药、解热镇痛抗炎药、枢兴奋药与促大脑功能恢复药</w:t>
            </w:r>
          </w:p>
        </w:tc>
        <w:tc>
          <w:tcPr>
            <w:tcW w:w="2415" w:type="dxa"/>
            <w:noWrap w:val="0"/>
            <w:vAlign w:val="center"/>
          </w:tcPr>
          <w:p w14:paraId="6595E251">
            <w:pPr>
              <w:widowControl w:val="0"/>
              <w:snapToGrid w:val="0"/>
              <w:spacing w:line="288" w:lineRule="auto"/>
              <w:jc w:val="center"/>
              <w:rPr>
                <w:sz w:val="20"/>
                <w:szCs w:val="20"/>
              </w:rPr>
            </w:pPr>
            <w:r>
              <w:rPr>
                <w:rFonts w:hint="eastAsia"/>
                <w:sz w:val="20"/>
                <w:szCs w:val="20"/>
              </w:rPr>
              <w:t>直接教学法</w:t>
            </w:r>
          </w:p>
          <w:p w14:paraId="172F14FC">
            <w:pPr>
              <w:widowControl w:val="0"/>
              <w:snapToGrid w:val="0"/>
              <w:jc w:val="center"/>
              <w:rPr>
                <w:sz w:val="20"/>
                <w:szCs w:val="20"/>
              </w:rPr>
            </w:pPr>
            <w:r>
              <w:rPr>
                <w:rFonts w:hint="eastAsia"/>
                <w:sz w:val="20"/>
                <w:szCs w:val="20"/>
              </w:rPr>
              <w:t>讨论教学法</w:t>
            </w:r>
          </w:p>
        </w:tc>
        <w:tc>
          <w:tcPr>
            <w:tcW w:w="1738" w:type="dxa"/>
            <w:noWrap w:val="0"/>
            <w:vAlign w:val="top"/>
          </w:tcPr>
          <w:p w14:paraId="4843EC59">
            <w:pPr>
              <w:jc w:val="center"/>
              <w:rPr>
                <w:rFonts w:hint="eastAsia" w:cs="Arial"/>
                <w:sz w:val="20"/>
                <w:szCs w:val="20"/>
              </w:rPr>
            </w:pPr>
            <w:r>
              <w:rPr>
                <w:rFonts w:hint="eastAsia" w:cs="Arial"/>
                <w:sz w:val="20"/>
                <w:szCs w:val="20"/>
              </w:rPr>
              <w:t>期末闭卷考试</w:t>
            </w:r>
          </w:p>
          <w:p w14:paraId="1DD21862">
            <w:pPr>
              <w:jc w:val="center"/>
            </w:pPr>
            <w:r>
              <w:rPr>
                <w:rFonts w:hint="eastAsia" w:cs="Arial"/>
                <w:sz w:val="20"/>
                <w:szCs w:val="20"/>
              </w:rPr>
              <w:t>阶段测验</w:t>
            </w:r>
          </w:p>
        </w:tc>
        <w:tc>
          <w:tcPr>
            <w:tcW w:w="725" w:type="dxa"/>
            <w:noWrap w:val="0"/>
            <w:vAlign w:val="center"/>
          </w:tcPr>
          <w:p w14:paraId="3AE66D2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51B4F8F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6208AF6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F6B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32C6CBB">
            <w:pPr>
              <w:widowControl w:val="0"/>
              <w:snapToGrid w:val="0"/>
              <w:spacing w:line="288" w:lineRule="auto"/>
              <w:rPr>
                <w:color w:val="000000"/>
                <w:sz w:val="21"/>
                <w:szCs w:val="21"/>
              </w:rPr>
            </w:pPr>
            <w:r>
              <w:rPr>
                <w:rFonts w:hint="eastAsia"/>
                <w:bCs/>
                <w:sz w:val="21"/>
                <w:szCs w:val="21"/>
              </w:rPr>
              <w:t xml:space="preserve">第七单元 </w:t>
            </w:r>
            <w:r>
              <w:rPr>
                <w:rFonts w:hint="eastAsia" w:cs="仿宋"/>
                <w:sz w:val="21"/>
                <w:szCs w:val="21"/>
              </w:rPr>
              <w:t>抗高血压药</w:t>
            </w:r>
          </w:p>
        </w:tc>
        <w:tc>
          <w:tcPr>
            <w:tcW w:w="2415" w:type="dxa"/>
            <w:noWrap w:val="0"/>
            <w:vAlign w:val="center"/>
          </w:tcPr>
          <w:p w14:paraId="64B0A66C">
            <w:pPr>
              <w:widowControl w:val="0"/>
              <w:snapToGrid w:val="0"/>
              <w:spacing w:line="288" w:lineRule="auto"/>
              <w:jc w:val="center"/>
              <w:rPr>
                <w:sz w:val="20"/>
                <w:szCs w:val="20"/>
              </w:rPr>
            </w:pPr>
            <w:r>
              <w:rPr>
                <w:rFonts w:hint="eastAsia"/>
                <w:sz w:val="20"/>
                <w:szCs w:val="20"/>
              </w:rPr>
              <w:t>直接教学法</w:t>
            </w:r>
          </w:p>
          <w:p w14:paraId="55BEFE0C">
            <w:pPr>
              <w:widowControl w:val="0"/>
              <w:snapToGrid w:val="0"/>
              <w:spacing w:line="288" w:lineRule="auto"/>
              <w:jc w:val="center"/>
              <w:rPr>
                <w:sz w:val="20"/>
                <w:szCs w:val="20"/>
              </w:rPr>
            </w:pPr>
            <w:r>
              <w:rPr>
                <w:rFonts w:hint="eastAsia"/>
                <w:sz w:val="20"/>
                <w:szCs w:val="20"/>
              </w:rPr>
              <w:t>讨论教学法</w:t>
            </w:r>
          </w:p>
        </w:tc>
        <w:tc>
          <w:tcPr>
            <w:tcW w:w="1738" w:type="dxa"/>
            <w:noWrap w:val="0"/>
            <w:vAlign w:val="top"/>
          </w:tcPr>
          <w:p w14:paraId="7A047605">
            <w:pPr>
              <w:jc w:val="center"/>
              <w:rPr>
                <w:rFonts w:hint="eastAsia" w:cs="Arial"/>
                <w:sz w:val="20"/>
                <w:szCs w:val="20"/>
              </w:rPr>
            </w:pPr>
            <w:r>
              <w:rPr>
                <w:rFonts w:hint="eastAsia" w:cs="Arial"/>
                <w:sz w:val="20"/>
                <w:szCs w:val="20"/>
              </w:rPr>
              <w:t>期末闭卷考试</w:t>
            </w:r>
          </w:p>
          <w:p w14:paraId="09FA43D5">
            <w:pPr>
              <w:jc w:val="center"/>
            </w:pPr>
            <w:r>
              <w:rPr>
                <w:rFonts w:hint="eastAsia" w:cs="Arial"/>
                <w:sz w:val="20"/>
                <w:szCs w:val="20"/>
              </w:rPr>
              <w:t>阶段测验</w:t>
            </w:r>
          </w:p>
        </w:tc>
        <w:tc>
          <w:tcPr>
            <w:tcW w:w="725" w:type="dxa"/>
            <w:noWrap w:val="0"/>
            <w:vAlign w:val="center"/>
          </w:tcPr>
          <w:p w14:paraId="2B448EE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31E709C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37796FB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EC7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D892B9B">
            <w:pPr>
              <w:snapToGrid w:val="0"/>
              <w:spacing w:line="288" w:lineRule="auto"/>
              <w:rPr>
                <w:rFonts w:cs="仿宋"/>
                <w:sz w:val="21"/>
                <w:szCs w:val="21"/>
              </w:rPr>
            </w:pPr>
            <w:r>
              <w:rPr>
                <w:rFonts w:hint="eastAsia"/>
                <w:bCs/>
                <w:sz w:val="21"/>
                <w:szCs w:val="21"/>
              </w:rPr>
              <w:t xml:space="preserve">第八单元 </w:t>
            </w:r>
            <w:r>
              <w:rPr>
                <w:rFonts w:hint="eastAsia" w:cs="仿宋"/>
                <w:sz w:val="21"/>
                <w:szCs w:val="21"/>
              </w:rPr>
              <w:t>抗心律失常药、抗充血性心力衰竭药</w:t>
            </w:r>
          </w:p>
        </w:tc>
        <w:tc>
          <w:tcPr>
            <w:tcW w:w="2415" w:type="dxa"/>
            <w:noWrap w:val="0"/>
            <w:vAlign w:val="center"/>
          </w:tcPr>
          <w:p w14:paraId="7B7B9BED">
            <w:pPr>
              <w:widowControl w:val="0"/>
              <w:snapToGrid w:val="0"/>
              <w:spacing w:line="288" w:lineRule="auto"/>
              <w:jc w:val="center"/>
              <w:rPr>
                <w:rFonts w:hint="eastAsia"/>
                <w:sz w:val="20"/>
                <w:szCs w:val="20"/>
              </w:rPr>
            </w:pPr>
            <w:r>
              <w:rPr>
                <w:rFonts w:hint="eastAsia"/>
                <w:sz w:val="20"/>
                <w:szCs w:val="20"/>
              </w:rPr>
              <w:t>直接教学法</w:t>
            </w:r>
          </w:p>
          <w:p w14:paraId="00EB6752">
            <w:pPr>
              <w:widowControl w:val="0"/>
              <w:snapToGrid w:val="0"/>
              <w:jc w:val="center"/>
              <w:rPr>
                <w:rFonts w:ascii="Times New Roman" w:hAnsi="Times New Roman"/>
                <w:bCs/>
                <w:sz w:val="21"/>
                <w:szCs w:val="21"/>
              </w:rPr>
            </w:pPr>
            <w:r>
              <w:rPr>
                <w:rFonts w:hint="eastAsia"/>
                <w:sz w:val="20"/>
                <w:szCs w:val="20"/>
              </w:rPr>
              <w:t>探究教学法</w:t>
            </w:r>
          </w:p>
        </w:tc>
        <w:tc>
          <w:tcPr>
            <w:tcW w:w="1738" w:type="dxa"/>
            <w:noWrap w:val="0"/>
            <w:vAlign w:val="top"/>
          </w:tcPr>
          <w:p w14:paraId="1A27E976">
            <w:pPr>
              <w:jc w:val="center"/>
              <w:rPr>
                <w:rFonts w:hint="eastAsia" w:cs="Arial"/>
                <w:sz w:val="20"/>
                <w:szCs w:val="20"/>
              </w:rPr>
            </w:pPr>
            <w:r>
              <w:rPr>
                <w:rFonts w:hint="eastAsia" w:cs="Arial"/>
                <w:sz w:val="20"/>
                <w:szCs w:val="20"/>
              </w:rPr>
              <w:t>期末闭卷考试</w:t>
            </w:r>
          </w:p>
          <w:p w14:paraId="375E2A65">
            <w:pPr>
              <w:jc w:val="center"/>
              <w:rPr>
                <w:rFonts w:hint="eastAsia" w:cs="Arial"/>
                <w:sz w:val="20"/>
                <w:szCs w:val="20"/>
              </w:rPr>
            </w:pPr>
            <w:r>
              <w:rPr>
                <w:rFonts w:hint="eastAsia" w:cs="Arial"/>
                <w:sz w:val="20"/>
                <w:szCs w:val="20"/>
              </w:rPr>
              <w:t>实验报告</w:t>
            </w:r>
          </w:p>
          <w:p w14:paraId="38668546">
            <w:pPr>
              <w:jc w:val="center"/>
            </w:pPr>
            <w:r>
              <w:rPr>
                <w:rFonts w:hint="eastAsia" w:cs="Arial"/>
                <w:sz w:val="20"/>
                <w:szCs w:val="20"/>
              </w:rPr>
              <w:t>阶段测验</w:t>
            </w:r>
          </w:p>
        </w:tc>
        <w:tc>
          <w:tcPr>
            <w:tcW w:w="725" w:type="dxa"/>
            <w:noWrap w:val="0"/>
            <w:vAlign w:val="center"/>
          </w:tcPr>
          <w:p w14:paraId="7D70056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3661B9F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01426E5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10B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2BA4FFC9">
            <w:pPr>
              <w:snapToGrid w:val="0"/>
              <w:spacing w:line="288" w:lineRule="auto"/>
              <w:rPr>
                <w:sz w:val="21"/>
                <w:szCs w:val="21"/>
              </w:rPr>
            </w:pPr>
            <w:r>
              <w:rPr>
                <w:rFonts w:hint="eastAsia"/>
                <w:bCs/>
                <w:color w:val="000000"/>
                <w:sz w:val="21"/>
                <w:szCs w:val="21"/>
              </w:rPr>
              <w:t xml:space="preserve">第九单元 </w:t>
            </w:r>
            <w:r>
              <w:rPr>
                <w:rFonts w:hint="eastAsia" w:cs="仿宋"/>
                <w:sz w:val="21"/>
                <w:szCs w:val="21"/>
              </w:rPr>
              <w:t>抗心绞痛药、调血脂药、利尿药及脱水药</w:t>
            </w:r>
          </w:p>
        </w:tc>
        <w:tc>
          <w:tcPr>
            <w:tcW w:w="2415" w:type="dxa"/>
            <w:noWrap w:val="0"/>
            <w:vAlign w:val="center"/>
          </w:tcPr>
          <w:p w14:paraId="7469257F">
            <w:pPr>
              <w:widowControl w:val="0"/>
              <w:snapToGrid w:val="0"/>
              <w:spacing w:line="288" w:lineRule="auto"/>
              <w:jc w:val="center"/>
              <w:rPr>
                <w:rFonts w:hint="eastAsia"/>
                <w:sz w:val="20"/>
                <w:szCs w:val="20"/>
              </w:rPr>
            </w:pPr>
            <w:r>
              <w:rPr>
                <w:rFonts w:hint="eastAsia"/>
                <w:sz w:val="20"/>
                <w:szCs w:val="20"/>
              </w:rPr>
              <w:t>直接教学法</w:t>
            </w:r>
          </w:p>
          <w:p w14:paraId="0CE2CD1B">
            <w:pPr>
              <w:widowControl w:val="0"/>
              <w:snapToGrid w:val="0"/>
              <w:jc w:val="center"/>
              <w:rPr>
                <w:rFonts w:ascii="Times New Roman" w:hAnsi="Times New Roman"/>
                <w:bCs/>
                <w:sz w:val="21"/>
                <w:szCs w:val="21"/>
              </w:rPr>
            </w:pPr>
            <w:r>
              <w:rPr>
                <w:rFonts w:hint="eastAsia"/>
                <w:sz w:val="20"/>
                <w:szCs w:val="20"/>
              </w:rPr>
              <w:t>探究教学法</w:t>
            </w:r>
          </w:p>
        </w:tc>
        <w:tc>
          <w:tcPr>
            <w:tcW w:w="1738" w:type="dxa"/>
            <w:noWrap w:val="0"/>
            <w:vAlign w:val="top"/>
          </w:tcPr>
          <w:p w14:paraId="76E1113F">
            <w:pPr>
              <w:jc w:val="center"/>
              <w:rPr>
                <w:rFonts w:hint="eastAsia" w:cs="Arial"/>
                <w:sz w:val="20"/>
                <w:szCs w:val="20"/>
              </w:rPr>
            </w:pPr>
            <w:r>
              <w:rPr>
                <w:rFonts w:hint="eastAsia" w:cs="Arial"/>
                <w:sz w:val="20"/>
                <w:szCs w:val="20"/>
              </w:rPr>
              <w:t>期末闭卷考试</w:t>
            </w:r>
          </w:p>
          <w:p w14:paraId="6158D11D">
            <w:pPr>
              <w:jc w:val="center"/>
              <w:rPr>
                <w:rFonts w:hint="eastAsia" w:cs="Arial"/>
                <w:sz w:val="20"/>
                <w:szCs w:val="20"/>
              </w:rPr>
            </w:pPr>
            <w:r>
              <w:rPr>
                <w:rFonts w:hint="eastAsia" w:cs="Arial"/>
                <w:sz w:val="20"/>
                <w:szCs w:val="20"/>
              </w:rPr>
              <w:t>实验报告</w:t>
            </w:r>
          </w:p>
          <w:p w14:paraId="597A91C4">
            <w:pPr>
              <w:jc w:val="center"/>
            </w:pPr>
            <w:r>
              <w:rPr>
                <w:rFonts w:hint="eastAsia" w:cs="Arial"/>
                <w:sz w:val="20"/>
                <w:szCs w:val="20"/>
              </w:rPr>
              <w:t>阶段测验</w:t>
            </w:r>
          </w:p>
        </w:tc>
        <w:tc>
          <w:tcPr>
            <w:tcW w:w="725" w:type="dxa"/>
            <w:noWrap w:val="0"/>
            <w:vAlign w:val="center"/>
          </w:tcPr>
          <w:p w14:paraId="6F0714C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792F93A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2098A06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E2C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6E46EB1">
            <w:pPr>
              <w:snapToGrid w:val="0"/>
              <w:spacing w:line="288" w:lineRule="auto"/>
              <w:rPr>
                <w:rFonts w:hint="eastAsia" w:cs="仿宋"/>
                <w:sz w:val="21"/>
                <w:szCs w:val="21"/>
              </w:rPr>
            </w:pPr>
            <w:r>
              <w:rPr>
                <w:rFonts w:hint="eastAsia"/>
                <w:bCs/>
                <w:color w:val="000000"/>
                <w:sz w:val="21"/>
                <w:szCs w:val="21"/>
              </w:rPr>
              <w:t xml:space="preserve">第十单元 </w:t>
            </w:r>
            <w:r>
              <w:rPr>
                <w:rFonts w:hint="eastAsia" w:cs="仿宋"/>
                <w:sz w:val="21"/>
                <w:szCs w:val="21"/>
              </w:rPr>
              <w:t>作用于消化系统的药物、作用于呼吸系统的药物</w:t>
            </w:r>
          </w:p>
        </w:tc>
        <w:tc>
          <w:tcPr>
            <w:tcW w:w="2415" w:type="dxa"/>
            <w:noWrap w:val="0"/>
            <w:vAlign w:val="center"/>
          </w:tcPr>
          <w:p w14:paraId="0FD57C11">
            <w:pPr>
              <w:widowControl w:val="0"/>
              <w:snapToGrid w:val="0"/>
              <w:jc w:val="center"/>
              <w:rPr>
                <w:rFonts w:hint="eastAsia"/>
                <w:sz w:val="20"/>
                <w:szCs w:val="20"/>
              </w:rPr>
            </w:pPr>
            <w:r>
              <w:rPr>
                <w:rFonts w:hint="eastAsia"/>
                <w:sz w:val="20"/>
                <w:szCs w:val="20"/>
              </w:rPr>
              <w:t>直接教学法</w:t>
            </w:r>
          </w:p>
          <w:p w14:paraId="303C9897">
            <w:pPr>
              <w:widowControl w:val="0"/>
              <w:snapToGrid w:val="0"/>
              <w:jc w:val="center"/>
              <w:rPr>
                <w:rFonts w:hint="eastAsia"/>
                <w:sz w:val="20"/>
                <w:szCs w:val="20"/>
              </w:rPr>
            </w:pPr>
            <w:r>
              <w:rPr>
                <w:rFonts w:hint="eastAsia"/>
                <w:sz w:val="20"/>
                <w:szCs w:val="20"/>
              </w:rPr>
              <w:t>示范教学法</w:t>
            </w:r>
          </w:p>
        </w:tc>
        <w:tc>
          <w:tcPr>
            <w:tcW w:w="1738" w:type="dxa"/>
            <w:noWrap w:val="0"/>
            <w:vAlign w:val="top"/>
          </w:tcPr>
          <w:p w14:paraId="291A11B0">
            <w:pPr>
              <w:jc w:val="center"/>
              <w:rPr>
                <w:rFonts w:hint="eastAsia" w:cs="Arial"/>
                <w:sz w:val="20"/>
                <w:szCs w:val="20"/>
              </w:rPr>
            </w:pPr>
            <w:r>
              <w:rPr>
                <w:rFonts w:hint="eastAsia" w:cs="Arial"/>
                <w:sz w:val="20"/>
                <w:szCs w:val="20"/>
              </w:rPr>
              <w:t>期末闭卷考试</w:t>
            </w:r>
          </w:p>
          <w:p w14:paraId="758208DC">
            <w:pPr>
              <w:jc w:val="center"/>
              <w:rPr>
                <w:rFonts w:hint="eastAsia" w:cs="Arial"/>
                <w:sz w:val="20"/>
                <w:szCs w:val="20"/>
              </w:rPr>
            </w:pPr>
            <w:r>
              <w:rPr>
                <w:rFonts w:hint="eastAsia" w:cs="Arial"/>
                <w:sz w:val="20"/>
                <w:szCs w:val="20"/>
              </w:rPr>
              <w:t>实验报告</w:t>
            </w:r>
          </w:p>
          <w:p w14:paraId="77501365">
            <w:pPr>
              <w:jc w:val="center"/>
            </w:pPr>
            <w:r>
              <w:rPr>
                <w:rFonts w:hint="eastAsia" w:cs="Arial"/>
                <w:sz w:val="20"/>
                <w:szCs w:val="20"/>
              </w:rPr>
              <w:t>阶段测验</w:t>
            </w:r>
          </w:p>
        </w:tc>
        <w:tc>
          <w:tcPr>
            <w:tcW w:w="725" w:type="dxa"/>
            <w:noWrap w:val="0"/>
            <w:vAlign w:val="center"/>
          </w:tcPr>
          <w:p w14:paraId="6A3B9DB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02263DB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noWrap w:val="0"/>
            <w:vAlign w:val="center"/>
          </w:tcPr>
          <w:p w14:paraId="7132F86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8AE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EED9212">
            <w:pPr>
              <w:snapToGrid w:val="0"/>
              <w:spacing w:line="288" w:lineRule="auto"/>
              <w:rPr>
                <w:rFonts w:hint="eastAsia" w:cs="仿宋"/>
                <w:sz w:val="21"/>
                <w:szCs w:val="21"/>
              </w:rPr>
            </w:pPr>
            <w:r>
              <w:rPr>
                <w:rFonts w:hint="eastAsia"/>
                <w:bCs/>
                <w:color w:val="000000"/>
                <w:sz w:val="21"/>
                <w:szCs w:val="21"/>
              </w:rPr>
              <w:t>第十一单元 子宫平滑肌收缩药与舒张药、作用于血液及造血系统的药物、拟组胺药与抗组胺药</w:t>
            </w:r>
            <w:r>
              <w:rPr>
                <w:rFonts w:hint="eastAsia"/>
                <w:sz w:val="21"/>
                <w:szCs w:val="21"/>
              </w:rPr>
              <w:t xml:space="preserve">  </w:t>
            </w:r>
          </w:p>
        </w:tc>
        <w:tc>
          <w:tcPr>
            <w:tcW w:w="2415" w:type="dxa"/>
            <w:noWrap w:val="0"/>
            <w:vAlign w:val="center"/>
          </w:tcPr>
          <w:p w14:paraId="23EAFE7E">
            <w:pPr>
              <w:widowControl w:val="0"/>
              <w:snapToGrid w:val="0"/>
              <w:spacing w:line="288" w:lineRule="auto"/>
              <w:jc w:val="center"/>
              <w:rPr>
                <w:sz w:val="20"/>
                <w:szCs w:val="20"/>
              </w:rPr>
            </w:pPr>
            <w:r>
              <w:rPr>
                <w:rFonts w:hint="eastAsia"/>
                <w:sz w:val="20"/>
                <w:szCs w:val="20"/>
              </w:rPr>
              <w:t>直接教学法</w:t>
            </w:r>
          </w:p>
          <w:p w14:paraId="48028AAA">
            <w:pPr>
              <w:widowControl w:val="0"/>
              <w:snapToGrid w:val="0"/>
              <w:jc w:val="center"/>
              <w:rPr>
                <w:rFonts w:hint="eastAsia"/>
                <w:sz w:val="20"/>
                <w:szCs w:val="20"/>
              </w:rPr>
            </w:pPr>
            <w:r>
              <w:rPr>
                <w:rFonts w:hint="eastAsia"/>
                <w:sz w:val="20"/>
                <w:szCs w:val="20"/>
              </w:rPr>
              <w:t>讨论教学法</w:t>
            </w:r>
          </w:p>
        </w:tc>
        <w:tc>
          <w:tcPr>
            <w:tcW w:w="1738" w:type="dxa"/>
            <w:noWrap w:val="0"/>
            <w:vAlign w:val="top"/>
          </w:tcPr>
          <w:p w14:paraId="30B52BF8">
            <w:pPr>
              <w:jc w:val="center"/>
              <w:rPr>
                <w:rFonts w:hint="eastAsia" w:cs="Arial"/>
                <w:sz w:val="20"/>
                <w:szCs w:val="20"/>
              </w:rPr>
            </w:pPr>
            <w:r>
              <w:rPr>
                <w:rFonts w:hint="eastAsia" w:cs="Arial"/>
                <w:sz w:val="20"/>
                <w:szCs w:val="20"/>
              </w:rPr>
              <w:t>期末闭卷考试</w:t>
            </w:r>
          </w:p>
          <w:p w14:paraId="79F04124">
            <w:pPr>
              <w:jc w:val="center"/>
            </w:pPr>
            <w:r>
              <w:rPr>
                <w:rFonts w:hint="eastAsia" w:cs="Arial"/>
                <w:sz w:val="20"/>
                <w:szCs w:val="20"/>
              </w:rPr>
              <w:t>阶段测验</w:t>
            </w:r>
          </w:p>
        </w:tc>
        <w:tc>
          <w:tcPr>
            <w:tcW w:w="725" w:type="dxa"/>
            <w:noWrap w:val="0"/>
            <w:vAlign w:val="center"/>
          </w:tcPr>
          <w:p w14:paraId="6099D1C2">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2130378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0D73667E">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1A5C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39EAD773">
            <w:pPr>
              <w:snapToGrid w:val="0"/>
              <w:spacing w:line="288" w:lineRule="auto"/>
              <w:rPr>
                <w:rFonts w:hint="eastAsia" w:cs="仿宋"/>
                <w:sz w:val="21"/>
                <w:szCs w:val="21"/>
              </w:rPr>
            </w:pPr>
            <w:r>
              <w:rPr>
                <w:rFonts w:hint="eastAsia"/>
                <w:bCs/>
                <w:sz w:val="21"/>
                <w:szCs w:val="21"/>
              </w:rPr>
              <w:t>第十二单元</w:t>
            </w:r>
            <w:r>
              <w:rPr>
                <w:rFonts w:hint="eastAsia" w:cs="仿宋"/>
                <w:sz w:val="21"/>
                <w:szCs w:val="21"/>
              </w:rPr>
              <w:t>肾上腺皮质激素类药、甲状腺激素和抗甲状腺药</w:t>
            </w:r>
          </w:p>
        </w:tc>
        <w:tc>
          <w:tcPr>
            <w:tcW w:w="2415" w:type="dxa"/>
            <w:noWrap w:val="0"/>
            <w:vAlign w:val="center"/>
          </w:tcPr>
          <w:p w14:paraId="2FAF5051">
            <w:pPr>
              <w:widowControl w:val="0"/>
              <w:snapToGrid w:val="0"/>
              <w:spacing w:line="288" w:lineRule="auto"/>
              <w:jc w:val="center"/>
              <w:rPr>
                <w:sz w:val="20"/>
                <w:szCs w:val="20"/>
              </w:rPr>
            </w:pPr>
            <w:r>
              <w:rPr>
                <w:rFonts w:hint="eastAsia"/>
                <w:sz w:val="20"/>
                <w:szCs w:val="20"/>
              </w:rPr>
              <w:t>直接教学法</w:t>
            </w:r>
          </w:p>
          <w:p w14:paraId="5807A654">
            <w:pPr>
              <w:widowControl w:val="0"/>
              <w:snapToGrid w:val="0"/>
              <w:jc w:val="center"/>
              <w:rPr>
                <w:rFonts w:hint="eastAsia"/>
                <w:sz w:val="20"/>
                <w:szCs w:val="20"/>
              </w:rPr>
            </w:pPr>
            <w:r>
              <w:rPr>
                <w:rFonts w:hint="eastAsia"/>
                <w:sz w:val="20"/>
                <w:szCs w:val="20"/>
              </w:rPr>
              <w:t>示范教学法</w:t>
            </w:r>
          </w:p>
        </w:tc>
        <w:tc>
          <w:tcPr>
            <w:tcW w:w="1738" w:type="dxa"/>
            <w:noWrap w:val="0"/>
            <w:vAlign w:val="top"/>
          </w:tcPr>
          <w:p w14:paraId="0D3BFBB3">
            <w:pPr>
              <w:jc w:val="center"/>
              <w:rPr>
                <w:rFonts w:hint="eastAsia" w:cs="Arial"/>
                <w:sz w:val="20"/>
                <w:szCs w:val="20"/>
              </w:rPr>
            </w:pPr>
            <w:r>
              <w:rPr>
                <w:rFonts w:hint="eastAsia" w:cs="Arial"/>
                <w:sz w:val="20"/>
                <w:szCs w:val="20"/>
              </w:rPr>
              <w:t>期末闭卷考试</w:t>
            </w:r>
          </w:p>
          <w:p w14:paraId="64E1FDC6">
            <w:pPr>
              <w:jc w:val="center"/>
              <w:rPr>
                <w:rFonts w:hint="eastAsia" w:cs="Arial"/>
                <w:sz w:val="20"/>
                <w:szCs w:val="20"/>
              </w:rPr>
            </w:pPr>
            <w:r>
              <w:rPr>
                <w:rFonts w:hint="eastAsia" w:cs="Arial"/>
                <w:sz w:val="20"/>
                <w:szCs w:val="20"/>
              </w:rPr>
              <w:t>实验报告</w:t>
            </w:r>
          </w:p>
          <w:p w14:paraId="1F9CE760">
            <w:pPr>
              <w:jc w:val="center"/>
            </w:pPr>
            <w:r>
              <w:rPr>
                <w:rFonts w:hint="eastAsia" w:cs="Arial"/>
                <w:sz w:val="20"/>
                <w:szCs w:val="20"/>
              </w:rPr>
              <w:t>阶段测验</w:t>
            </w:r>
          </w:p>
        </w:tc>
        <w:tc>
          <w:tcPr>
            <w:tcW w:w="725" w:type="dxa"/>
            <w:noWrap w:val="0"/>
            <w:vAlign w:val="center"/>
          </w:tcPr>
          <w:p w14:paraId="41798B3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773BC7C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1CE81331">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2127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499D2FA4">
            <w:pPr>
              <w:snapToGrid w:val="0"/>
              <w:spacing w:line="288" w:lineRule="auto"/>
              <w:rPr>
                <w:rFonts w:hint="eastAsia" w:cs="仿宋"/>
                <w:sz w:val="21"/>
                <w:szCs w:val="21"/>
              </w:rPr>
            </w:pPr>
            <w:r>
              <w:rPr>
                <w:rFonts w:hint="eastAsia"/>
                <w:bCs/>
                <w:sz w:val="21"/>
                <w:szCs w:val="21"/>
              </w:rPr>
              <w:t>第十三单元</w:t>
            </w:r>
            <w:r>
              <w:rPr>
                <w:rFonts w:hint="eastAsia" w:cs="仿宋"/>
                <w:sz w:val="21"/>
                <w:szCs w:val="21"/>
              </w:rPr>
              <w:t>胰岛素和口服降血糖药、性激素类药及避孕药、抗骨质疏松症药</w:t>
            </w:r>
          </w:p>
        </w:tc>
        <w:tc>
          <w:tcPr>
            <w:tcW w:w="2415" w:type="dxa"/>
            <w:noWrap w:val="0"/>
            <w:vAlign w:val="center"/>
          </w:tcPr>
          <w:p w14:paraId="1A463C37">
            <w:pPr>
              <w:widowControl w:val="0"/>
              <w:snapToGrid w:val="0"/>
              <w:spacing w:line="288" w:lineRule="auto"/>
              <w:jc w:val="center"/>
              <w:rPr>
                <w:sz w:val="20"/>
                <w:szCs w:val="20"/>
              </w:rPr>
            </w:pPr>
            <w:r>
              <w:rPr>
                <w:rFonts w:hint="eastAsia"/>
                <w:sz w:val="20"/>
                <w:szCs w:val="20"/>
              </w:rPr>
              <w:t>直接教学法</w:t>
            </w:r>
          </w:p>
          <w:p w14:paraId="378CAF6E">
            <w:pPr>
              <w:widowControl w:val="0"/>
              <w:snapToGrid w:val="0"/>
              <w:jc w:val="center"/>
              <w:rPr>
                <w:rFonts w:hint="eastAsia"/>
                <w:sz w:val="20"/>
                <w:szCs w:val="20"/>
              </w:rPr>
            </w:pPr>
            <w:r>
              <w:rPr>
                <w:rFonts w:hint="eastAsia"/>
                <w:sz w:val="20"/>
                <w:szCs w:val="20"/>
              </w:rPr>
              <w:t>讨论教学法</w:t>
            </w:r>
          </w:p>
        </w:tc>
        <w:tc>
          <w:tcPr>
            <w:tcW w:w="1738" w:type="dxa"/>
            <w:noWrap w:val="0"/>
            <w:vAlign w:val="top"/>
          </w:tcPr>
          <w:p w14:paraId="128EB4DD">
            <w:pPr>
              <w:jc w:val="center"/>
              <w:rPr>
                <w:rFonts w:hint="eastAsia" w:cs="Arial"/>
                <w:sz w:val="20"/>
                <w:szCs w:val="20"/>
              </w:rPr>
            </w:pPr>
            <w:r>
              <w:rPr>
                <w:rFonts w:hint="eastAsia" w:cs="Arial"/>
                <w:sz w:val="20"/>
                <w:szCs w:val="20"/>
              </w:rPr>
              <w:t>期末闭卷考试</w:t>
            </w:r>
          </w:p>
          <w:p w14:paraId="07204BAB">
            <w:pPr>
              <w:jc w:val="center"/>
            </w:pPr>
            <w:r>
              <w:rPr>
                <w:rFonts w:hint="eastAsia" w:cs="Arial"/>
                <w:sz w:val="20"/>
                <w:szCs w:val="20"/>
              </w:rPr>
              <w:t>阶段测验</w:t>
            </w:r>
          </w:p>
        </w:tc>
        <w:tc>
          <w:tcPr>
            <w:tcW w:w="725" w:type="dxa"/>
            <w:noWrap w:val="0"/>
            <w:vAlign w:val="center"/>
          </w:tcPr>
          <w:p w14:paraId="585FBAC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70408AED">
            <w:pPr>
              <w:widowControl w:val="0"/>
              <w:snapToGrid w:val="0"/>
              <w:jc w:val="center"/>
              <w:rPr>
                <w:rFonts w:hint="eastAsia"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770EE80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5EDB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5A22CA46">
            <w:pPr>
              <w:widowControl w:val="0"/>
              <w:snapToGrid w:val="0"/>
              <w:spacing w:line="288" w:lineRule="auto"/>
              <w:rPr>
                <w:rFonts w:hint="eastAsia"/>
                <w:sz w:val="21"/>
                <w:szCs w:val="21"/>
              </w:rPr>
            </w:pPr>
            <w:r>
              <w:rPr>
                <w:rFonts w:hint="eastAsia"/>
                <w:bCs/>
                <w:sz w:val="21"/>
                <w:szCs w:val="21"/>
              </w:rPr>
              <w:t>第十四单元</w:t>
            </w:r>
            <w:r>
              <w:rPr>
                <w:rFonts w:hint="eastAsia" w:cs="仿宋"/>
                <w:sz w:val="21"/>
                <w:szCs w:val="21"/>
              </w:rPr>
              <w:t>抗菌药概述、抗生素</w:t>
            </w:r>
          </w:p>
        </w:tc>
        <w:tc>
          <w:tcPr>
            <w:tcW w:w="2415" w:type="dxa"/>
            <w:noWrap w:val="0"/>
            <w:vAlign w:val="center"/>
          </w:tcPr>
          <w:p w14:paraId="017FBA32">
            <w:pPr>
              <w:widowControl w:val="0"/>
              <w:snapToGrid w:val="0"/>
              <w:spacing w:line="288" w:lineRule="auto"/>
              <w:jc w:val="center"/>
              <w:rPr>
                <w:sz w:val="20"/>
                <w:szCs w:val="20"/>
              </w:rPr>
            </w:pPr>
            <w:r>
              <w:rPr>
                <w:rFonts w:hint="eastAsia"/>
                <w:sz w:val="20"/>
                <w:szCs w:val="20"/>
              </w:rPr>
              <w:t>直接教学法</w:t>
            </w:r>
          </w:p>
          <w:p w14:paraId="3EBD8DA3">
            <w:pPr>
              <w:widowControl w:val="0"/>
              <w:snapToGrid w:val="0"/>
              <w:spacing w:line="288" w:lineRule="auto"/>
              <w:jc w:val="center"/>
              <w:rPr>
                <w:rFonts w:hint="eastAsia"/>
                <w:sz w:val="20"/>
                <w:szCs w:val="20"/>
              </w:rPr>
            </w:pPr>
            <w:r>
              <w:rPr>
                <w:rFonts w:hint="eastAsia"/>
                <w:sz w:val="20"/>
                <w:szCs w:val="20"/>
              </w:rPr>
              <w:t>讨论教学法</w:t>
            </w:r>
          </w:p>
        </w:tc>
        <w:tc>
          <w:tcPr>
            <w:tcW w:w="1738" w:type="dxa"/>
            <w:noWrap w:val="0"/>
            <w:vAlign w:val="top"/>
          </w:tcPr>
          <w:p w14:paraId="17CDF6A7">
            <w:pPr>
              <w:jc w:val="center"/>
              <w:rPr>
                <w:rFonts w:hint="eastAsia" w:cs="Arial"/>
                <w:sz w:val="20"/>
                <w:szCs w:val="20"/>
              </w:rPr>
            </w:pPr>
            <w:r>
              <w:rPr>
                <w:rFonts w:hint="eastAsia" w:cs="Arial"/>
                <w:sz w:val="20"/>
                <w:szCs w:val="20"/>
              </w:rPr>
              <w:t>期末闭卷考试</w:t>
            </w:r>
          </w:p>
          <w:p w14:paraId="55489F45">
            <w:pPr>
              <w:jc w:val="center"/>
            </w:pPr>
            <w:r>
              <w:rPr>
                <w:rFonts w:hint="eastAsia" w:cs="Arial"/>
                <w:sz w:val="20"/>
                <w:szCs w:val="20"/>
              </w:rPr>
              <w:t>阶段测验</w:t>
            </w:r>
          </w:p>
        </w:tc>
        <w:tc>
          <w:tcPr>
            <w:tcW w:w="725" w:type="dxa"/>
            <w:noWrap w:val="0"/>
            <w:vAlign w:val="center"/>
          </w:tcPr>
          <w:p w14:paraId="17FBCE5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238B70E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345CD30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17A1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2D8AA1D3">
            <w:pPr>
              <w:widowControl w:val="0"/>
              <w:snapToGrid w:val="0"/>
              <w:spacing w:line="288" w:lineRule="auto"/>
              <w:rPr>
                <w:rFonts w:hint="eastAsia"/>
                <w:sz w:val="21"/>
                <w:szCs w:val="21"/>
              </w:rPr>
            </w:pPr>
            <w:r>
              <w:rPr>
                <w:rFonts w:hint="eastAsia"/>
                <w:bCs/>
                <w:sz w:val="21"/>
                <w:szCs w:val="21"/>
              </w:rPr>
              <w:t xml:space="preserve">第十五单元 </w:t>
            </w:r>
            <w:r>
              <w:rPr>
                <w:rFonts w:hint="eastAsia" w:cs="仿宋"/>
                <w:sz w:val="21"/>
                <w:szCs w:val="21"/>
              </w:rPr>
              <w:t>人工合成抗菌药、抗结核病药</w:t>
            </w:r>
          </w:p>
        </w:tc>
        <w:tc>
          <w:tcPr>
            <w:tcW w:w="2415" w:type="dxa"/>
            <w:noWrap w:val="0"/>
            <w:vAlign w:val="center"/>
          </w:tcPr>
          <w:p w14:paraId="79B95DC1">
            <w:pPr>
              <w:widowControl w:val="0"/>
              <w:snapToGrid w:val="0"/>
              <w:spacing w:line="288" w:lineRule="auto"/>
              <w:jc w:val="center"/>
              <w:rPr>
                <w:sz w:val="20"/>
                <w:szCs w:val="20"/>
              </w:rPr>
            </w:pPr>
            <w:r>
              <w:rPr>
                <w:rFonts w:hint="eastAsia"/>
                <w:sz w:val="20"/>
                <w:szCs w:val="20"/>
              </w:rPr>
              <w:t>直接教学法</w:t>
            </w:r>
          </w:p>
          <w:p w14:paraId="6F38AEC0">
            <w:pPr>
              <w:widowControl w:val="0"/>
              <w:snapToGrid w:val="0"/>
              <w:spacing w:line="288" w:lineRule="auto"/>
              <w:jc w:val="center"/>
              <w:rPr>
                <w:rFonts w:hint="eastAsia"/>
                <w:sz w:val="20"/>
                <w:szCs w:val="20"/>
              </w:rPr>
            </w:pPr>
            <w:r>
              <w:rPr>
                <w:rFonts w:hint="eastAsia"/>
                <w:sz w:val="20"/>
                <w:szCs w:val="20"/>
              </w:rPr>
              <w:t>讨论教学法</w:t>
            </w:r>
          </w:p>
        </w:tc>
        <w:tc>
          <w:tcPr>
            <w:tcW w:w="1738" w:type="dxa"/>
            <w:noWrap w:val="0"/>
            <w:vAlign w:val="top"/>
          </w:tcPr>
          <w:p w14:paraId="0DF22A21">
            <w:pPr>
              <w:jc w:val="center"/>
              <w:rPr>
                <w:rFonts w:hint="eastAsia" w:cs="Arial"/>
                <w:sz w:val="20"/>
                <w:szCs w:val="20"/>
              </w:rPr>
            </w:pPr>
            <w:r>
              <w:rPr>
                <w:rFonts w:hint="eastAsia" w:cs="Arial"/>
                <w:sz w:val="20"/>
                <w:szCs w:val="20"/>
              </w:rPr>
              <w:t>期末闭卷考试</w:t>
            </w:r>
          </w:p>
          <w:p w14:paraId="2BB49D6A">
            <w:pPr>
              <w:jc w:val="center"/>
            </w:pPr>
            <w:r>
              <w:rPr>
                <w:rFonts w:hint="eastAsia" w:cs="Arial"/>
                <w:sz w:val="20"/>
                <w:szCs w:val="20"/>
              </w:rPr>
              <w:t>阶段测验</w:t>
            </w:r>
          </w:p>
        </w:tc>
        <w:tc>
          <w:tcPr>
            <w:tcW w:w="725" w:type="dxa"/>
            <w:noWrap w:val="0"/>
            <w:vAlign w:val="center"/>
          </w:tcPr>
          <w:p w14:paraId="05374BF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4881AB0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342C81C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2345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237B394E">
            <w:pPr>
              <w:widowControl w:val="0"/>
              <w:snapToGrid w:val="0"/>
              <w:spacing w:line="288" w:lineRule="auto"/>
              <w:rPr>
                <w:rFonts w:hint="eastAsia"/>
                <w:bCs/>
                <w:sz w:val="21"/>
                <w:szCs w:val="21"/>
              </w:rPr>
            </w:pPr>
            <w:r>
              <w:rPr>
                <w:rFonts w:hint="eastAsia"/>
                <w:bCs/>
                <w:sz w:val="21"/>
                <w:szCs w:val="21"/>
              </w:rPr>
              <w:t>第十六单元 抗真菌药及抗病毒药、抗寄生虫药、抗恶性肿瘤药 、影响免疫功能的药物</w:t>
            </w:r>
          </w:p>
        </w:tc>
        <w:tc>
          <w:tcPr>
            <w:tcW w:w="2415" w:type="dxa"/>
            <w:noWrap w:val="0"/>
            <w:vAlign w:val="center"/>
          </w:tcPr>
          <w:p w14:paraId="67F962CA">
            <w:pPr>
              <w:widowControl w:val="0"/>
              <w:snapToGrid w:val="0"/>
              <w:spacing w:line="288" w:lineRule="auto"/>
              <w:jc w:val="center"/>
              <w:rPr>
                <w:sz w:val="20"/>
                <w:szCs w:val="20"/>
              </w:rPr>
            </w:pPr>
            <w:r>
              <w:rPr>
                <w:rFonts w:hint="eastAsia"/>
                <w:sz w:val="20"/>
                <w:szCs w:val="20"/>
              </w:rPr>
              <w:t>直接教学法</w:t>
            </w:r>
          </w:p>
          <w:p w14:paraId="57FBBB74">
            <w:pPr>
              <w:widowControl w:val="0"/>
              <w:snapToGrid w:val="0"/>
              <w:spacing w:line="288" w:lineRule="auto"/>
              <w:jc w:val="center"/>
              <w:rPr>
                <w:rFonts w:hint="eastAsia"/>
                <w:sz w:val="20"/>
                <w:szCs w:val="20"/>
              </w:rPr>
            </w:pPr>
            <w:r>
              <w:rPr>
                <w:rFonts w:hint="eastAsia"/>
                <w:sz w:val="20"/>
                <w:szCs w:val="20"/>
              </w:rPr>
              <w:t>讨论教学法</w:t>
            </w:r>
          </w:p>
        </w:tc>
        <w:tc>
          <w:tcPr>
            <w:tcW w:w="1738" w:type="dxa"/>
            <w:noWrap w:val="0"/>
            <w:vAlign w:val="top"/>
          </w:tcPr>
          <w:p w14:paraId="134FADAF">
            <w:pPr>
              <w:jc w:val="center"/>
              <w:rPr>
                <w:rFonts w:hint="eastAsia" w:cs="Arial"/>
                <w:sz w:val="20"/>
                <w:szCs w:val="20"/>
              </w:rPr>
            </w:pPr>
            <w:r>
              <w:rPr>
                <w:rFonts w:hint="eastAsia" w:cs="Arial"/>
                <w:sz w:val="20"/>
                <w:szCs w:val="20"/>
              </w:rPr>
              <w:t>期末闭卷考试</w:t>
            </w:r>
          </w:p>
          <w:p w14:paraId="3E324F8F">
            <w:pPr>
              <w:jc w:val="center"/>
            </w:pPr>
            <w:r>
              <w:rPr>
                <w:rFonts w:hint="eastAsia" w:cs="Arial"/>
                <w:sz w:val="20"/>
                <w:szCs w:val="20"/>
              </w:rPr>
              <w:t>阶段测验</w:t>
            </w:r>
          </w:p>
        </w:tc>
        <w:tc>
          <w:tcPr>
            <w:tcW w:w="725" w:type="dxa"/>
            <w:noWrap w:val="0"/>
            <w:vAlign w:val="center"/>
          </w:tcPr>
          <w:p w14:paraId="4381FEF5">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c>
          <w:tcPr>
            <w:tcW w:w="669" w:type="dxa"/>
            <w:noWrap w:val="0"/>
            <w:vAlign w:val="center"/>
          </w:tcPr>
          <w:p w14:paraId="5F98A4A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noWrap w:val="0"/>
            <w:vAlign w:val="center"/>
          </w:tcPr>
          <w:p w14:paraId="0727027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w:t>
            </w:r>
          </w:p>
        </w:tc>
      </w:tr>
      <w:tr w14:paraId="0E5F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noWrap w:val="0"/>
            <w:vAlign w:val="center"/>
          </w:tcPr>
          <w:p w14:paraId="225A3172">
            <w:pPr>
              <w:pStyle w:val="19"/>
              <w:widowControl w:val="0"/>
            </w:pPr>
            <w:r>
              <w:rPr>
                <w:rFonts w:hint="eastAsia"/>
              </w:rPr>
              <w:t>合计</w:t>
            </w:r>
          </w:p>
        </w:tc>
        <w:tc>
          <w:tcPr>
            <w:tcW w:w="725" w:type="dxa"/>
            <w:tcBorders>
              <w:bottom w:val="single" w:color="auto" w:sz="12" w:space="0"/>
            </w:tcBorders>
            <w:noWrap w:val="0"/>
            <w:vAlign w:val="center"/>
          </w:tcPr>
          <w:p w14:paraId="32770605">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noWrap w:val="0"/>
            <w:vAlign w:val="center"/>
          </w:tcPr>
          <w:p w14:paraId="34E83257">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17" w:type="dxa"/>
            <w:tcBorders>
              <w:bottom w:val="single" w:color="auto" w:sz="12" w:space="0"/>
              <w:right w:val="single" w:color="auto" w:sz="12" w:space="0"/>
            </w:tcBorders>
            <w:noWrap w:val="0"/>
            <w:vAlign w:val="center"/>
          </w:tcPr>
          <w:p w14:paraId="422921D3">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r>
    </w:tbl>
    <w:p w14:paraId="75E66B94">
      <w:pPr>
        <w:pStyle w:val="23"/>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2168"/>
        <w:gridCol w:w="3775"/>
        <w:gridCol w:w="862"/>
        <w:gridCol w:w="950"/>
      </w:tblGrid>
      <w:tr w14:paraId="7357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noWrap w:val="0"/>
            <w:vAlign w:val="center"/>
          </w:tcPr>
          <w:p w14:paraId="63E7D761">
            <w:pPr>
              <w:pStyle w:val="19"/>
              <w:rPr>
                <w:szCs w:val="16"/>
              </w:rPr>
            </w:pPr>
            <w:r>
              <w:rPr>
                <w:rFonts w:hint="eastAsia"/>
                <w:szCs w:val="16"/>
              </w:rPr>
              <w:t>序号</w:t>
            </w:r>
          </w:p>
        </w:tc>
        <w:tc>
          <w:tcPr>
            <w:tcW w:w="2168" w:type="dxa"/>
            <w:tcBorders>
              <w:top w:val="single" w:color="auto" w:sz="12" w:space="0"/>
              <w:left w:val="single" w:color="auto" w:sz="4" w:space="0"/>
              <w:bottom w:val="single" w:color="auto" w:sz="4" w:space="0"/>
              <w:right w:val="single" w:color="auto" w:sz="4" w:space="0"/>
            </w:tcBorders>
            <w:noWrap w:val="0"/>
            <w:vAlign w:val="center"/>
          </w:tcPr>
          <w:p w14:paraId="681F8E60">
            <w:pPr>
              <w:pStyle w:val="19"/>
              <w:rPr>
                <w:szCs w:val="16"/>
              </w:rPr>
            </w:pPr>
            <w:r>
              <w:rPr>
                <w:rFonts w:hint="eastAsia"/>
                <w:szCs w:val="16"/>
              </w:rPr>
              <w:t>实验项目名称</w:t>
            </w:r>
          </w:p>
        </w:tc>
        <w:tc>
          <w:tcPr>
            <w:tcW w:w="3775" w:type="dxa"/>
            <w:tcBorders>
              <w:top w:val="single" w:color="auto" w:sz="12" w:space="0"/>
              <w:left w:val="single" w:color="auto" w:sz="4" w:space="0"/>
              <w:bottom w:val="single" w:color="auto" w:sz="4" w:space="0"/>
              <w:right w:val="single" w:color="auto" w:sz="4" w:space="0"/>
            </w:tcBorders>
            <w:noWrap w:val="0"/>
            <w:vAlign w:val="center"/>
          </w:tcPr>
          <w:p w14:paraId="60906948">
            <w:pPr>
              <w:pStyle w:val="19"/>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noWrap w:val="0"/>
            <w:vAlign w:val="center"/>
          </w:tcPr>
          <w:p w14:paraId="0CD9F255">
            <w:pPr>
              <w:pStyle w:val="19"/>
              <w:rPr>
                <w:szCs w:val="16"/>
              </w:rPr>
            </w:pPr>
            <w:r>
              <w:rPr>
                <w:rFonts w:hint="eastAsia"/>
                <w:szCs w:val="16"/>
              </w:rPr>
              <w:t>实验</w:t>
            </w:r>
          </w:p>
          <w:p w14:paraId="29398735">
            <w:pPr>
              <w:pStyle w:val="19"/>
              <w:rPr>
                <w:szCs w:val="16"/>
              </w:rPr>
            </w:pPr>
            <w:r>
              <w:rPr>
                <w:rFonts w:hint="eastAsia"/>
                <w:szCs w:val="16"/>
              </w:rPr>
              <w:t>时数</w:t>
            </w:r>
          </w:p>
        </w:tc>
        <w:tc>
          <w:tcPr>
            <w:tcW w:w="950" w:type="dxa"/>
            <w:tcBorders>
              <w:top w:val="single" w:color="auto" w:sz="12" w:space="0"/>
              <w:left w:val="single" w:color="auto" w:sz="4" w:space="0"/>
              <w:right w:val="single" w:color="auto" w:sz="12" w:space="0"/>
            </w:tcBorders>
            <w:noWrap w:val="0"/>
            <w:vAlign w:val="center"/>
          </w:tcPr>
          <w:p w14:paraId="02312B9B">
            <w:pPr>
              <w:pStyle w:val="19"/>
              <w:rPr>
                <w:szCs w:val="16"/>
              </w:rPr>
            </w:pPr>
            <w:r>
              <w:rPr>
                <w:rFonts w:hint="eastAsia"/>
                <w:szCs w:val="16"/>
              </w:rPr>
              <w:t>实验</w:t>
            </w:r>
          </w:p>
          <w:p w14:paraId="230C6744">
            <w:pPr>
              <w:pStyle w:val="19"/>
              <w:rPr>
                <w:szCs w:val="16"/>
              </w:rPr>
            </w:pPr>
            <w:r>
              <w:rPr>
                <w:rFonts w:hint="eastAsia"/>
                <w:szCs w:val="16"/>
              </w:rPr>
              <w:t>类型</w:t>
            </w:r>
          </w:p>
        </w:tc>
      </w:tr>
      <w:tr w14:paraId="7757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5B309306">
            <w:pPr>
              <w:pStyle w:val="20"/>
            </w:pPr>
            <w:r>
              <w:rPr>
                <w:rFonts w:hint="eastAsia"/>
              </w:rPr>
              <w:t>1</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24DF95B">
            <w:pPr>
              <w:snapToGrid w:val="0"/>
              <w:spacing w:line="360" w:lineRule="atLeast"/>
              <w:rPr>
                <w:rFonts w:hint="eastAsia"/>
                <w:sz w:val="20"/>
                <w:szCs w:val="20"/>
              </w:rPr>
            </w:pPr>
            <w:r>
              <w:rPr>
                <w:rFonts w:hint="eastAsia"/>
                <w:sz w:val="20"/>
                <w:szCs w:val="20"/>
              </w:rPr>
              <w:t>实验一：给药剂量对药物血浓度的影响</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6F918B50">
            <w:pPr>
              <w:snapToGrid w:val="0"/>
              <w:spacing w:line="360" w:lineRule="atLeast"/>
              <w:rPr>
                <w:rFonts w:hint="eastAsia"/>
                <w:sz w:val="20"/>
                <w:szCs w:val="20"/>
              </w:rPr>
            </w:pPr>
            <w:r>
              <w:rPr>
                <w:rFonts w:hint="eastAsia"/>
                <w:sz w:val="20"/>
                <w:szCs w:val="20"/>
              </w:rPr>
              <w:t>观察不同给药剂量对药物血药浓度的影响。</w:t>
            </w:r>
          </w:p>
        </w:tc>
        <w:tc>
          <w:tcPr>
            <w:tcW w:w="862" w:type="dxa"/>
            <w:tcBorders>
              <w:left w:val="single" w:color="auto" w:sz="4" w:space="0"/>
              <w:right w:val="single" w:color="auto" w:sz="4" w:space="0"/>
            </w:tcBorders>
            <w:noWrap w:val="0"/>
            <w:vAlign w:val="center"/>
          </w:tcPr>
          <w:p w14:paraId="07AF0024">
            <w:pPr>
              <w:pStyle w:val="20"/>
            </w:pPr>
            <w:r>
              <w:rPr>
                <w:rFonts w:hint="eastAsia"/>
              </w:rPr>
              <w:t>2</w:t>
            </w:r>
          </w:p>
        </w:tc>
        <w:tc>
          <w:tcPr>
            <w:tcW w:w="950" w:type="dxa"/>
            <w:tcBorders>
              <w:left w:val="single" w:color="auto" w:sz="4" w:space="0"/>
              <w:right w:val="single" w:color="auto" w:sz="12" w:space="0"/>
            </w:tcBorders>
            <w:noWrap w:val="0"/>
            <w:vAlign w:val="center"/>
          </w:tcPr>
          <w:p w14:paraId="6FCADE62">
            <w:pPr>
              <w:pStyle w:val="20"/>
            </w:pPr>
            <w:r>
              <w:rPr>
                <w:rFonts w:hint="eastAsia"/>
              </w:rPr>
              <w:t>④</w:t>
            </w:r>
          </w:p>
        </w:tc>
      </w:tr>
      <w:tr w14:paraId="4946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72D30C72">
            <w:pPr>
              <w:pStyle w:val="20"/>
            </w:pPr>
            <w:r>
              <w:rPr>
                <w:rFonts w:hint="eastAsia"/>
              </w:rPr>
              <w:t xml:space="preserve"> 2</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C7EB5AC">
            <w:pPr>
              <w:pStyle w:val="3"/>
              <w:spacing w:before="0" w:after="0" w:line="240" w:lineRule="auto"/>
              <w:ind w:firstLine="0" w:firstLineChars="0"/>
              <w:jc w:val="left"/>
              <w:rPr>
                <w:rFonts w:hint="eastAsia" w:ascii="宋体" w:hAnsi="宋体" w:eastAsia="宋体" w:cs="宋体"/>
                <w:b w:val="0"/>
                <w:kern w:val="2"/>
                <w:sz w:val="20"/>
                <w:szCs w:val="20"/>
              </w:rPr>
            </w:pPr>
            <w:r>
              <w:rPr>
                <w:rFonts w:hint="eastAsia" w:ascii="宋体" w:hAnsi="宋体" w:eastAsia="宋体" w:cs="宋体"/>
                <w:b w:val="0"/>
                <w:kern w:val="2"/>
                <w:sz w:val="20"/>
                <w:szCs w:val="20"/>
              </w:rPr>
              <w:t>实验二：给药途径对药物血浓度的影响</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4E75BB61">
            <w:pPr>
              <w:rPr>
                <w:rFonts w:hint="eastAsia"/>
                <w:sz w:val="20"/>
                <w:szCs w:val="20"/>
              </w:rPr>
            </w:pPr>
            <w:r>
              <w:rPr>
                <w:rFonts w:hint="eastAsia"/>
                <w:sz w:val="20"/>
                <w:szCs w:val="20"/>
              </w:rPr>
              <w:t>观察不同给药途径对药物血药浓度的影响，掌握小白鼠的口服给药法及尾静脉注射法。</w:t>
            </w:r>
          </w:p>
        </w:tc>
        <w:tc>
          <w:tcPr>
            <w:tcW w:w="862" w:type="dxa"/>
            <w:tcBorders>
              <w:left w:val="single" w:color="auto" w:sz="4" w:space="0"/>
              <w:bottom w:val="single" w:color="auto" w:sz="4" w:space="0"/>
              <w:right w:val="single" w:color="auto" w:sz="4" w:space="0"/>
            </w:tcBorders>
            <w:noWrap w:val="0"/>
            <w:vAlign w:val="center"/>
          </w:tcPr>
          <w:p w14:paraId="11B97663">
            <w:pPr>
              <w:pStyle w:val="20"/>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5F69D2AF">
            <w:pPr>
              <w:pStyle w:val="20"/>
            </w:pPr>
            <w:r>
              <w:rPr>
                <w:rFonts w:hint="eastAsia"/>
              </w:rPr>
              <w:t>④</w:t>
            </w:r>
          </w:p>
        </w:tc>
      </w:tr>
      <w:tr w14:paraId="2EC7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479B6F25">
            <w:pPr>
              <w:pStyle w:val="20"/>
              <w:rPr>
                <w:rFonts w:hint="eastAsia"/>
              </w:rPr>
            </w:pPr>
            <w:r>
              <w:rPr>
                <w:rFonts w:hint="eastAsia"/>
              </w:rPr>
              <w:t>3</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49267BDE">
            <w:pPr>
              <w:snapToGrid w:val="0"/>
              <w:spacing w:line="360" w:lineRule="atLeast"/>
              <w:rPr>
                <w:rFonts w:hint="eastAsia"/>
                <w:sz w:val="20"/>
                <w:szCs w:val="20"/>
              </w:rPr>
            </w:pPr>
            <w:r>
              <w:rPr>
                <w:rFonts w:hint="eastAsia"/>
                <w:sz w:val="20"/>
                <w:szCs w:val="20"/>
              </w:rPr>
              <w:t>实验三：药物的抗惊厥作用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7E238434">
            <w:pPr>
              <w:snapToGrid w:val="0"/>
              <w:spacing w:line="360" w:lineRule="atLeast"/>
              <w:rPr>
                <w:rFonts w:hint="eastAsia"/>
                <w:sz w:val="20"/>
                <w:szCs w:val="20"/>
              </w:rPr>
            </w:pPr>
            <w:r>
              <w:rPr>
                <w:rFonts w:hint="eastAsia"/>
                <w:sz w:val="20"/>
                <w:szCs w:val="20"/>
              </w:rPr>
              <w:t>观察中枢神经系统兴奋药尼可刹米中毒发生惊厥的特点及地西泮的抗惊厥作用。</w:t>
            </w:r>
          </w:p>
        </w:tc>
        <w:tc>
          <w:tcPr>
            <w:tcW w:w="862" w:type="dxa"/>
            <w:tcBorders>
              <w:left w:val="single" w:color="auto" w:sz="4" w:space="0"/>
              <w:bottom w:val="single" w:color="auto" w:sz="4" w:space="0"/>
              <w:right w:val="single" w:color="auto" w:sz="4" w:space="0"/>
            </w:tcBorders>
            <w:noWrap w:val="0"/>
            <w:vAlign w:val="center"/>
          </w:tcPr>
          <w:p w14:paraId="02EB02C0">
            <w:pPr>
              <w:pStyle w:val="20"/>
              <w:rPr>
                <w:rFonts w:hint="eastAsia"/>
              </w:rPr>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7CC57D0C">
            <w:pPr>
              <w:pStyle w:val="20"/>
            </w:pPr>
            <w:r>
              <w:rPr>
                <w:rFonts w:hint="eastAsia"/>
              </w:rPr>
              <w:t>④</w:t>
            </w:r>
          </w:p>
        </w:tc>
      </w:tr>
      <w:tr w14:paraId="3111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48833170">
            <w:pPr>
              <w:pStyle w:val="20"/>
              <w:rPr>
                <w:rFonts w:hint="eastAsia"/>
              </w:rPr>
            </w:pPr>
            <w:r>
              <w:rPr>
                <w:rFonts w:hint="eastAsia"/>
              </w:rPr>
              <w:t>4</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19AD010">
            <w:pPr>
              <w:snapToGrid w:val="0"/>
              <w:spacing w:line="360" w:lineRule="atLeast"/>
              <w:rPr>
                <w:rFonts w:hint="eastAsia"/>
                <w:sz w:val="20"/>
                <w:szCs w:val="20"/>
              </w:rPr>
            </w:pPr>
            <w:r>
              <w:rPr>
                <w:rFonts w:hint="eastAsia"/>
                <w:sz w:val="20"/>
                <w:szCs w:val="20"/>
              </w:rPr>
              <w:t>实验四：传出神经系统药物对血压的影响</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2EBB497F">
            <w:pPr>
              <w:snapToGrid w:val="0"/>
              <w:spacing w:line="360" w:lineRule="atLeast"/>
              <w:rPr>
                <w:rFonts w:hint="eastAsia"/>
                <w:sz w:val="20"/>
                <w:szCs w:val="20"/>
              </w:rPr>
            </w:pPr>
            <w:r>
              <w:rPr>
                <w:rFonts w:hint="eastAsia"/>
                <w:sz w:val="20"/>
                <w:szCs w:val="20"/>
              </w:rPr>
              <w:t>观察神经体液因素及药物对心血管活动的影响；学习哺乳动物动脉血压的直接测量方法。</w:t>
            </w:r>
          </w:p>
        </w:tc>
        <w:tc>
          <w:tcPr>
            <w:tcW w:w="862" w:type="dxa"/>
            <w:tcBorders>
              <w:left w:val="single" w:color="auto" w:sz="4" w:space="0"/>
              <w:bottom w:val="single" w:color="auto" w:sz="4" w:space="0"/>
              <w:right w:val="single" w:color="auto" w:sz="4" w:space="0"/>
            </w:tcBorders>
            <w:noWrap w:val="0"/>
            <w:vAlign w:val="center"/>
          </w:tcPr>
          <w:p w14:paraId="2588F95D">
            <w:pPr>
              <w:pStyle w:val="20"/>
              <w:rPr>
                <w:rFonts w:hint="eastAsia"/>
              </w:rPr>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01517408">
            <w:pPr>
              <w:pStyle w:val="20"/>
            </w:pPr>
            <w:r>
              <w:rPr>
                <w:rFonts w:hint="eastAsia"/>
              </w:rPr>
              <w:t>④</w:t>
            </w:r>
          </w:p>
        </w:tc>
      </w:tr>
      <w:tr w14:paraId="1277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2860FB06">
            <w:pPr>
              <w:pStyle w:val="20"/>
              <w:rPr>
                <w:rFonts w:hint="eastAsia"/>
              </w:rPr>
            </w:pPr>
            <w:r>
              <w:rPr>
                <w:rFonts w:hint="eastAsia"/>
              </w:rPr>
              <w:t>5</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96E5A1F">
            <w:pPr>
              <w:snapToGrid w:val="0"/>
              <w:spacing w:line="360" w:lineRule="atLeast"/>
              <w:rPr>
                <w:rFonts w:hint="eastAsia"/>
                <w:sz w:val="20"/>
                <w:szCs w:val="20"/>
              </w:rPr>
            </w:pPr>
            <w:r>
              <w:rPr>
                <w:rFonts w:hint="eastAsia"/>
                <w:sz w:val="20"/>
                <w:szCs w:val="20"/>
              </w:rPr>
              <w:t>实验五：去甲肾上腺素的缩血管作用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624F7D1C">
            <w:pPr>
              <w:snapToGrid w:val="0"/>
              <w:spacing w:line="360" w:lineRule="atLeast"/>
              <w:rPr>
                <w:rFonts w:hint="eastAsia"/>
                <w:sz w:val="20"/>
                <w:szCs w:val="20"/>
              </w:rPr>
            </w:pPr>
            <w:r>
              <w:rPr>
                <w:rFonts w:hint="eastAsia"/>
                <w:sz w:val="20"/>
                <w:szCs w:val="20"/>
              </w:rPr>
              <w:t>观察去甲肾上腺素的缩血管作用；练习蛙的捉拿及破坏其脑脊髓的方法。</w:t>
            </w:r>
          </w:p>
        </w:tc>
        <w:tc>
          <w:tcPr>
            <w:tcW w:w="862" w:type="dxa"/>
            <w:tcBorders>
              <w:left w:val="single" w:color="auto" w:sz="4" w:space="0"/>
              <w:bottom w:val="single" w:color="auto" w:sz="4" w:space="0"/>
              <w:right w:val="single" w:color="auto" w:sz="4" w:space="0"/>
            </w:tcBorders>
            <w:noWrap w:val="0"/>
            <w:vAlign w:val="center"/>
          </w:tcPr>
          <w:p w14:paraId="655036A7">
            <w:pPr>
              <w:pStyle w:val="20"/>
              <w:rPr>
                <w:rFonts w:hint="eastAsia"/>
              </w:rPr>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5D0C08E7">
            <w:pPr>
              <w:pStyle w:val="20"/>
            </w:pPr>
            <w:r>
              <w:rPr>
                <w:rFonts w:hint="eastAsia"/>
              </w:rPr>
              <w:t>④</w:t>
            </w:r>
          </w:p>
        </w:tc>
      </w:tr>
      <w:tr w14:paraId="3D5C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720DD96A">
            <w:pPr>
              <w:pStyle w:val="20"/>
              <w:rPr>
                <w:rFonts w:hint="eastAsia"/>
              </w:rPr>
            </w:pPr>
            <w:r>
              <w:rPr>
                <w:rFonts w:hint="eastAsia"/>
              </w:rPr>
              <w:t>6</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503A120">
            <w:pPr>
              <w:snapToGrid w:val="0"/>
              <w:spacing w:line="360" w:lineRule="atLeast"/>
              <w:rPr>
                <w:rFonts w:hint="eastAsia"/>
                <w:sz w:val="20"/>
                <w:szCs w:val="20"/>
              </w:rPr>
            </w:pPr>
            <w:r>
              <w:rPr>
                <w:rFonts w:hint="eastAsia"/>
                <w:sz w:val="20"/>
                <w:szCs w:val="20"/>
              </w:rPr>
              <w:t>实验六：氨茶碱和异丙肾上腺素的平喘作用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503A750E">
            <w:pPr>
              <w:snapToGrid w:val="0"/>
              <w:spacing w:line="360" w:lineRule="atLeast"/>
              <w:rPr>
                <w:rFonts w:hint="eastAsia"/>
                <w:sz w:val="20"/>
                <w:szCs w:val="20"/>
              </w:rPr>
            </w:pPr>
            <w:r>
              <w:rPr>
                <w:rFonts w:hint="eastAsia"/>
                <w:sz w:val="20"/>
                <w:szCs w:val="20"/>
              </w:rPr>
              <w:t>学习喷雾乙酰胆碱和组胺引起豚鼠支气管哮喘的实验方法，观察氨茶碱和异丙肾上腺素的平喘作用。</w:t>
            </w:r>
          </w:p>
        </w:tc>
        <w:tc>
          <w:tcPr>
            <w:tcW w:w="862" w:type="dxa"/>
            <w:tcBorders>
              <w:left w:val="single" w:color="auto" w:sz="4" w:space="0"/>
              <w:bottom w:val="single" w:color="auto" w:sz="4" w:space="0"/>
              <w:right w:val="single" w:color="auto" w:sz="4" w:space="0"/>
            </w:tcBorders>
            <w:noWrap w:val="0"/>
            <w:vAlign w:val="center"/>
          </w:tcPr>
          <w:p w14:paraId="61D388DE">
            <w:pPr>
              <w:pStyle w:val="20"/>
              <w:rPr>
                <w:rFonts w:hint="eastAsia"/>
              </w:rPr>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1660B139">
            <w:pPr>
              <w:pStyle w:val="20"/>
            </w:pPr>
            <w:r>
              <w:rPr>
                <w:rFonts w:hint="eastAsia"/>
              </w:rPr>
              <w:t>④</w:t>
            </w:r>
          </w:p>
        </w:tc>
      </w:tr>
      <w:tr w14:paraId="7105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73D823A0">
            <w:pPr>
              <w:pStyle w:val="20"/>
              <w:rPr>
                <w:rFonts w:hint="eastAsia"/>
              </w:rPr>
            </w:pPr>
            <w:r>
              <w:rPr>
                <w:rFonts w:hint="eastAsia"/>
              </w:rPr>
              <w:t>7</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43A68DE1">
            <w:pPr>
              <w:snapToGrid w:val="0"/>
              <w:spacing w:line="360" w:lineRule="atLeast"/>
              <w:rPr>
                <w:rFonts w:hint="eastAsia"/>
                <w:sz w:val="20"/>
                <w:szCs w:val="20"/>
              </w:rPr>
            </w:pPr>
            <w:r>
              <w:rPr>
                <w:rFonts w:hint="eastAsia"/>
                <w:sz w:val="20"/>
                <w:szCs w:val="20"/>
              </w:rPr>
              <w:t>实验七：强心苷对离体蛙心的作用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297BC2B2">
            <w:pPr>
              <w:snapToGrid w:val="0"/>
              <w:spacing w:line="360" w:lineRule="atLeast"/>
              <w:rPr>
                <w:rFonts w:hint="eastAsia"/>
                <w:sz w:val="20"/>
                <w:szCs w:val="20"/>
              </w:rPr>
            </w:pPr>
            <w:r>
              <w:rPr>
                <w:rFonts w:hint="eastAsia"/>
                <w:sz w:val="20"/>
                <w:szCs w:val="20"/>
              </w:rPr>
              <w:t>观察强心苷对离体蛙心收缩强度、频率和节律的影响；观察钙离子与强心苷的协调作用。</w:t>
            </w:r>
          </w:p>
        </w:tc>
        <w:tc>
          <w:tcPr>
            <w:tcW w:w="862" w:type="dxa"/>
            <w:tcBorders>
              <w:left w:val="single" w:color="auto" w:sz="4" w:space="0"/>
              <w:bottom w:val="single" w:color="auto" w:sz="4" w:space="0"/>
              <w:right w:val="single" w:color="auto" w:sz="4" w:space="0"/>
            </w:tcBorders>
            <w:noWrap w:val="0"/>
            <w:vAlign w:val="center"/>
          </w:tcPr>
          <w:p w14:paraId="294515AA">
            <w:pPr>
              <w:pStyle w:val="20"/>
              <w:rPr>
                <w:rFonts w:hint="eastAsia"/>
              </w:rPr>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0C5730B8">
            <w:pPr>
              <w:pStyle w:val="20"/>
              <w:rPr>
                <w:rFonts w:hint="eastAsia"/>
              </w:rPr>
            </w:pPr>
            <w:r>
              <w:rPr>
                <w:rFonts w:hint="eastAsia"/>
              </w:rPr>
              <w:t>④</w:t>
            </w:r>
          </w:p>
        </w:tc>
      </w:tr>
      <w:tr w14:paraId="1EB2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0E18EAC2">
            <w:pPr>
              <w:pStyle w:val="20"/>
              <w:rPr>
                <w:rFonts w:hint="eastAsia"/>
              </w:rPr>
            </w:pPr>
            <w:r>
              <w:rPr>
                <w:rFonts w:hint="eastAsia"/>
              </w:rPr>
              <w:t>8</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1B237186">
            <w:pPr>
              <w:snapToGrid w:val="0"/>
              <w:spacing w:line="360" w:lineRule="atLeast"/>
              <w:rPr>
                <w:rFonts w:hint="eastAsia"/>
                <w:sz w:val="20"/>
                <w:szCs w:val="20"/>
              </w:rPr>
            </w:pPr>
            <w:r>
              <w:rPr>
                <w:rFonts w:hint="eastAsia"/>
                <w:sz w:val="20"/>
                <w:szCs w:val="20"/>
              </w:rPr>
              <w:t>实验八：</w:t>
            </w:r>
            <w:r>
              <w:rPr>
                <w:rFonts w:hint="eastAsia" w:eastAsia="宋体"/>
                <w:sz w:val="20"/>
                <w:szCs w:val="20"/>
              </w:rPr>
              <w:t>呋塞米的利尿作用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534086E4">
            <w:pPr>
              <w:snapToGrid w:val="0"/>
              <w:spacing w:line="360" w:lineRule="atLeast"/>
              <w:rPr>
                <w:rFonts w:hint="eastAsia"/>
                <w:sz w:val="20"/>
                <w:szCs w:val="20"/>
              </w:rPr>
            </w:pPr>
            <w:r>
              <w:rPr>
                <w:rFonts w:hint="eastAsia"/>
                <w:sz w:val="20"/>
                <w:szCs w:val="20"/>
              </w:rPr>
              <w:t>观察呋塞米的利尿效果，分析其作用机制并联系临床应用。</w:t>
            </w:r>
          </w:p>
        </w:tc>
        <w:tc>
          <w:tcPr>
            <w:tcW w:w="862" w:type="dxa"/>
            <w:tcBorders>
              <w:left w:val="single" w:color="auto" w:sz="4" w:space="0"/>
              <w:bottom w:val="single" w:color="auto" w:sz="4" w:space="0"/>
              <w:right w:val="single" w:color="auto" w:sz="4" w:space="0"/>
            </w:tcBorders>
            <w:noWrap w:val="0"/>
            <w:vAlign w:val="center"/>
          </w:tcPr>
          <w:p w14:paraId="73BE68A0">
            <w:pPr>
              <w:pStyle w:val="20"/>
              <w:rPr>
                <w:rFonts w:hint="eastAsia"/>
              </w:rPr>
            </w:pPr>
            <w:r>
              <w:rPr>
                <w:rFonts w:hint="eastAsia"/>
              </w:rPr>
              <w:t>2</w:t>
            </w:r>
          </w:p>
        </w:tc>
        <w:tc>
          <w:tcPr>
            <w:tcW w:w="950" w:type="dxa"/>
            <w:tcBorders>
              <w:left w:val="single" w:color="auto" w:sz="4" w:space="0"/>
              <w:bottom w:val="single" w:color="auto" w:sz="4" w:space="0"/>
              <w:right w:val="single" w:color="auto" w:sz="12" w:space="0"/>
            </w:tcBorders>
            <w:noWrap w:val="0"/>
            <w:vAlign w:val="center"/>
          </w:tcPr>
          <w:p w14:paraId="05365BDB">
            <w:pPr>
              <w:pStyle w:val="20"/>
              <w:rPr>
                <w:rFonts w:hint="eastAsia"/>
              </w:rPr>
            </w:pPr>
            <w:r>
              <w:rPr>
                <w:rFonts w:hint="eastAsia"/>
              </w:rPr>
              <w:t>④</w:t>
            </w:r>
          </w:p>
        </w:tc>
      </w:tr>
      <w:tr w14:paraId="7A40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noWrap w:val="0"/>
            <w:vAlign w:val="center"/>
          </w:tcPr>
          <w:p w14:paraId="79D35314">
            <w:pPr>
              <w:pStyle w:val="19"/>
            </w:pPr>
            <w:r>
              <w:rPr>
                <w:rFonts w:hint="eastAsia"/>
              </w:rPr>
              <w:t>实验类型：①演示型②验证型③设计型④综合型</w:t>
            </w:r>
          </w:p>
        </w:tc>
      </w:tr>
    </w:tbl>
    <w:p w14:paraId="7AB1293F">
      <w:pPr>
        <w:spacing w:before="326" w:beforeLines="100"/>
        <w:outlineLvl w:val="0"/>
        <w:rPr>
          <w:rFonts w:ascii="Arial" w:hAnsi="Arial" w:eastAsia="黑体"/>
          <w:sz w:val="28"/>
        </w:rPr>
      </w:pPr>
      <w:r>
        <w:rPr>
          <w:rFonts w:hint="eastAsia" w:ascii="Arial" w:hAnsi="Arial" w:eastAsia="黑体"/>
          <w:sz w:val="28"/>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120"/>
        <w:gridCol w:w="1186"/>
        <w:gridCol w:w="6170"/>
      </w:tblGrid>
      <w:tr w14:paraId="7FDCD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6F9BB81C">
            <w:pPr>
              <w:snapToGrid w:val="0"/>
              <w:rPr>
                <w:rFonts w:hint="eastAsia" w:ascii="Arial" w:hAnsi="Arial" w:eastAsia="黑体"/>
                <w:bCs/>
                <w:color w:val="000000"/>
                <w:sz w:val="21"/>
                <w:szCs w:val="20"/>
              </w:rPr>
            </w:pPr>
            <w:r>
              <w:rPr>
                <w:rFonts w:hint="eastAsia" w:ascii="Arial" w:hAnsi="Arial" w:eastAsia="黑体"/>
                <w:bCs/>
                <w:color w:val="000000"/>
                <w:sz w:val="21"/>
                <w:szCs w:val="20"/>
              </w:rPr>
              <w:t>序号</w:t>
            </w:r>
          </w:p>
        </w:tc>
        <w:tc>
          <w:tcPr>
            <w:tcW w:w="1186" w:type="dxa"/>
            <w:noWrap w:val="0"/>
            <w:vAlign w:val="center"/>
          </w:tcPr>
          <w:p w14:paraId="432EA585">
            <w:pPr>
              <w:snapToGrid w:val="0"/>
              <w:rPr>
                <w:rFonts w:ascii="Arial" w:hAnsi="Arial" w:eastAsia="黑体"/>
                <w:bCs/>
                <w:color w:val="000000"/>
                <w:sz w:val="21"/>
                <w:szCs w:val="20"/>
              </w:rPr>
            </w:pPr>
            <w:r>
              <w:rPr>
                <w:rFonts w:hint="eastAsia" w:ascii="Arial" w:hAnsi="Arial" w:eastAsia="黑体"/>
                <w:bCs/>
                <w:color w:val="000000"/>
                <w:sz w:val="21"/>
                <w:szCs w:val="20"/>
              </w:rPr>
              <w:t>教学模块</w:t>
            </w:r>
          </w:p>
        </w:tc>
        <w:tc>
          <w:tcPr>
            <w:tcW w:w="6170" w:type="dxa"/>
            <w:noWrap w:val="0"/>
            <w:vAlign w:val="center"/>
          </w:tcPr>
          <w:p w14:paraId="364FCCB9">
            <w:pPr>
              <w:snapToGrid w:val="0"/>
              <w:rPr>
                <w:rFonts w:ascii="Arial" w:hAnsi="Arial" w:eastAsia="黑体"/>
                <w:bCs/>
                <w:color w:val="000000"/>
                <w:sz w:val="21"/>
                <w:szCs w:val="20"/>
              </w:rPr>
            </w:pPr>
            <w:r>
              <w:rPr>
                <w:rFonts w:hint="eastAsia" w:ascii="Arial" w:hAnsi="Arial" w:eastAsia="黑体"/>
                <w:bCs/>
                <w:color w:val="000000"/>
                <w:sz w:val="21"/>
                <w:szCs w:val="20"/>
              </w:rPr>
              <w:t>课程思政教学要点</w:t>
            </w:r>
          </w:p>
        </w:tc>
      </w:tr>
      <w:tr w14:paraId="5BAB2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390D0E6E">
            <w:pPr>
              <w:jc w:val="center"/>
              <w:rPr>
                <w:rFonts w:hint="eastAsia" w:ascii="Times New Roman" w:hAnsi="Times New Roman"/>
                <w:color w:val="000000"/>
                <w:sz w:val="21"/>
                <w:szCs w:val="21"/>
              </w:rPr>
            </w:pPr>
            <w:r>
              <w:rPr>
                <w:rFonts w:hint="eastAsia" w:ascii="Times New Roman" w:hAnsi="Times New Roman"/>
                <w:color w:val="000000"/>
                <w:sz w:val="21"/>
                <w:szCs w:val="21"/>
              </w:rPr>
              <w:t>1</w:t>
            </w:r>
          </w:p>
        </w:tc>
        <w:tc>
          <w:tcPr>
            <w:tcW w:w="1186" w:type="dxa"/>
            <w:noWrap w:val="0"/>
            <w:vAlign w:val="center"/>
          </w:tcPr>
          <w:p w14:paraId="4862233D">
            <w:pPr>
              <w:jc w:val="center"/>
              <w:rPr>
                <w:rFonts w:ascii="Times New Roman" w:hAnsi="Times New Roman"/>
                <w:color w:val="000000"/>
                <w:sz w:val="21"/>
                <w:szCs w:val="21"/>
              </w:rPr>
            </w:pPr>
            <w:r>
              <w:rPr>
                <w:rFonts w:hint="eastAsia" w:ascii="Times New Roman" w:hAnsi="Times New Roman"/>
                <w:color w:val="000000"/>
                <w:sz w:val="21"/>
                <w:szCs w:val="21"/>
              </w:rPr>
              <w:t>药理学总论</w:t>
            </w:r>
          </w:p>
        </w:tc>
        <w:tc>
          <w:tcPr>
            <w:tcW w:w="6170" w:type="dxa"/>
            <w:noWrap w:val="0"/>
            <w:vAlign w:val="center"/>
          </w:tcPr>
          <w:p w14:paraId="617DE808">
            <w:pPr>
              <w:rPr>
                <w:rFonts w:hint="eastAsia" w:ascii="Times New Roman" w:hAnsi="Times New Roman"/>
                <w:color w:val="000000"/>
                <w:sz w:val="21"/>
                <w:szCs w:val="21"/>
              </w:rPr>
            </w:pPr>
            <w:r>
              <w:rPr>
                <w:rFonts w:hint="eastAsia" w:ascii="Times New Roman" w:hAnsi="Times New Roman"/>
                <w:color w:val="000000"/>
                <w:sz w:val="21"/>
                <w:szCs w:val="21"/>
              </w:rPr>
              <w:t>1.药物和药理学的发展简史，国内外药理学的发展近况。屠呦呦教授获得诺贝尔奖</w:t>
            </w:r>
            <w:r>
              <w:rPr>
                <w:rFonts w:ascii="Times New Roman" w:hAnsi="Times New Roman"/>
                <w:color w:val="000000"/>
                <w:sz w:val="21"/>
                <w:szCs w:val="21"/>
              </w:rPr>
              <w:t>；</w:t>
            </w:r>
            <w:r>
              <w:rPr>
                <w:rFonts w:hint="eastAsia" w:ascii="Times New Roman" w:hAnsi="Times New Roman"/>
                <w:color w:val="000000"/>
                <w:sz w:val="21"/>
                <w:szCs w:val="21"/>
              </w:rPr>
              <w:t>反应停事件</w:t>
            </w:r>
            <w:r>
              <w:rPr>
                <w:rFonts w:ascii="Times New Roman" w:hAnsi="Times New Roman"/>
                <w:color w:val="000000"/>
                <w:sz w:val="21"/>
                <w:szCs w:val="21"/>
              </w:rPr>
              <w:t>。</w:t>
            </w:r>
          </w:p>
          <w:p w14:paraId="07E258E4">
            <w:pPr>
              <w:rPr>
                <w:rFonts w:ascii="Times New Roman" w:hAnsi="Times New Roman"/>
                <w:color w:val="000000"/>
                <w:sz w:val="21"/>
                <w:szCs w:val="21"/>
              </w:rPr>
            </w:pPr>
            <w:r>
              <w:rPr>
                <w:rFonts w:hint="eastAsia" w:ascii="Times New Roman" w:hAnsi="Times New Roman"/>
                <w:color w:val="000000"/>
                <w:sz w:val="21"/>
                <w:szCs w:val="21"/>
              </w:rPr>
              <w:t>2.这些事件增强爱国情怀及民族自豪感</w:t>
            </w:r>
            <w:r>
              <w:rPr>
                <w:rFonts w:ascii="Times New Roman" w:hAnsi="Times New Roman"/>
                <w:color w:val="000000"/>
                <w:sz w:val="21"/>
                <w:szCs w:val="21"/>
              </w:rPr>
              <w:t>;学生的时代紧迫感</w:t>
            </w:r>
            <w:r>
              <w:rPr>
                <w:rFonts w:hint="eastAsia" w:ascii="Times New Roman" w:hAnsi="Times New Roman"/>
                <w:color w:val="000000"/>
                <w:sz w:val="21"/>
                <w:szCs w:val="21"/>
              </w:rPr>
              <w:t>和责任感</w:t>
            </w:r>
            <w:r>
              <w:rPr>
                <w:rFonts w:ascii="Times New Roman" w:hAnsi="Times New Roman"/>
                <w:color w:val="000000"/>
                <w:sz w:val="21"/>
                <w:szCs w:val="21"/>
              </w:rPr>
              <w:t>；警示学生养成</w:t>
            </w:r>
            <w:r>
              <w:rPr>
                <w:rFonts w:hint="eastAsia" w:ascii="Times New Roman" w:hAnsi="Times New Roman"/>
                <w:color w:val="000000"/>
                <w:sz w:val="21"/>
                <w:szCs w:val="21"/>
              </w:rPr>
              <w:t>良好的职业道德和职业素养</w:t>
            </w:r>
            <w:r>
              <w:rPr>
                <w:rFonts w:ascii="Times New Roman" w:hAnsi="Times New Roman"/>
                <w:color w:val="000000"/>
                <w:sz w:val="21"/>
                <w:szCs w:val="21"/>
              </w:rPr>
              <w:t>。</w:t>
            </w:r>
          </w:p>
        </w:tc>
      </w:tr>
      <w:tr w14:paraId="2BB3E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65444AB4">
            <w:pPr>
              <w:jc w:val="center"/>
              <w:rPr>
                <w:rFonts w:hint="eastAsia" w:ascii="Times New Roman" w:hAnsi="Times New Roman"/>
                <w:color w:val="000000"/>
                <w:sz w:val="21"/>
                <w:szCs w:val="21"/>
              </w:rPr>
            </w:pPr>
            <w:r>
              <w:rPr>
                <w:rFonts w:hint="eastAsia" w:ascii="Times New Roman" w:hAnsi="Times New Roman"/>
                <w:color w:val="000000"/>
                <w:sz w:val="21"/>
                <w:szCs w:val="21"/>
              </w:rPr>
              <w:t>2</w:t>
            </w:r>
          </w:p>
        </w:tc>
        <w:tc>
          <w:tcPr>
            <w:tcW w:w="1186" w:type="dxa"/>
            <w:noWrap w:val="0"/>
            <w:vAlign w:val="center"/>
          </w:tcPr>
          <w:p w14:paraId="33A59CBA">
            <w:pPr>
              <w:jc w:val="center"/>
              <w:rPr>
                <w:rFonts w:ascii="Times New Roman" w:hAnsi="Times New Roman"/>
                <w:color w:val="000000"/>
                <w:sz w:val="21"/>
                <w:szCs w:val="21"/>
              </w:rPr>
            </w:pPr>
            <w:r>
              <w:rPr>
                <w:rFonts w:hint="eastAsia" w:ascii="Times New Roman" w:hAnsi="Times New Roman"/>
                <w:color w:val="000000"/>
                <w:sz w:val="21"/>
                <w:szCs w:val="21"/>
              </w:rPr>
              <w:t>传出神经</w:t>
            </w:r>
          </w:p>
          <w:p w14:paraId="555EFCC8">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396AB425">
            <w:pPr>
              <w:rPr>
                <w:rFonts w:hint="eastAsia" w:ascii="Times New Roman" w:hAnsi="Times New Roman"/>
                <w:color w:val="000000"/>
                <w:sz w:val="21"/>
                <w:szCs w:val="21"/>
              </w:rPr>
            </w:pPr>
            <w:r>
              <w:rPr>
                <w:rFonts w:hint="eastAsia" w:ascii="Times New Roman" w:hAnsi="Times New Roman"/>
                <w:color w:val="000000"/>
                <w:sz w:val="21"/>
                <w:szCs w:val="21"/>
              </w:rPr>
              <w:t>1. 将课堂内容与生活中的实际例子相结合</w:t>
            </w:r>
            <w:r>
              <w:rPr>
                <w:rFonts w:ascii="Times New Roman" w:hAnsi="Times New Roman"/>
                <w:color w:val="000000"/>
                <w:sz w:val="21"/>
                <w:szCs w:val="21"/>
              </w:rPr>
              <w:t>：青霉素导致的过敏性休克说明皮</w:t>
            </w:r>
            <w:r>
              <w:rPr>
                <w:rFonts w:hint="eastAsia" w:ascii="Times New Roman" w:hAnsi="Times New Roman"/>
                <w:color w:val="000000"/>
                <w:sz w:val="21"/>
                <w:szCs w:val="21"/>
              </w:rPr>
              <w:t>试的重要性</w:t>
            </w:r>
            <w:r>
              <w:rPr>
                <w:rFonts w:ascii="Times New Roman" w:hAnsi="Times New Roman"/>
                <w:color w:val="000000"/>
                <w:sz w:val="21"/>
                <w:szCs w:val="21"/>
              </w:rPr>
              <w:t>；在用药护理讲解中引出</w:t>
            </w:r>
            <w:r>
              <w:rPr>
                <w:rFonts w:hint="eastAsia" w:ascii="Times New Roman" w:hAnsi="Times New Roman"/>
                <w:color w:val="000000"/>
                <w:sz w:val="21"/>
                <w:szCs w:val="21"/>
              </w:rPr>
              <w:t>医疗机构不按护理流程致死等严重后果的案例</w:t>
            </w:r>
            <w:r>
              <w:rPr>
                <w:rFonts w:ascii="Times New Roman" w:hAnsi="Times New Roman"/>
                <w:color w:val="000000"/>
                <w:sz w:val="21"/>
                <w:szCs w:val="21"/>
              </w:rPr>
              <w:t>;陈克恢在中药麻黄中分离</w:t>
            </w:r>
            <w:r>
              <w:rPr>
                <w:rFonts w:hint="eastAsia" w:ascii="Times New Roman" w:hAnsi="Times New Roman"/>
                <w:color w:val="000000"/>
                <w:sz w:val="21"/>
                <w:szCs w:val="21"/>
              </w:rPr>
              <w:t>麻黄碱，研究其药理作用，做出巨大贡献</w:t>
            </w:r>
            <w:r>
              <w:rPr>
                <w:rFonts w:ascii="Times New Roman" w:hAnsi="Times New Roman"/>
                <w:color w:val="000000"/>
                <w:sz w:val="21"/>
                <w:szCs w:val="21"/>
              </w:rPr>
              <w:t>；麻黄碱与冰毒结构相似导致被限</w:t>
            </w:r>
            <w:r>
              <w:rPr>
                <w:rFonts w:hint="eastAsia" w:ascii="Times New Roman" w:hAnsi="Times New Roman"/>
                <w:color w:val="000000"/>
                <w:sz w:val="21"/>
                <w:szCs w:val="21"/>
              </w:rPr>
              <w:t>制销售。</w:t>
            </w:r>
          </w:p>
          <w:p w14:paraId="6C45F686">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w:t>
            </w:r>
            <w:r>
              <w:rPr>
                <w:rFonts w:hint="eastAsia" w:ascii="Times New Roman" w:hAnsi="Times New Roman"/>
                <w:color w:val="000000"/>
                <w:sz w:val="21"/>
                <w:szCs w:val="21"/>
              </w:rPr>
              <w:t>培养学生的学习兴趣的同时，警示学生养成良好的职业道德和职业素养</w:t>
            </w:r>
            <w:r>
              <w:rPr>
                <w:rFonts w:ascii="Times New Roman" w:hAnsi="Times New Roman"/>
                <w:color w:val="000000"/>
                <w:sz w:val="21"/>
                <w:szCs w:val="21"/>
              </w:rPr>
              <w:t>；</w:t>
            </w:r>
            <w:r>
              <w:rPr>
                <w:rFonts w:hint="eastAsia" w:ascii="Times New Roman" w:hAnsi="Times New Roman"/>
                <w:color w:val="000000"/>
                <w:sz w:val="21"/>
                <w:szCs w:val="21"/>
              </w:rPr>
              <w:t>引发学生的法制意识</w:t>
            </w:r>
            <w:r>
              <w:rPr>
                <w:rFonts w:ascii="Times New Roman" w:hAnsi="Times New Roman"/>
                <w:color w:val="000000"/>
                <w:sz w:val="21"/>
                <w:szCs w:val="21"/>
              </w:rPr>
              <w:t>;增</w:t>
            </w:r>
            <w:r>
              <w:rPr>
                <w:rFonts w:hint="eastAsia" w:ascii="Times New Roman" w:hAnsi="Times New Roman"/>
                <w:color w:val="000000"/>
                <w:sz w:val="21"/>
                <w:szCs w:val="21"/>
              </w:rPr>
              <w:t>强爱国情怀和民族自豪感</w:t>
            </w:r>
            <w:r>
              <w:rPr>
                <w:rFonts w:ascii="Times New Roman" w:hAnsi="Times New Roman"/>
                <w:color w:val="000000"/>
                <w:sz w:val="21"/>
                <w:szCs w:val="21"/>
              </w:rPr>
              <w:t>。</w:t>
            </w:r>
          </w:p>
        </w:tc>
      </w:tr>
      <w:tr w14:paraId="31ABF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24AB1AFA">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1186" w:type="dxa"/>
            <w:noWrap w:val="0"/>
            <w:vAlign w:val="center"/>
          </w:tcPr>
          <w:p w14:paraId="3DC6F61E">
            <w:pPr>
              <w:jc w:val="center"/>
              <w:rPr>
                <w:rFonts w:ascii="Times New Roman" w:hAnsi="Times New Roman"/>
                <w:color w:val="000000"/>
                <w:sz w:val="21"/>
                <w:szCs w:val="21"/>
              </w:rPr>
            </w:pPr>
            <w:r>
              <w:rPr>
                <w:rFonts w:hint="eastAsia" w:ascii="Times New Roman" w:hAnsi="Times New Roman"/>
                <w:color w:val="000000"/>
                <w:sz w:val="21"/>
                <w:szCs w:val="21"/>
              </w:rPr>
              <w:t>中枢神经</w:t>
            </w:r>
          </w:p>
          <w:p w14:paraId="42BA256D">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181AD60C">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运用案例讲解麻醉药品滥用导致的后果</w:t>
            </w:r>
            <w:r>
              <w:rPr>
                <w:rFonts w:ascii="Times New Roman" w:hAnsi="Times New Roman"/>
                <w:color w:val="000000"/>
                <w:sz w:val="21"/>
                <w:szCs w:val="21"/>
              </w:rPr>
              <w:t>;前脑叶白质切除术治疗精神分类</w:t>
            </w:r>
            <w:r>
              <w:rPr>
                <w:rFonts w:hint="eastAsia" w:ascii="Times New Roman" w:hAnsi="Times New Roman"/>
                <w:color w:val="000000"/>
                <w:sz w:val="21"/>
                <w:szCs w:val="21"/>
              </w:rPr>
              <w:t>症案例引出氯丙嗪是精神分类症治疗史上的里程碑</w:t>
            </w:r>
            <w:r>
              <w:rPr>
                <w:rFonts w:ascii="Times New Roman" w:hAnsi="Times New Roman"/>
                <w:color w:val="000000"/>
                <w:sz w:val="21"/>
                <w:szCs w:val="21"/>
              </w:rPr>
              <w:t>;英国画家路易斯·韦</w:t>
            </w:r>
            <w:r>
              <w:rPr>
                <w:rFonts w:hint="eastAsia" w:ascii="Times New Roman" w:hAnsi="Times New Roman"/>
                <w:color w:val="000000"/>
                <w:sz w:val="21"/>
                <w:szCs w:val="21"/>
              </w:rPr>
              <w:t>恩案例讲解罹患精神分裂症眼中的世界。</w:t>
            </w:r>
          </w:p>
          <w:p w14:paraId="79F1C539">
            <w:pPr>
              <w:rPr>
                <w:rFonts w:ascii="Times New Roman" w:hAnsi="Times New Roman"/>
                <w:color w:val="000000"/>
                <w:sz w:val="21"/>
                <w:szCs w:val="21"/>
              </w:rPr>
            </w:pPr>
            <w:r>
              <w:rPr>
                <w:rFonts w:hint="eastAsia" w:ascii="Times New Roman" w:hAnsi="Times New Roman"/>
                <w:color w:val="000000"/>
                <w:sz w:val="21"/>
                <w:szCs w:val="21"/>
              </w:rPr>
              <w:t>2.吗啡是我国法律上明确定义的毒品，也是世界卫生组织推荐癌症晚期患者缓解病痛的止痛药，人类因为吗啡才能免受各种剧烈疼痛的折磨，因此也被称为现代医学史上最伟大的发明之一。学生通过查阅资料和翻转课堂讨论，求同存异。吗啡究竟是天使还是恶魔，完全取决于使用途径，临床合理使用是救命的天使，滥用享乐则是害人的恶魔。进而培育学生辩证唯物主义思维，实现知识传授与价值引领功能的深度融合。</w:t>
            </w:r>
          </w:p>
        </w:tc>
      </w:tr>
      <w:tr w14:paraId="765DE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085F582A">
            <w:pPr>
              <w:jc w:val="center"/>
              <w:rPr>
                <w:rFonts w:hint="eastAsia" w:ascii="Times New Roman" w:hAnsi="Times New Roman"/>
                <w:color w:val="000000"/>
                <w:sz w:val="21"/>
                <w:szCs w:val="21"/>
              </w:rPr>
            </w:pPr>
            <w:r>
              <w:rPr>
                <w:rFonts w:hint="eastAsia" w:ascii="Times New Roman" w:hAnsi="Times New Roman"/>
                <w:color w:val="000000"/>
                <w:sz w:val="21"/>
                <w:szCs w:val="21"/>
              </w:rPr>
              <w:t>4</w:t>
            </w:r>
          </w:p>
        </w:tc>
        <w:tc>
          <w:tcPr>
            <w:tcW w:w="1186" w:type="dxa"/>
            <w:noWrap w:val="0"/>
            <w:vAlign w:val="center"/>
          </w:tcPr>
          <w:p w14:paraId="70ED2E8C">
            <w:pPr>
              <w:jc w:val="center"/>
              <w:rPr>
                <w:rFonts w:ascii="Times New Roman" w:hAnsi="Times New Roman"/>
                <w:color w:val="000000"/>
                <w:sz w:val="21"/>
                <w:szCs w:val="21"/>
              </w:rPr>
            </w:pPr>
            <w:r>
              <w:rPr>
                <w:rFonts w:hint="eastAsia" w:ascii="Times New Roman" w:hAnsi="Times New Roman"/>
                <w:color w:val="000000"/>
                <w:sz w:val="21"/>
                <w:szCs w:val="21"/>
              </w:rPr>
              <w:t>心血管</w:t>
            </w:r>
          </w:p>
          <w:p w14:paraId="00079CC0">
            <w:pPr>
              <w:jc w:val="center"/>
              <w:rPr>
                <w:rFonts w:ascii="Times New Roman" w:hAnsi="Times New Roman"/>
                <w:color w:val="000000"/>
                <w:sz w:val="21"/>
                <w:szCs w:val="20"/>
              </w:rPr>
            </w:pPr>
            <w:r>
              <w:rPr>
                <w:rFonts w:hint="eastAsia" w:ascii="Times New Roman" w:hAnsi="Times New Roman"/>
                <w:color w:val="000000"/>
                <w:sz w:val="21"/>
                <w:szCs w:val="21"/>
              </w:rPr>
              <w:t>系统药物</w:t>
            </w:r>
          </w:p>
        </w:tc>
        <w:tc>
          <w:tcPr>
            <w:tcW w:w="6170" w:type="dxa"/>
            <w:noWrap w:val="0"/>
            <w:vAlign w:val="center"/>
          </w:tcPr>
          <w:p w14:paraId="51D00450">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普萘洛尔是治疗冠心病和高血压的经典药物，而后该药物被发现可用于骨质疏松症和黑色素瘤的治疗。培育学生科学精神，形成批判思维，厚植科研创新沃土。</w:t>
            </w:r>
          </w:p>
          <w:p w14:paraId="38D17C41">
            <w:pPr>
              <w:rPr>
                <w:rFonts w:hint="eastAsia" w:ascii="Times New Roman" w:hAnsi="Times New Roman"/>
                <w:color w:val="000000"/>
                <w:sz w:val="21"/>
                <w:szCs w:val="21"/>
              </w:rPr>
            </w:pPr>
            <w:r>
              <w:rPr>
                <w:rFonts w:hint="eastAsia" w:ascii="Times New Roman" w:hAnsi="Times New Roman"/>
                <w:color w:val="000000"/>
                <w:sz w:val="21"/>
                <w:szCs w:val="21"/>
              </w:rPr>
              <w:t>2.围绕国际性的疾病节日，如世界高血压日等，设计案例，通过案例中的疾病</w:t>
            </w:r>
            <w:r>
              <w:rPr>
                <w:rFonts w:ascii="Times New Roman" w:hAnsi="Times New Roman"/>
                <w:color w:val="000000"/>
                <w:sz w:val="21"/>
                <w:szCs w:val="21"/>
              </w:rPr>
              <w:t>-药物相关元素，系统化培育医德精神及人文素养。</w:t>
            </w:r>
          </w:p>
          <w:p w14:paraId="33D75DFB">
            <w:pPr>
              <w:rPr>
                <w:rFonts w:ascii="Times New Roman" w:hAnsi="Times New Roman"/>
                <w:color w:val="000000"/>
                <w:sz w:val="21"/>
                <w:szCs w:val="21"/>
              </w:rPr>
            </w:pPr>
            <w:r>
              <w:rPr>
                <w:rFonts w:hint="eastAsia" w:ascii="Times New Roman" w:hAnsi="Times New Roman"/>
                <w:color w:val="000000"/>
                <w:sz w:val="21"/>
                <w:szCs w:val="21"/>
              </w:rPr>
              <w:t>3.当代我国葛均波院士在全球首次发现心肌桥在</w:t>
            </w:r>
            <w:r>
              <w:rPr>
                <w:rFonts w:ascii="Times New Roman" w:hAnsi="Times New Roman"/>
                <w:color w:val="000000"/>
                <w:sz w:val="21"/>
                <w:szCs w:val="21"/>
              </w:rPr>
              <w:t>IVUS影像中的“半月征”，展现中华民族上下五千年的无尽魅力，提高学生的民族自豪感和文化自信。</w:t>
            </w:r>
          </w:p>
        </w:tc>
      </w:tr>
      <w:tr w14:paraId="58FCA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54B1E49F">
            <w:pPr>
              <w:jc w:val="center"/>
              <w:rPr>
                <w:rFonts w:hint="eastAsia" w:ascii="Times New Roman" w:hAnsi="Times New Roman"/>
                <w:color w:val="000000"/>
                <w:sz w:val="21"/>
                <w:szCs w:val="21"/>
              </w:rPr>
            </w:pPr>
            <w:r>
              <w:rPr>
                <w:rFonts w:hint="eastAsia" w:ascii="Times New Roman" w:hAnsi="Times New Roman"/>
                <w:color w:val="000000"/>
                <w:sz w:val="21"/>
                <w:szCs w:val="21"/>
              </w:rPr>
              <w:t>5</w:t>
            </w:r>
          </w:p>
        </w:tc>
        <w:tc>
          <w:tcPr>
            <w:tcW w:w="1186" w:type="dxa"/>
            <w:noWrap w:val="0"/>
            <w:vAlign w:val="center"/>
          </w:tcPr>
          <w:p w14:paraId="4E3A7EDB">
            <w:pPr>
              <w:jc w:val="center"/>
              <w:rPr>
                <w:rFonts w:ascii="Times New Roman" w:hAnsi="Times New Roman"/>
                <w:color w:val="000000"/>
                <w:sz w:val="21"/>
                <w:szCs w:val="21"/>
              </w:rPr>
            </w:pPr>
            <w:r>
              <w:rPr>
                <w:rFonts w:hint="eastAsia" w:ascii="Times New Roman" w:hAnsi="Times New Roman"/>
                <w:color w:val="000000"/>
                <w:sz w:val="21"/>
                <w:szCs w:val="21"/>
              </w:rPr>
              <w:t>内脏</w:t>
            </w:r>
          </w:p>
          <w:p w14:paraId="46BD6FC9">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76B5EEDC">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.结合中药剂的发展使学生认识到中药有效成分提取越来越受到行业重视</w:t>
            </w:r>
            <w:r>
              <w:rPr>
                <w:rFonts w:ascii="Times New Roman" w:hAnsi="Times New Roman"/>
                <w:color w:val="000000"/>
                <w:sz w:val="21"/>
                <w:szCs w:val="21"/>
              </w:rPr>
              <w:t>；消化道</w:t>
            </w:r>
            <w:r>
              <w:rPr>
                <w:rFonts w:hint="eastAsia" w:ascii="Times New Roman" w:hAnsi="Times New Roman"/>
                <w:color w:val="000000"/>
                <w:sz w:val="21"/>
                <w:szCs w:val="21"/>
              </w:rPr>
              <w:t>溃疡的防治中号召大家聚餐用公筷，避免出现幽门螺旋杆菌的交叉感染</w:t>
            </w:r>
            <w:r>
              <w:rPr>
                <w:rFonts w:ascii="Times New Roman" w:hAnsi="Times New Roman"/>
                <w:color w:val="000000"/>
                <w:sz w:val="21"/>
                <w:szCs w:val="21"/>
              </w:rPr>
              <w:t>。</w:t>
            </w:r>
          </w:p>
          <w:p w14:paraId="786FA7D4">
            <w:pPr>
              <w:rPr>
                <w:rFonts w:ascii="Times New Roman" w:hAnsi="Times New Roman"/>
                <w:color w:val="000000"/>
                <w:sz w:val="21"/>
                <w:szCs w:val="21"/>
              </w:rPr>
            </w:pPr>
            <w:r>
              <w:rPr>
                <w:rFonts w:hint="eastAsia" w:ascii="Times New Roman" w:hAnsi="Times New Roman"/>
                <w:color w:val="000000"/>
                <w:sz w:val="21"/>
                <w:szCs w:val="21"/>
              </w:rPr>
              <w:t>2.西咪替丁是治疗消化性胃溃疡的革命性药物，随着深入研究，发现可用于治疗慢性阻塞性肺疾病、</w:t>
            </w:r>
            <w:r>
              <w:rPr>
                <w:rFonts w:ascii="Times New Roman" w:hAnsi="Times New Roman"/>
                <w:color w:val="000000"/>
                <w:sz w:val="21"/>
                <w:szCs w:val="21"/>
              </w:rPr>
              <w:t>HIV病毒感染等。深入剖析客观事物辩证发展的过程，培养学生勇于探索、不断创新的科学精神。</w:t>
            </w:r>
          </w:p>
        </w:tc>
      </w:tr>
      <w:tr w14:paraId="04C7C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5E2C47C1">
            <w:pPr>
              <w:jc w:val="center"/>
              <w:rPr>
                <w:rFonts w:hint="eastAsia" w:ascii="Times New Roman" w:hAnsi="Times New Roman"/>
                <w:color w:val="000000"/>
                <w:sz w:val="21"/>
                <w:szCs w:val="21"/>
              </w:rPr>
            </w:pPr>
            <w:r>
              <w:rPr>
                <w:rFonts w:hint="eastAsia" w:ascii="Times New Roman" w:hAnsi="Times New Roman"/>
                <w:color w:val="000000"/>
                <w:sz w:val="21"/>
                <w:szCs w:val="21"/>
              </w:rPr>
              <w:t>6</w:t>
            </w:r>
          </w:p>
        </w:tc>
        <w:tc>
          <w:tcPr>
            <w:tcW w:w="1186" w:type="dxa"/>
            <w:noWrap w:val="0"/>
            <w:vAlign w:val="center"/>
          </w:tcPr>
          <w:p w14:paraId="50879BFB">
            <w:pPr>
              <w:jc w:val="center"/>
              <w:rPr>
                <w:rFonts w:ascii="Times New Roman" w:hAnsi="Times New Roman"/>
                <w:color w:val="000000"/>
                <w:sz w:val="21"/>
                <w:szCs w:val="21"/>
              </w:rPr>
            </w:pPr>
            <w:r>
              <w:rPr>
                <w:rFonts w:hint="eastAsia" w:ascii="Times New Roman" w:hAnsi="Times New Roman"/>
                <w:color w:val="000000"/>
                <w:sz w:val="21"/>
                <w:szCs w:val="21"/>
              </w:rPr>
              <w:t>内分泌</w:t>
            </w:r>
          </w:p>
          <w:p w14:paraId="192DE599">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67DDB4BF">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糖皮质激素的治疗案例，消除学生对激素使用误解</w:t>
            </w:r>
            <w:r>
              <w:rPr>
                <w:rFonts w:ascii="Times New Roman" w:hAnsi="Times New Roman"/>
                <w:color w:val="000000"/>
                <w:sz w:val="21"/>
                <w:szCs w:val="21"/>
              </w:rPr>
              <w:t>；“激素宝宝霜”案例。</w:t>
            </w:r>
          </w:p>
          <w:p w14:paraId="7B33DB4B">
            <w:pPr>
              <w:rPr>
                <w:rFonts w:ascii="Times New Roman" w:hAnsi="Times New Roman"/>
                <w:color w:val="000000"/>
                <w:sz w:val="21"/>
                <w:szCs w:val="21"/>
              </w:rPr>
            </w:pPr>
            <w:r>
              <w:rPr>
                <w:rFonts w:hint="eastAsia" w:ascii="Times New Roman" w:hAnsi="Times New Roman"/>
                <w:color w:val="000000"/>
                <w:sz w:val="21"/>
                <w:szCs w:val="21"/>
              </w:rPr>
              <w:t>2.提升学生职业自豪感</w:t>
            </w:r>
            <w:r>
              <w:rPr>
                <w:rFonts w:ascii="Times New Roman" w:hAnsi="Times New Roman"/>
                <w:color w:val="000000"/>
                <w:sz w:val="21"/>
                <w:szCs w:val="21"/>
              </w:rPr>
              <w:t>；培</w:t>
            </w:r>
            <w:r>
              <w:rPr>
                <w:rFonts w:hint="eastAsia" w:ascii="Times New Roman" w:hAnsi="Times New Roman"/>
                <w:color w:val="000000"/>
                <w:sz w:val="21"/>
                <w:szCs w:val="21"/>
              </w:rPr>
              <w:t>养学生社会责任感、医学伦理、形成正确的价值观。</w:t>
            </w:r>
          </w:p>
        </w:tc>
      </w:tr>
      <w:tr w14:paraId="4E6B7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13032BAD">
            <w:pPr>
              <w:jc w:val="center"/>
              <w:rPr>
                <w:rFonts w:hint="eastAsia" w:ascii="Times New Roman" w:hAnsi="Times New Roman"/>
                <w:color w:val="000000"/>
                <w:sz w:val="21"/>
                <w:szCs w:val="21"/>
              </w:rPr>
            </w:pPr>
            <w:r>
              <w:rPr>
                <w:rFonts w:hint="eastAsia" w:ascii="Times New Roman" w:hAnsi="Times New Roman"/>
                <w:color w:val="000000"/>
                <w:sz w:val="21"/>
                <w:szCs w:val="21"/>
              </w:rPr>
              <w:t>7</w:t>
            </w:r>
          </w:p>
        </w:tc>
        <w:tc>
          <w:tcPr>
            <w:tcW w:w="1186" w:type="dxa"/>
            <w:noWrap w:val="0"/>
            <w:vAlign w:val="center"/>
          </w:tcPr>
          <w:p w14:paraId="047A8BE1">
            <w:pPr>
              <w:jc w:val="center"/>
              <w:rPr>
                <w:rFonts w:ascii="Times New Roman" w:hAnsi="Times New Roman"/>
                <w:color w:val="000000"/>
                <w:sz w:val="21"/>
                <w:szCs w:val="21"/>
              </w:rPr>
            </w:pPr>
            <w:r>
              <w:rPr>
                <w:rFonts w:hint="eastAsia" w:ascii="Times New Roman" w:hAnsi="Times New Roman"/>
                <w:color w:val="000000"/>
                <w:sz w:val="21"/>
                <w:szCs w:val="21"/>
              </w:rPr>
              <w:t>抗病原微</w:t>
            </w:r>
          </w:p>
          <w:p w14:paraId="31757374">
            <w:pPr>
              <w:jc w:val="center"/>
              <w:rPr>
                <w:rFonts w:ascii="Times New Roman" w:hAnsi="Times New Roman"/>
                <w:color w:val="000000"/>
                <w:sz w:val="21"/>
                <w:szCs w:val="20"/>
              </w:rPr>
            </w:pPr>
            <w:r>
              <w:rPr>
                <w:rFonts w:hint="eastAsia" w:ascii="Times New Roman" w:hAnsi="Times New Roman"/>
                <w:color w:val="000000"/>
                <w:sz w:val="21"/>
                <w:szCs w:val="21"/>
              </w:rPr>
              <w:t>生物药物</w:t>
            </w:r>
          </w:p>
        </w:tc>
        <w:tc>
          <w:tcPr>
            <w:tcW w:w="6170" w:type="dxa"/>
            <w:noWrap w:val="0"/>
            <w:vAlign w:val="center"/>
          </w:tcPr>
          <w:p w14:paraId="0A0DC977">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青霉素的发现</w:t>
            </w:r>
            <w:r>
              <w:rPr>
                <w:rFonts w:ascii="Times New Roman" w:hAnsi="Times New Roman"/>
                <w:color w:val="000000"/>
                <w:sz w:val="21"/>
                <w:szCs w:val="21"/>
              </w:rPr>
              <w:t>；抗生素的滥用案例，超</w:t>
            </w:r>
            <w:r>
              <w:rPr>
                <w:rFonts w:hint="eastAsia" w:ascii="Times New Roman" w:hAnsi="Times New Roman"/>
                <w:color w:val="000000"/>
                <w:sz w:val="21"/>
                <w:szCs w:val="21"/>
              </w:rPr>
              <w:t>级细菌的出现</w:t>
            </w:r>
            <w:r>
              <w:rPr>
                <w:rFonts w:ascii="Times New Roman" w:hAnsi="Times New Roman"/>
                <w:color w:val="000000"/>
                <w:sz w:val="21"/>
                <w:szCs w:val="21"/>
              </w:rPr>
              <w:t>；布置任务在亲朋好友</w:t>
            </w:r>
            <w:r>
              <w:rPr>
                <w:rFonts w:hint="eastAsia" w:ascii="Times New Roman" w:hAnsi="Times New Roman"/>
                <w:color w:val="000000"/>
                <w:sz w:val="21"/>
                <w:szCs w:val="21"/>
              </w:rPr>
              <w:t>中进行健康宣讲。</w:t>
            </w:r>
          </w:p>
          <w:p w14:paraId="15B0A4CD">
            <w:pPr>
              <w:rPr>
                <w:rFonts w:ascii="Times New Roman" w:hAnsi="Times New Roman"/>
                <w:color w:val="000000"/>
                <w:sz w:val="21"/>
                <w:szCs w:val="21"/>
              </w:rPr>
            </w:pPr>
            <w:r>
              <w:rPr>
                <w:rFonts w:hint="eastAsia" w:ascii="Times New Roman" w:hAnsi="Times New Roman"/>
                <w:color w:val="000000"/>
                <w:sz w:val="21"/>
                <w:szCs w:val="21"/>
              </w:rPr>
              <w:t>2.培养学生社会责任感，严谨的工作态度</w:t>
            </w:r>
            <w:r>
              <w:rPr>
                <w:rFonts w:ascii="Times New Roman" w:hAnsi="Times New Roman"/>
                <w:color w:val="000000"/>
                <w:sz w:val="21"/>
                <w:szCs w:val="21"/>
              </w:rPr>
              <w:t>；提升学生</w:t>
            </w:r>
            <w:r>
              <w:rPr>
                <w:rFonts w:hint="eastAsia" w:ascii="Times New Roman" w:hAnsi="Times New Roman"/>
                <w:color w:val="000000"/>
                <w:sz w:val="21"/>
                <w:szCs w:val="21"/>
              </w:rPr>
              <w:t>的职业自豪感。</w:t>
            </w:r>
          </w:p>
        </w:tc>
      </w:tr>
      <w:tr w14:paraId="06C8A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5CB1D9EA">
            <w:pPr>
              <w:jc w:val="center"/>
              <w:rPr>
                <w:rFonts w:hint="eastAsia" w:ascii="Times New Roman" w:hAnsi="Times New Roman"/>
                <w:color w:val="000000"/>
                <w:sz w:val="21"/>
                <w:szCs w:val="21"/>
              </w:rPr>
            </w:pPr>
            <w:r>
              <w:rPr>
                <w:rFonts w:hint="eastAsia" w:ascii="Times New Roman" w:hAnsi="Times New Roman"/>
                <w:color w:val="000000"/>
                <w:sz w:val="21"/>
                <w:szCs w:val="21"/>
              </w:rPr>
              <w:t>8</w:t>
            </w:r>
          </w:p>
        </w:tc>
        <w:tc>
          <w:tcPr>
            <w:tcW w:w="1186" w:type="dxa"/>
            <w:noWrap w:val="0"/>
            <w:vAlign w:val="center"/>
          </w:tcPr>
          <w:p w14:paraId="46EE4FF2">
            <w:pPr>
              <w:jc w:val="center"/>
              <w:rPr>
                <w:rFonts w:ascii="Times New Roman" w:hAnsi="Times New Roman"/>
                <w:color w:val="000000"/>
                <w:sz w:val="21"/>
                <w:szCs w:val="20"/>
              </w:rPr>
            </w:pPr>
            <w:r>
              <w:rPr>
                <w:rFonts w:hint="eastAsia" w:ascii="Times New Roman" w:hAnsi="Times New Roman"/>
                <w:color w:val="000000"/>
                <w:sz w:val="21"/>
                <w:szCs w:val="21"/>
              </w:rPr>
              <w:t>药理实验</w:t>
            </w:r>
          </w:p>
        </w:tc>
        <w:tc>
          <w:tcPr>
            <w:tcW w:w="6170" w:type="dxa"/>
            <w:noWrap w:val="0"/>
            <w:vAlign w:val="center"/>
          </w:tcPr>
          <w:p w14:paraId="38152E88">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讲解实验设计原则，空白对照组原则</w:t>
            </w:r>
            <w:r>
              <w:rPr>
                <w:rFonts w:ascii="Times New Roman" w:hAnsi="Times New Roman"/>
                <w:color w:val="000000"/>
                <w:sz w:val="21"/>
                <w:szCs w:val="21"/>
              </w:rPr>
              <w:t>。</w:t>
            </w:r>
          </w:p>
          <w:p w14:paraId="2D3C490B">
            <w:pPr>
              <w:rPr>
                <w:rFonts w:ascii="Times New Roman" w:hAnsi="Times New Roman"/>
                <w:color w:val="000000"/>
                <w:sz w:val="21"/>
                <w:szCs w:val="21"/>
              </w:rPr>
            </w:pPr>
            <w:r>
              <w:rPr>
                <w:rFonts w:hint="eastAsia" w:ascii="Times New Roman" w:hAnsi="Times New Roman"/>
                <w:color w:val="000000"/>
                <w:sz w:val="21"/>
                <w:szCs w:val="21"/>
              </w:rPr>
              <w:t>2.培养学生严谨的科研素养，训练学生逻辑思维能力。</w:t>
            </w:r>
          </w:p>
        </w:tc>
      </w:tr>
    </w:tbl>
    <w:p w14:paraId="22293949">
      <w:pPr>
        <w:spacing w:before="326" w:beforeLines="100"/>
        <w:outlineLvl w:val="0"/>
        <w:rPr>
          <w:rFonts w:ascii="Arial" w:hAnsi="Arial" w:eastAsia="黑体"/>
          <w:sz w:val="28"/>
        </w:rPr>
      </w:pPr>
      <w:r>
        <w:rPr>
          <w:rFonts w:hint="eastAsia" w:ascii="Arial" w:hAnsi="Arial" w:eastAsia="黑体"/>
          <w:sz w:val="28"/>
        </w:rPr>
        <w:t>五、</w:t>
      </w:r>
      <w:r>
        <w:rPr>
          <w:rFonts w:ascii="Arial" w:hAnsi="Arial" w:eastAsia="黑体"/>
          <w:sz w:val="28"/>
        </w:rPr>
        <w:t>文理融合、医工融合教学设计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50B19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418CBF22">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noWrap w:val="0"/>
            <w:vAlign w:val="center"/>
          </w:tcPr>
          <w:p w14:paraId="18477E60">
            <w:pPr>
              <w:snapToGrid w:val="0"/>
              <w:jc w:val="center"/>
              <w:rPr>
                <w:rFonts w:ascii="Arial" w:hAnsi="Arial" w:eastAsia="黑体"/>
                <w:bCs/>
                <w:color w:val="000000"/>
                <w:sz w:val="21"/>
                <w:szCs w:val="20"/>
              </w:rPr>
            </w:pPr>
            <w:r>
              <w:rPr>
                <w:rFonts w:ascii="Arial" w:hAnsi="Arial" w:eastAsia="黑体"/>
                <w:bCs/>
                <w:color w:val="000000"/>
                <w:sz w:val="21"/>
                <w:szCs w:val="20"/>
              </w:rPr>
              <w:t>文理融合、医工融合</w:t>
            </w:r>
            <w:r>
              <w:rPr>
                <w:rFonts w:hint="eastAsia" w:ascii="Arial" w:hAnsi="Arial" w:eastAsia="黑体"/>
                <w:bCs/>
                <w:color w:val="000000"/>
                <w:sz w:val="21"/>
                <w:szCs w:val="20"/>
              </w:rPr>
              <w:t>教学要点</w:t>
            </w:r>
          </w:p>
        </w:tc>
      </w:tr>
      <w:tr w14:paraId="3B30D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3535BC87">
            <w:pPr>
              <w:rPr>
                <w:rFonts w:hint="eastAsia" w:ascii="Times New Roman" w:hAnsi="Times New Roman"/>
                <w:color w:val="000000"/>
                <w:sz w:val="21"/>
                <w:szCs w:val="21"/>
              </w:rPr>
            </w:pPr>
            <w:r>
              <w:rPr>
                <w:rFonts w:hint="eastAsia" w:ascii="Times New Roman" w:hAnsi="Times New Roman"/>
                <w:color w:val="000000"/>
                <w:sz w:val="21"/>
                <w:szCs w:val="21"/>
              </w:rPr>
              <w:t>实验一：给药剂量对药物血浓度的影响</w:t>
            </w:r>
          </w:p>
        </w:tc>
        <w:tc>
          <w:tcPr>
            <w:tcW w:w="7176" w:type="dxa"/>
            <w:noWrap w:val="0"/>
            <w:vAlign w:val="center"/>
          </w:tcPr>
          <w:p w14:paraId="31C9F0B8">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离心机的使用。</w:t>
            </w:r>
          </w:p>
          <w:p w14:paraId="478CDB88">
            <w:pPr>
              <w:rPr>
                <w:rFonts w:hint="eastAsia" w:ascii="Times New Roman" w:hAnsi="Times New Roman"/>
                <w:color w:val="000000"/>
                <w:sz w:val="21"/>
                <w:szCs w:val="21"/>
              </w:rPr>
            </w:pPr>
            <w:r>
              <w:rPr>
                <w:rFonts w:hint="eastAsia" w:ascii="Times New Roman" w:hAnsi="Times New Roman"/>
                <w:color w:val="000000"/>
                <w:sz w:val="21"/>
                <w:szCs w:val="19"/>
                <w:shd w:val="clear" w:color="auto" w:fill="FFFFFF"/>
              </w:rPr>
              <w:t>2.分光光度计</w:t>
            </w:r>
            <w:r>
              <w:rPr>
                <w:rFonts w:ascii="Times New Roman" w:hAnsi="Times New Roman"/>
                <w:color w:val="000000"/>
                <w:sz w:val="21"/>
                <w:szCs w:val="21"/>
              </w:rPr>
              <w:t>。</w:t>
            </w:r>
          </w:p>
          <w:p w14:paraId="2F5AEBB0">
            <w:pPr>
              <w:rPr>
                <w:rFonts w:ascii="Times New Roman" w:hAnsi="Times New Roman"/>
                <w:color w:val="000000"/>
                <w:sz w:val="21"/>
                <w:szCs w:val="21"/>
              </w:rPr>
            </w:pPr>
            <w:r>
              <w:rPr>
                <w:rFonts w:hint="eastAsia" w:ascii="Times New Roman" w:hAnsi="Times New Roman"/>
                <w:color w:val="000000"/>
                <w:sz w:val="21"/>
                <w:szCs w:val="21"/>
              </w:rPr>
              <w:t>3. 精准分剂量配药机的介绍。</w:t>
            </w:r>
          </w:p>
        </w:tc>
      </w:tr>
      <w:tr w14:paraId="64C6EA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49AFBDAC">
            <w:pPr>
              <w:rPr>
                <w:rFonts w:hint="eastAsia" w:ascii="Times New Roman" w:hAnsi="Times New Roman"/>
                <w:color w:val="000000"/>
                <w:sz w:val="21"/>
                <w:szCs w:val="21"/>
              </w:rPr>
            </w:pPr>
            <w:r>
              <w:rPr>
                <w:rFonts w:hint="eastAsia" w:ascii="Times New Roman" w:hAnsi="Times New Roman"/>
                <w:color w:val="000000"/>
                <w:sz w:val="21"/>
                <w:szCs w:val="21"/>
              </w:rPr>
              <w:t>实验二：给药途径对药物血浓度的影响</w:t>
            </w:r>
          </w:p>
        </w:tc>
        <w:tc>
          <w:tcPr>
            <w:tcW w:w="7176" w:type="dxa"/>
            <w:noWrap w:val="0"/>
            <w:vAlign w:val="center"/>
          </w:tcPr>
          <w:p w14:paraId="0D8FFC2E">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离心机的使用。</w:t>
            </w:r>
          </w:p>
          <w:p w14:paraId="16B77038">
            <w:pPr>
              <w:rPr>
                <w:rFonts w:hint="eastAsia" w:ascii="Times New Roman" w:hAnsi="Times New Roman"/>
                <w:color w:val="000000"/>
                <w:sz w:val="21"/>
                <w:szCs w:val="21"/>
              </w:rPr>
            </w:pPr>
            <w:r>
              <w:rPr>
                <w:rFonts w:hint="eastAsia" w:ascii="Times New Roman" w:hAnsi="Times New Roman"/>
                <w:color w:val="000000"/>
                <w:sz w:val="21"/>
                <w:szCs w:val="19"/>
                <w:shd w:val="clear" w:color="auto" w:fill="FFFFFF"/>
              </w:rPr>
              <w:t>2.分光光度计的介绍及使用注意事项。</w:t>
            </w:r>
            <w:r>
              <w:rPr>
                <w:rFonts w:ascii="Times New Roman" w:hAnsi="Times New Roman"/>
                <w:color w:val="000000"/>
                <w:sz w:val="21"/>
                <w:szCs w:val="21"/>
              </w:rPr>
              <w:t xml:space="preserve"> </w:t>
            </w:r>
          </w:p>
          <w:p w14:paraId="4C8B46CD">
            <w:pPr>
              <w:rPr>
                <w:rFonts w:ascii="Times New Roman" w:hAnsi="Times New Roman"/>
                <w:color w:val="000000"/>
                <w:sz w:val="21"/>
                <w:szCs w:val="21"/>
              </w:rPr>
            </w:pPr>
            <w:r>
              <w:rPr>
                <w:rFonts w:hint="eastAsia" w:ascii="Times New Roman" w:hAnsi="Times New Roman"/>
                <w:color w:val="000000"/>
                <w:sz w:val="21"/>
                <w:szCs w:val="21"/>
              </w:rPr>
              <w:t>3.灌胃器的分类介绍。</w:t>
            </w:r>
          </w:p>
        </w:tc>
      </w:tr>
      <w:tr w14:paraId="696F9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6DC7E7EA">
            <w:pPr>
              <w:rPr>
                <w:rFonts w:hint="eastAsia" w:ascii="Times New Roman" w:hAnsi="Times New Roman"/>
                <w:color w:val="000000"/>
                <w:sz w:val="21"/>
                <w:szCs w:val="21"/>
              </w:rPr>
            </w:pPr>
            <w:r>
              <w:rPr>
                <w:rFonts w:hint="eastAsia" w:ascii="Times New Roman" w:hAnsi="Times New Roman"/>
                <w:color w:val="000000"/>
                <w:sz w:val="21"/>
                <w:szCs w:val="21"/>
              </w:rPr>
              <w:t>实验三：药物在体内的分布</w:t>
            </w:r>
          </w:p>
        </w:tc>
        <w:tc>
          <w:tcPr>
            <w:tcW w:w="7176" w:type="dxa"/>
            <w:noWrap w:val="0"/>
            <w:vAlign w:val="center"/>
          </w:tcPr>
          <w:p w14:paraId="6A79834E">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灌胃器的介绍。</w:t>
            </w:r>
          </w:p>
          <w:p w14:paraId="15A58255">
            <w:pPr>
              <w:rPr>
                <w:rFonts w:hint="eastAsia" w:ascii="Times New Roman" w:hAnsi="Times New Roman"/>
                <w:color w:val="000000"/>
                <w:sz w:val="21"/>
                <w:szCs w:val="21"/>
              </w:rPr>
            </w:pPr>
            <w:r>
              <w:rPr>
                <w:rFonts w:hint="eastAsia" w:ascii="Times New Roman" w:hAnsi="Times New Roman"/>
                <w:color w:val="000000"/>
                <w:sz w:val="21"/>
                <w:szCs w:val="21"/>
              </w:rPr>
              <w:t>2. 离心机的使用。</w:t>
            </w:r>
          </w:p>
          <w:p w14:paraId="35DA1640">
            <w:pPr>
              <w:rPr>
                <w:rFonts w:hint="eastAsia" w:ascii="Times New Roman" w:hAnsi="Times New Roman"/>
                <w:color w:val="000000"/>
                <w:sz w:val="21"/>
                <w:szCs w:val="21"/>
              </w:rPr>
            </w:pPr>
            <w:r>
              <w:rPr>
                <w:rFonts w:hint="eastAsia" w:ascii="Times New Roman" w:hAnsi="Times New Roman"/>
                <w:color w:val="000000"/>
                <w:sz w:val="21"/>
                <w:szCs w:val="21"/>
              </w:rPr>
              <w:t>3. 组织匀浆器的使用。</w:t>
            </w:r>
          </w:p>
          <w:p w14:paraId="6B8B1FE3">
            <w:pPr>
              <w:rPr>
                <w:rFonts w:hint="eastAsia" w:ascii="Times New Roman" w:hAnsi="Times New Roman"/>
                <w:color w:val="000000"/>
                <w:sz w:val="21"/>
                <w:szCs w:val="19"/>
                <w:shd w:val="clear" w:color="auto" w:fill="FFFFFF"/>
              </w:rPr>
            </w:pPr>
            <w:r>
              <w:rPr>
                <w:rFonts w:hint="eastAsia" w:ascii="Times New Roman" w:hAnsi="Times New Roman"/>
                <w:color w:val="000000"/>
                <w:sz w:val="21"/>
                <w:szCs w:val="21"/>
              </w:rPr>
              <w:t>4.</w:t>
            </w:r>
            <w:r>
              <w:rPr>
                <w:rFonts w:hint="eastAsia" w:ascii="Times New Roman" w:hAnsi="Times New Roman"/>
                <w:color w:val="000000"/>
                <w:sz w:val="21"/>
                <w:szCs w:val="19"/>
                <w:shd w:val="clear" w:color="auto" w:fill="FFFFFF"/>
              </w:rPr>
              <w:t xml:space="preserve"> 分光光度计的介绍及使用注意事项。</w:t>
            </w:r>
          </w:p>
          <w:p w14:paraId="59DCBEFB">
            <w:pPr>
              <w:rPr>
                <w:rFonts w:ascii="Times New Roman" w:hAnsi="Times New Roman"/>
                <w:color w:val="000000"/>
                <w:sz w:val="21"/>
                <w:szCs w:val="21"/>
              </w:rPr>
            </w:pPr>
            <w:r>
              <w:rPr>
                <w:rFonts w:hint="eastAsia" w:ascii="Times New Roman" w:hAnsi="Times New Roman"/>
                <w:color w:val="000000"/>
                <w:sz w:val="21"/>
                <w:szCs w:val="19"/>
                <w:shd w:val="clear" w:color="auto" w:fill="FFFFFF"/>
              </w:rPr>
              <w:t>5.培养皿的分类介绍及使用方法。</w:t>
            </w:r>
          </w:p>
        </w:tc>
      </w:tr>
      <w:tr w14:paraId="6892C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3438DF70">
            <w:pPr>
              <w:rPr>
                <w:rFonts w:hint="eastAsia" w:ascii="Times New Roman" w:hAnsi="Times New Roman"/>
                <w:color w:val="000000"/>
                <w:sz w:val="21"/>
                <w:szCs w:val="21"/>
              </w:rPr>
            </w:pPr>
            <w:r>
              <w:rPr>
                <w:rFonts w:hint="eastAsia" w:ascii="Times New Roman" w:hAnsi="Times New Roman"/>
                <w:color w:val="000000"/>
                <w:sz w:val="21"/>
                <w:szCs w:val="21"/>
              </w:rPr>
              <w:t>实验四：传出神经系统药物对血压的影响</w:t>
            </w:r>
          </w:p>
        </w:tc>
        <w:tc>
          <w:tcPr>
            <w:tcW w:w="7176" w:type="dxa"/>
            <w:noWrap w:val="0"/>
            <w:vAlign w:val="center"/>
          </w:tcPr>
          <w:p w14:paraId="1F9AB7E3">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BL-420生物机能实验系统的使用。</w:t>
            </w:r>
          </w:p>
          <w:p w14:paraId="7253A30D">
            <w:pPr>
              <w:rPr>
                <w:rFonts w:hint="eastAsia" w:ascii="Times New Roman" w:hAnsi="Times New Roman"/>
                <w:color w:val="000000"/>
                <w:sz w:val="21"/>
                <w:szCs w:val="21"/>
              </w:rPr>
            </w:pPr>
            <w:r>
              <w:rPr>
                <w:rFonts w:hint="eastAsia" w:ascii="Times New Roman" w:hAnsi="Times New Roman"/>
                <w:color w:val="000000"/>
                <w:sz w:val="21"/>
                <w:szCs w:val="21"/>
              </w:rPr>
              <w:t>2. 压力换能器的使用。</w:t>
            </w:r>
          </w:p>
          <w:p w14:paraId="0534AB2F">
            <w:pPr>
              <w:rPr>
                <w:rFonts w:hint="eastAsia" w:ascii="Times New Roman" w:hAnsi="Times New Roman"/>
                <w:color w:val="000000"/>
                <w:sz w:val="21"/>
                <w:szCs w:val="21"/>
              </w:rPr>
            </w:pPr>
            <w:r>
              <w:rPr>
                <w:rFonts w:hint="eastAsia" w:ascii="Times New Roman" w:hAnsi="Times New Roman"/>
                <w:color w:val="000000"/>
                <w:sz w:val="21"/>
                <w:szCs w:val="21"/>
              </w:rPr>
              <w:t>3. 动脉夹和三通管的适用范围和注意事项。</w:t>
            </w:r>
          </w:p>
          <w:p w14:paraId="471CFD27">
            <w:pPr>
              <w:rPr>
                <w:rFonts w:ascii="Times New Roman" w:hAnsi="Times New Roman"/>
                <w:color w:val="000000"/>
                <w:sz w:val="21"/>
                <w:szCs w:val="21"/>
              </w:rPr>
            </w:pPr>
            <w:r>
              <w:rPr>
                <w:rFonts w:hint="eastAsia" w:ascii="Times New Roman" w:hAnsi="Times New Roman"/>
                <w:color w:val="000000"/>
                <w:sz w:val="21"/>
                <w:szCs w:val="21"/>
              </w:rPr>
              <w:t>4. 动脉插管的操作注意事项。</w:t>
            </w:r>
          </w:p>
          <w:p w14:paraId="1AB3AE7A">
            <w:pPr>
              <w:rPr>
                <w:rFonts w:ascii="Times New Roman" w:hAnsi="Times New Roman"/>
                <w:color w:val="000000"/>
                <w:sz w:val="21"/>
                <w:szCs w:val="21"/>
              </w:rPr>
            </w:pPr>
            <w:r>
              <w:rPr>
                <w:rFonts w:hint="eastAsia" w:ascii="Times New Roman" w:hAnsi="Times New Roman"/>
                <w:color w:val="000000"/>
                <w:sz w:val="21"/>
                <w:szCs w:val="21"/>
              </w:rPr>
              <w:t>5. 手术灯的介绍。</w:t>
            </w:r>
          </w:p>
        </w:tc>
      </w:tr>
      <w:tr w14:paraId="69742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0EF72B5B">
            <w:pPr>
              <w:rPr>
                <w:rFonts w:hint="eastAsia" w:ascii="Times New Roman" w:hAnsi="Times New Roman"/>
                <w:color w:val="000000"/>
                <w:sz w:val="21"/>
                <w:szCs w:val="21"/>
              </w:rPr>
            </w:pPr>
            <w:r>
              <w:rPr>
                <w:rFonts w:hint="eastAsia" w:ascii="Times New Roman" w:hAnsi="Times New Roman"/>
                <w:color w:val="000000"/>
                <w:sz w:val="21"/>
                <w:szCs w:val="21"/>
              </w:rPr>
              <w:t>实验五：去甲肾上腺素的缩血管作用</w:t>
            </w:r>
          </w:p>
        </w:tc>
        <w:tc>
          <w:tcPr>
            <w:tcW w:w="7176" w:type="dxa"/>
            <w:noWrap w:val="0"/>
            <w:vAlign w:val="center"/>
          </w:tcPr>
          <w:p w14:paraId="58935FA3">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毁髓针的介绍和使用注意事项。</w:t>
            </w:r>
          </w:p>
          <w:p w14:paraId="5D2014A7">
            <w:pPr>
              <w:rPr>
                <w:rFonts w:hint="eastAsia" w:ascii="Times New Roman" w:hAnsi="Times New Roman"/>
                <w:color w:val="000000"/>
                <w:sz w:val="21"/>
                <w:szCs w:val="21"/>
              </w:rPr>
            </w:pPr>
            <w:r>
              <w:rPr>
                <w:rFonts w:hint="eastAsia" w:ascii="Times New Roman" w:hAnsi="Times New Roman"/>
                <w:color w:val="000000"/>
                <w:sz w:val="21"/>
                <w:szCs w:val="21"/>
              </w:rPr>
              <w:t>2. 手术剪的分类介绍和适用范围。</w:t>
            </w:r>
          </w:p>
          <w:p w14:paraId="6D8145FA">
            <w:pPr>
              <w:rPr>
                <w:rFonts w:hint="eastAsia" w:ascii="Times New Roman" w:hAnsi="Times New Roman"/>
                <w:color w:val="000000"/>
                <w:sz w:val="21"/>
                <w:szCs w:val="21"/>
              </w:rPr>
            </w:pPr>
            <w:r>
              <w:rPr>
                <w:rFonts w:hint="eastAsia" w:ascii="Times New Roman" w:hAnsi="Times New Roman"/>
                <w:color w:val="000000"/>
                <w:sz w:val="21"/>
                <w:szCs w:val="21"/>
              </w:rPr>
              <w:t>3. 镊子的分类和选取原则。</w:t>
            </w:r>
          </w:p>
          <w:p w14:paraId="590E5813">
            <w:pPr>
              <w:rPr>
                <w:rFonts w:ascii="Times New Roman" w:hAnsi="Times New Roman"/>
                <w:color w:val="000000"/>
                <w:sz w:val="21"/>
                <w:szCs w:val="21"/>
              </w:rPr>
            </w:pPr>
            <w:r>
              <w:rPr>
                <w:rFonts w:hint="eastAsia" w:ascii="Times New Roman" w:hAnsi="Times New Roman"/>
                <w:color w:val="000000"/>
                <w:sz w:val="21"/>
                <w:szCs w:val="21"/>
              </w:rPr>
              <w:t>4. 医用图像分析仪的介绍。</w:t>
            </w:r>
          </w:p>
        </w:tc>
      </w:tr>
      <w:tr w14:paraId="1E510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51B2F19F">
            <w:pPr>
              <w:rPr>
                <w:rFonts w:hint="eastAsia" w:ascii="Times New Roman" w:hAnsi="Times New Roman"/>
                <w:color w:val="000000"/>
                <w:sz w:val="21"/>
                <w:szCs w:val="21"/>
              </w:rPr>
            </w:pPr>
            <w:r>
              <w:rPr>
                <w:rFonts w:hint="eastAsia" w:ascii="Times New Roman" w:hAnsi="Times New Roman"/>
                <w:color w:val="000000"/>
                <w:sz w:val="21"/>
                <w:szCs w:val="21"/>
              </w:rPr>
              <w:t>实验六：氨茶碱和异丙肾上腺素的平喘作用</w:t>
            </w:r>
          </w:p>
        </w:tc>
        <w:tc>
          <w:tcPr>
            <w:tcW w:w="7176" w:type="dxa"/>
            <w:noWrap w:val="0"/>
            <w:vAlign w:val="center"/>
          </w:tcPr>
          <w:p w14:paraId="53931352">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临床上雾化机的分类使用方法及注意事项。</w:t>
            </w:r>
          </w:p>
          <w:p w14:paraId="05D941D1">
            <w:pPr>
              <w:rPr>
                <w:rFonts w:ascii="Times New Roman" w:hAnsi="Times New Roman"/>
                <w:color w:val="000000"/>
                <w:sz w:val="21"/>
                <w:szCs w:val="21"/>
              </w:rPr>
            </w:pPr>
            <w:r>
              <w:rPr>
                <w:rFonts w:hint="eastAsia" w:ascii="Times New Roman" w:hAnsi="Times New Roman"/>
                <w:color w:val="000000"/>
                <w:sz w:val="21"/>
                <w:szCs w:val="21"/>
              </w:rPr>
              <w:t>2.让学生们意识到根据不同的治疗对象采取不同的医疗器械。</w:t>
            </w:r>
          </w:p>
        </w:tc>
      </w:tr>
      <w:tr w14:paraId="41926C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3276362B">
            <w:pPr>
              <w:pStyle w:val="20"/>
              <w:rPr>
                <w:rFonts w:hint="eastAsia"/>
              </w:rPr>
            </w:pPr>
            <w:r>
              <w:rPr>
                <w:rFonts w:hint="eastAsia"/>
                <w:sz w:val="20"/>
                <w:szCs w:val="20"/>
              </w:rPr>
              <w:t>实验七：强心苷对离体蛙心的作用</w:t>
            </w:r>
          </w:p>
        </w:tc>
        <w:tc>
          <w:tcPr>
            <w:tcW w:w="7176" w:type="dxa"/>
            <w:noWrap w:val="0"/>
            <w:vAlign w:val="center"/>
          </w:tcPr>
          <w:p w14:paraId="1C7F46C0">
            <w:pPr>
              <w:snapToGrid w:val="0"/>
              <w:spacing w:line="360" w:lineRule="atLeast"/>
              <w:rPr>
                <w:rFonts w:hint="eastAsia"/>
                <w:sz w:val="20"/>
                <w:szCs w:val="20"/>
              </w:rPr>
            </w:pPr>
            <w:r>
              <w:rPr>
                <w:rFonts w:hint="eastAsia"/>
                <w:sz w:val="20"/>
                <w:szCs w:val="20"/>
              </w:rPr>
              <w:t>1.让学生们意识到强心苷类药物的药理作用机理及注意事项。</w:t>
            </w:r>
          </w:p>
          <w:p w14:paraId="1367F49D">
            <w:pPr>
              <w:snapToGrid w:val="0"/>
              <w:spacing w:line="360" w:lineRule="atLeast"/>
              <w:rPr>
                <w:rFonts w:hint="eastAsia"/>
                <w:sz w:val="20"/>
                <w:szCs w:val="20"/>
              </w:rPr>
            </w:pPr>
            <w:r>
              <w:rPr>
                <w:rFonts w:hint="eastAsia"/>
                <w:sz w:val="20"/>
                <w:szCs w:val="20"/>
              </w:rPr>
              <w:t>2.相关检测仪器的正确使用。</w:t>
            </w:r>
          </w:p>
        </w:tc>
      </w:tr>
      <w:tr w14:paraId="4172C4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46A3E34B">
            <w:pPr>
              <w:rPr>
                <w:rFonts w:hint="eastAsia" w:ascii="Times New Roman" w:hAnsi="Times New Roman"/>
                <w:color w:val="000000"/>
                <w:sz w:val="21"/>
                <w:szCs w:val="21"/>
              </w:rPr>
            </w:pPr>
            <w:r>
              <w:rPr>
                <w:rFonts w:hint="eastAsia"/>
                <w:sz w:val="20"/>
                <w:szCs w:val="20"/>
              </w:rPr>
              <w:t>实验八：</w:t>
            </w:r>
            <w:r>
              <w:rPr>
                <w:rFonts w:hint="eastAsia" w:ascii="Times New Roman" w:hAnsi="Times New Roman" w:eastAsia="宋体" w:cs="宋体"/>
                <w:color w:val="000000"/>
                <w:sz w:val="20"/>
                <w:szCs w:val="20"/>
                <w:lang w:val="en-US" w:eastAsia="zh-CN" w:bidi="ar-SA"/>
              </w:rPr>
              <w:t>呋塞米的利尿作用</w:t>
            </w:r>
          </w:p>
        </w:tc>
        <w:tc>
          <w:tcPr>
            <w:tcW w:w="7176" w:type="dxa"/>
            <w:noWrap w:val="0"/>
            <w:vAlign w:val="center"/>
          </w:tcPr>
          <w:p w14:paraId="3C0E151C">
            <w:pPr>
              <w:snapToGrid w:val="0"/>
              <w:spacing w:line="360" w:lineRule="atLeast"/>
              <w:rPr>
                <w:rFonts w:hint="eastAsia"/>
                <w:sz w:val="20"/>
                <w:szCs w:val="20"/>
              </w:rPr>
            </w:pPr>
            <w:r>
              <w:rPr>
                <w:rFonts w:hint="eastAsia"/>
                <w:sz w:val="20"/>
                <w:szCs w:val="20"/>
              </w:rPr>
              <w:t>1.让学生们意识到呋塞米的药理作用机理及注意事项。</w:t>
            </w:r>
          </w:p>
          <w:p w14:paraId="7C267C7B">
            <w:pPr>
              <w:snapToGrid w:val="0"/>
              <w:spacing w:line="360" w:lineRule="atLeast"/>
              <w:rPr>
                <w:rFonts w:hint="eastAsia"/>
                <w:sz w:val="20"/>
                <w:szCs w:val="20"/>
              </w:rPr>
            </w:pPr>
            <w:r>
              <w:rPr>
                <w:rFonts w:hint="eastAsia"/>
                <w:sz w:val="20"/>
                <w:szCs w:val="20"/>
              </w:rPr>
              <w:t>2.相关检测仪器的正确使用。</w:t>
            </w:r>
          </w:p>
          <w:p w14:paraId="7E59EE20">
            <w:pPr>
              <w:snapToGrid w:val="0"/>
              <w:spacing w:line="360" w:lineRule="atLeast"/>
              <w:rPr>
                <w:rFonts w:hint="eastAsia"/>
                <w:sz w:val="20"/>
                <w:szCs w:val="20"/>
              </w:rPr>
            </w:pPr>
            <w:r>
              <w:rPr>
                <w:rFonts w:hint="eastAsia"/>
                <w:sz w:val="20"/>
                <w:szCs w:val="20"/>
              </w:rPr>
              <w:t>3.让学生们意识到不同健康服务对象采用不用的利尿剂及使用方法</w:t>
            </w:r>
          </w:p>
        </w:tc>
      </w:tr>
    </w:tbl>
    <w:p w14:paraId="262F91DD">
      <w:pPr>
        <w:pStyle w:val="22"/>
        <w:spacing w:before="326" w:beforeLines="100" w:line="360" w:lineRule="auto"/>
        <w:rPr>
          <w:rFonts w:hint="eastAsia" w:ascii="黑体" w:hAnsi="宋体"/>
        </w:rPr>
      </w:pPr>
    </w:p>
    <w:p w14:paraId="470B77E2">
      <w:pPr>
        <w:pStyle w:val="22"/>
        <w:spacing w:before="326" w:beforeLines="100" w:line="360" w:lineRule="auto"/>
        <w:rPr>
          <w:rFonts w:hint="eastAsia" w:ascii="黑体" w:hAnsi="宋体"/>
        </w:rPr>
      </w:pPr>
      <w:r>
        <w:rPr>
          <w:rFonts w:hint="eastAsia" w:ascii="黑体" w:hAnsi="宋体"/>
        </w:rPr>
        <w:t>五、课程考核</w:t>
      </w:r>
      <w:bookmarkStart w:id="2" w:name="OLE_LINK4"/>
      <w:bookmarkStart w:id="3" w:name="OLE_LINK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827"/>
        <w:gridCol w:w="591"/>
        <w:gridCol w:w="591"/>
        <w:gridCol w:w="591"/>
        <w:gridCol w:w="591"/>
        <w:gridCol w:w="591"/>
        <w:gridCol w:w="591"/>
        <w:gridCol w:w="653"/>
        <w:gridCol w:w="687"/>
      </w:tblGrid>
      <w:tr w14:paraId="63F3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restart"/>
            <w:tcBorders>
              <w:top w:val="single" w:color="auto" w:sz="12" w:space="0"/>
              <w:left w:val="single" w:color="auto" w:sz="12" w:space="0"/>
            </w:tcBorders>
            <w:noWrap w:val="0"/>
            <w:vAlign w:val="center"/>
          </w:tcPr>
          <w:p w14:paraId="0CF6DF5E">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0"/>
              </w:rPr>
              <w:t>总评构成（1+X）</w:t>
            </w:r>
          </w:p>
        </w:tc>
        <w:tc>
          <w:tcPr>
            <w:tcW w:w="708" w:type="dxa"/>
            <w:vMerge w:val="restart"/>
            <w:tcBorders>
              <w:top w:val="single" w:color="auto" w:sz="12" w:space="0"/>
            </w:tcBorders>
            <w:noWrap w:val="0"/>
            <w:vAlign w:val="center"/>
          </w:tcPr>
          <w:p w14:paraId="29ADF63B">
            <w:pPr>
              <w:snapToGrid w:val="0"/>
              <w:jc w:val="center"/>
              <w:rPr>
                <w:rFonts w:ascii="Times New Roman" w:hAnsi="Times New Roman" w:cs="Times New Roman"/>
                <w:bCs/>
                <w:color w:val="000000"/>
                <w:sz w:val="21"/>
                <w:szCs w:val="20"/>
              </w:rPr>
            </w:pPr>
            <w:r>
              <w:rPr>
                <w:rFonts w:ascii="Times New Roman" w:hAnsi="Times New Roman" w:cs="Times New Roman"/>
                <w:bCs/>
                <w:color w:val="000000"/>
                <w:sz w:val="21"/>
                <w:szCs w:val="21"/>
              </w:rPr>
              <w:t>占比</w:t>
            </w:r>
          </w:p>
        </w:tc>
        <w:tc>
          <w:tcPr>
            <w:tcW w:w="1827" w:type="dxa"/>
            <w:vMerge w:val="restart"/>
            <w:tcBorders>
              <w:top w:val="single" w:color="auto" w:sz="12" w:space="0"/>
              <w:right w:val="double" w:color="auto" w:sz="4" w:space="0"/>
            </w:tcBorders>
            <w:noWrap w:val="0"/>
            <w:vAlign w:val="center"/>
          </w:tcPr>
          <w:p w14:paraId="17635B22">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考核方式</w:t>
            </w:r>
          </w:p>
        </w:tc>
        <w:tc>
          <w:tcPr>
            <w:tcW w:w="4199" w:type="dxa"/>
            <w:gridSpan w:val="7"/>
            <w:tcBorders>
              <w:top w:val="single" w:color="auto" w:sz="12" w:space="0"/>
              <w:left w:val="double" w:color="auto" w:sz="4" w:space="0"/>
            </w:tcBorders>
            <w:noWrap w:val="0"/>
            <w:vAlign w:val="center"/>
          </w:tcPr>
          <w:p w14:paraId="76DF39D2">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课程目标</w:t>
            </w:r>
          </w:p>
        </w:tc>
        <w:tc>
          <w:tcPr>
            <w:tcW w:w="687" w:type="dxa"/>
            <w:vMerge w:val="restart"/>
            <w:tcBorders>
              <w:top w:val="single" w:color="auto" w:sz="12" w:space="0"/>
              <w:right w:val="single" w:color="auto" w:sz="12" w:space="0"/>
            </w:tcBorders>
            <w:noWrap w:val="0"/>
            <w:vAlign w:val="center"/>
          </w:tcPr>
          <w:p w14:paraId="3C1FF658">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合计</w:t>
            </w:r>
          </w:p>
        </w:tc>
      </w:tr>
      <w:tr w14:paraId="4832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continue"/>
            <w:tcBorders>
              <w:left w:val="single" w:color="auto" w:sz="12" w:space="0"/>
            </w:tcBorders>
            <w:noWrap w:val="0"/>
            <w:vAlign w:val="top"/>
          </w:tcPr>
          <w:p w14:paraId="60A1779E">
            <w:pPr>
              <w:rPr>
                <w:rFonts w:ascii="Times New Roman" w:hAnsi="Times New Roman" w:cs="Times New Roman"/>
                <w:bCs/>
                <w:color w:val="000000"/>
                <w:sz w:val="21"/>
                <w:szCs w:val="21"/>
              </w:rPr>
            </w:pPr>
          </w:p>
        </w:tc>
        <w:tc>
          <w:tcPr>
            <w:tcW w:w="708" w:type="dxa"/>
            <w:vMerge w:val="continue"/>
            <w:noWrap w:val="0"/>
            <w:vAlign w:val="top"/>
          </w:tcPr>
          <w:p w14:paraId="5BFC48B2">
            <w:pPr>
              <w:rPr>
                <w:rFonts w:ascii="Times New Roman" w:hAnsi="Times New Roman" w:cs="Times New Roman"/>
                <w:bCs/>
                <w:color w:val="000000"/>
                <w:sz w:val="21"/>
                <w:szCs w:val="21"/>
              </w:rPr>
            </w:pPr>
          </w:p>
        </w:tc>
        <w:tc>
          <w:tcPr>
            <w:tcW w:w="1827" w:type="dxa"/>
            <w:vMerge w:val="continue"/>
            <w:tcBorders>
              <w:right w:val="double" w:color="auto" w:sz="4" w:space="0"/>
            </w:tcBorders>
            <w:noWrap w:val="0"/>
            <w:vAlign w:val="top"/>
          </w:tcPr>
          <w:p w14:paraId="5CCE5080">
            <w:pPr>
              <w:rPr>
                <w:rFonts w:ascii="Times New Roman" w:hAnsi="Times New Roman" w:cs="Times New Roman"/>
                <w:bCs/>
                <w:color w:val="000000"/>
                <w:sz w:val="21"/>
                <w:szCs w:val="21"/>
              </w:rPr>
            </w:pPr>
          </w:p>
        </w:tc>
        <w:tc>
          <w:tcPr>
            <w:tcW w:w="591" w:type="dxa"/>
            <w:tcBorders>
              <w:left w:val="double" w:color="auto" w:sz="4" w:space="0"/>
            </w:tcBorders>
            <w:noWrap w:val="0"/>
            <w:vAlign w:val="center"/>
          </w:tcPr>
          <w:p w14:paraId="1EB1D20C">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w:t>
            </w:r>
          </w:p>
        </w:tc>
        <w:tc>
          <w:tcPr>
            <w:tcW w:w="591" w:type="dxa"/>
            <w:noWrap w:val="0"/>
            <w:vAlign w:val="center"/>
          </w:tcPr>
          <w:p w14:paraId="50898ED7">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w:t>
            </w:r>
          </w:p>
        </w:tc>
        <w:tc>
          <w:tcPr>
            <w:tcW w:w="591" w:type="dxa"/>
            <w:noWrap w:val="0"/>
            <w:vAlign w:val="center"/>
          </w:tcPr>
          <w:p w14:paraId="5DA02C25">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w:t>
            </w:r>
          </w:p>
        </w:tc>
        <w:tc>
          <w:tcPr>
            <w:tcW w:w="591" w:type="dxa"/>
            <w:noWrap w:val="0"/>
            <w:vAlign w:val="center"/>
          </w:tcPr>
          <w:p w14:paraId="0A0F91E2">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w:t>
            </w:r>
          </w:p>
        </w:tc>
        <w:tc>
          <w:tcPr>
            <w:tcW w:w="591" w:type="dxa"/>
            <w:noWrap w:val="0"/>
            <w:vAlign w:val="center"/>
          </w:tcPr>
          <w:p w14:paraId="2CE24F5E">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w:t>
            </w:r>
          </w:p>
        </w:tc>
        <w:tc>
          <w:tcPr>
            <w:tcW w:w="591" w:type="dxa"/>
            <w:noWrap w:val="0"/>
            <w:vAlign w:val="center"/>
          </w:tcPr>
          <w:p w14:paraId="04148EDB">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w:t>
            </w:r>
          </w:p>
        </w:tc>
        <w:tc>
          <w:tcPr>
            <w:tcW w:w="653" w:type="dxa"/>
            <w:noWrap w:val="0"/>
            <w:vAlign w:val="center"/>
          </w:tcPr>
          <w:p w14:paraId="5DCBCAA1">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w:t>
            </w:r>
          </w:p>
        </w:tc>
        <w:tc>
          <w:tcPr>
            <w:tcW w:w="687" w:type="dxa"/>
            <w:vMerge w:val="continue"/>
            <w:tcBorders>
              <w:right w:val="single" w:color="auto" w:sz="12" w:space="0"/>
            </w:tcBorders>
            <w:noWrap w:val="0"/>
            <w:vAlign w:val="top"/>
          </w:tcPr>
          <w:p w14:paraId="06EDFF02">
            <w:pPr>
              <w:jc w:val="center"/>
              <w:rPr>
                <w:rFonts w:ascii="Times New Roman" w:hAnsi="Times New Roman" w:cs="Times New Roman"/>
                <w:bCs/>
                <w:color w:val="000000"/>
                <w:sz w:val="21"/>
                <w:szCs w:val="21"/>
              </w:rPr>
            </w:pPr>
          </w:p>
        </w:tc>
      </w:tr>
      <w:tr w14:paraId="42D8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1E5205A1">
            <w:pPr>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708" w:type="dxa"/>
            <w:noWrap w:val="0"/>
            <w:vAlign w:val="top"/>
          </w:tcPr>
          <w:p w14:paraId="68DC8651">
            <w:pPr>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c>
          <w:tcPr>
            <w:tcW w:w="1827" w:type="dxa"/>
            <w:tcBorders>
              <w:right w:val="double" w:color="auto" w:sz="4" w:space="0"/>
            </w:tcBorders>
            <w:noWrap w:val="0"/>
            <w:vAlign w:val="top"/>
          </w:tcPr>
          <w:p w14:paraId="7B8AA5B0">
            <w:pPr>
              <w:rPr>
                <w:rFonts w:ascii="Times New Roman" w:hAnsi="Times New Roman" w:cs="Times New Roman"/>
                <w:color w:val="000000"/>
                <w:sz w:val="21"/>
                <w:szCs w:val="21"/>
              </w:rPr>
            </w:pPr>
            <w:r>
              <w:rPr>
                <w:rFonts w:ascii="Times New Roman" w:hAnsi="Times New Roman" w:cs="Times New Roman"/>
                <w:color w:val="000000"/>
                <w:sz w:val="21"/>
                <w:szCs w:val="21"/>
              </w:rPr>
              <w:t>期末闭卷考试</w:t>
            </w:r>
          </w:p>
        </w:tc>
        <w:tc>
          <w:tcPr>
            <w:tcW w:w="591" w:type="dxa"/>
            <w:tcBorders>
              <w:left w:val="double" w:color="auto" w:sz="4" w:space="0"/>
            </w:tcBorders>
            <w:noWrap w:val="0"/>
            <w:vAlign w:val="center"/>
          </w:tcPr>
          <w:p w14:paraId="69F9B6E0">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2F700BAB">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65A8E352">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40030F01">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2394239E">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w:t>
            </w:r>
            <w:r>
              <w:rPr>
                <w:rFonts w:ascii="Times New Roman" w:hAnsi="Times New Roman" w:cs="Times New Roman"/>
                <w:color w:val="000000"/>
                <w:sz w:val="21"/>
                <w:szCs w:val="21"/>
              </w:rPr>
              <w:t>0</w:t>
            </w:r>
          </w:p>
        </w:tc>
        <w:tc>
          <w:tcPr>
            <w:tcW w:w="591" w:type="dxa"/>
            <w:noWrap w:val="0"/>
            <w:vAlign w:val="center"/>
          </w:tcPr>
          <w:p w14:paraId="31CB9F92">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10</w:t>
            </w:r>
          </w:p>
        </w:tc>
        <w:tc>
          <w:tcPr>
            <w:tcW w:w="653" w:type="dxa"/>
            <w:noWrap w:val="0"/>
            <w:vAlign w:val="center"/>
          </w:tcPr>
          <w:p w14:paraId="74CC39D3">
            <w:pPr>
              <w:jc w:val="center"/>
              <w:rPr>
                <w:rFonts w:ascii="Times New Roman" w:hAnsi="Times New Roman" w:cs="Times New Roman"/>
                <w:bCs/>
                <w:color w:val="000000"/>
                <w:sz w:val="21"/>
                <w:szCs w:val="21"/>
              </w:rPr>
            </w:pPr>
          </w:p>
        </w:tc>
        <w:tc>
          <w:tcPr>
            <w:tcW w:w="687" w:type="dxa"/>
            <w:tcBorders>
              <w:right w:val="single" w:color="auto" w:sz="12" w:space="0"/>
            </w:tcBorders>
            <w:noWrap w:val="0"/>
            <w:vAlign w:val="center"/>
          </w:tcPr>
          <w:p w14:paraId="4BDC7C9B">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14:paraId="6332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126B38C9">
            <w:pPr>
              <w:jc w:val="center"/>
              <w:rPr>
                <w:rFonts w:ascii="Times New Roman" w:hAnsi="Times New Roman" w:cs="Times New Roman"/>
                <w:color w:val="000000"/>
                <w:sz w:val="21"/>
                <w:szCs w:val="21"/>
              </w:rPr>
            </w:pPr>
            <w:r>
              <w:rPr>
                <w:rFonts w:ascii="Times New Roman" w:hAnsi="Times New Roman" w:cs="Times New Roman"/>
                <w:color w:val="000000"/>
                <w:sz w:val="21"/>
                <w:szCs w:val="21"/>
              </w:rPr>
              <w:t>X1</w:t>
            </w:r>
          </w:p>
        </w:tc>
        <w:tc>
          <w:tcPr>
            <w:tcW w:w="708" w:type="dxa"/>
            <w:noWrap w:val="0"/>
            <w:vAlign w:val="top"/>
          </w:tcPr>
          <w:p w14:paraId="24BE26C3">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1827" w:type="dxa"/>
            <w:tcBorders>
              <w:right w:val="double" w:color="auto" w:sz="4" w:space="0"/>
            </w:tcBorders>
            <w:noWrap w:val="0"/>
            <w:vAlign w:val="top"/>
          </w:tcPr>
          <w:p w14:paraId="2525E0EB">
            <w:pPr>
              <w:rPr>
                <w:rFonts w:ascii="Times New Roman" w:hAnsi="Times New Roman" w:cs="Times New Roman"/>
                <w:color w:val="000000"/>
                <w:sz w:val="21"/>
                <w:szCs w:val="21"/>
              </w:rPr>
            </w:pPr>
            <w:r>
              <w:rPr>
                <w:rFonts w:ascii="Times New Roman" w:hAnsi="Times New Roman" w:cs="Times New Roman"/>
                <w:color w:val="000000"/>
                <w:sz w:val="21"/>
                <w:szCs w:val="21"/>
              </w:rPr>
              <w:t>阶段测试</w:t>
            </w:r>
          </w:p>
        </w:tc>
        <w:tc>
          <w:tcPr>
            <w:tcW w:w="591" w:type="dxa"/>
            <w:tcBorders>
              <w:left w:val="double" w:color="auto" w:sz="4" w:space="0"/>
            </w:tcBorders>
            <w:noWrap w:val="0"/>
            <w:vAlign w:val="center"/>
          </w:tcPr>
          <w:p w14:paraId="1B5643E4">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075B5F7C">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0143CBA4">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1" w:type="dxa"/>
            <w:noWrap w:val="0"/>
            <w:vAlign w:val="center"/>
          </w:tcPr>
          <w:p w14:paraId="17DDDEA5">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387E319D">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1" w:type="dxa"/>
            <w:noWrap w:val="0"/>
            <w:vAlign w:val="center"/>
          </w:tcPr>
          <w:p w14:paraId="34B9924B">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653" w:type="dxa"/>
            <w:noWrap w:val="0"/>
            <w:vAlign w:val="center"/>
          </w:tcPr>
          <w:p w14:paraId="692F240A">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687" w:type="dxa"/>
            <w:tcBorders>
              <w:right w:val="single" w:color="auto" w:sz="12" w:space="0"/>
            </w:tcBorders>
            <w:noWrap w:val="0"/>
            <w:vAlign w:val="center"/>
          </w:tcPr>
          <w:p w14:paraId="6733EF8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14:paraId="53E2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188284E9">
            <w:pPr>
              <w:jc w:val="center"/>
              <w:rPr>
                <w:rFonts w:ascii="Times New Roman" w:hAnsi="Times New Roman" w:cs="Times New Roman"/>
                <w:color w:val="000000"/>
                <w:sz w:val="21"/>
                <w:szCs w:val="21"/>
              </w:rPr>
            </w:pPr>
            <w:r>
              <w:rPr>
                <w:rFonts w:ascii="Times New Roman" w:hAnsi="Times New Roman" w:cs="Times New Roman"/>
                <w:color w:val="000000"/>
                <w:sz w:val="21"/>
                <w:szCs w:val="21"/>
              </w:rPr>
              <w:t>X2</w:t>
            </w:r>
          </w:p>
        </w:tc>
        <w:tc>
          <w:tcPr>
            <w:tcW w:w="708" w:type="dxa"/>
            <w:noWrap w:val="0"/>
            <w:vAlign w:val="top"/>
          </w:tcPr>
          <w:p w14:paraId="4D14F4B1">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1827" w:type="dxa"/>
            <w:tcBorders>
              <w:right w:val="double" w:color="auto" w:sz="4" w:space="0"/>
            </w:tcBorders>
            <w:noWrap w:val="0"/>
            <w:vAlign w:val="top"/>
          </w:tcPr>
          <w:p w14:paraId="5BDE7DC0">
            <w:pPr>
              <w:rPr>
                <w:rFonts w:ascii="Times New Roman" w:hAnsi="Times New Roman" w:cs="Times New Roman"/>
                <w:color w:val="000000"/>
                <w:sz w:val="21"/>
                <w:szCs w:val="21"/>
              </w:rPr>
            </w:pPr>
            <w:r>
              <w:rPr>
                <w:rFonts w:ascii="Times New Roman" w:hAnsi="Times New Roman" w:cs="Times New Roman"/>
                <w:color w:val="000000"/>
                <w:sz w:val="21"/>
                <w:szCs w:val="21"/>
              </w:rPr>
              <w:t>实验报告</w:t>
            </w:r>
          </w:p>
        </w:tc>
        <w:tc>
          <w:tcPr>
            <w:tcW w:w="591" w:type="dxa"/>
            <w:tcBorders>
              <w:left w:val="double" w:color="auto" w:sz="4" w:space="0"/>
            </w:tcBorders>
            <w:noWrap w:val="0"/>
            <w:vAlign w:val="center"/>
          </w:tcPr>
          <w:p w14:paraId="73154E1C">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1" w:type="dxa"/>
            <w:noWrap w:val="0"/>
            <w:vAlign w:val="center"/>
          </w:tcPr>
          <w:p w14:paraId="4799F9FD">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6E210C58">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1" w:type="dxa"/>
            <w:noWrap w:val="0"/>
            <w:vAlign w:val="center"/>
          </w:tcPr>
          <w:p w14:paraId="3351F3E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91" w:type="dxa"/>
            <w:noWrap w:val="0"/>
            <w:vAlign w:val="center"/>
          </w:tcPr>
          <w:p w14:paraId="3C2A6359">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14199A28">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653" w:type="dxa"/>
            <w:noWrap w:val="0"/>
            <w:vAlign w:val="center"/>
          </w:tcPr>
          <w:p w14:paraId="51A04CE7">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687" w:type="dxa"/>
            <w:tcBorders>
              <w:right w:val="single" w:color="auto" w:sz="12" w:space="0"/>
            </w:tcBorders>
            <w:noWrap w:val="0"/>
            <w:vAlign w:val="center"/>
          </w:tcPr>
          <w:p w14:paraId="46D1E4D9">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14:paraId="79F2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55201A26">
            <w:pPr>
              <w:jc w:val="center"/>
              <w:rPr>
                <w:rFonts w:ascii="Times New Roman" w:hAnsi="Times New Roman" w:cs="Times New Roman"/>
                <w:color w:val="000000"/>
                <w:sz w:val="21"/>
                <w:szCs w:val="21"/>
              </w:rPr>
            </w:pPr>
            <w:r>
              <w:rPr>
                <w:rFonts w:ascii="Times New Roman" w:hAnsi="Times New Roman" w:cs="Times New Roman"/>
                <w:color w:val="000000"/>
                <w:sz w:val="21"/>
                <w:szCs w:val="21"/>
              </w:rPr>
              <w:t>X3</w:t>
            </w:r>
          </w:p>
        </w:tc>
        <w:tc>
          <w:tcPr>
            <w:tcW w:w="708" w:type="dxa"/>
            <w:noWrap w:val="0"/>
            <w:vAlign w:val="top"/>
          </w:tcPr>
          <w:p w14:paraId="19C4ECBE">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1827" w:type="dxa"/>
            <w:tcBorders>
              <w:right w:val="double" w:color="auto" w:sz="4" w:space="0"/>
            </w:tcBorders>
            <w:noWrap w:val="0"/>
            <w:vAlign w:val="top"/>
          </w:tcPr>
          <w:p w14:paraId="74BC7DD9">
            <w:pPr>
              <w:rPr>
                <w:rFonts w:ascii="Times New Roman" w:hAnsi="Times New Roman" w:cs="Times New Roman"/>
                <w:color w:val="000000"/>
                <w:sz w:val="21"/>
                <w:szCs w:val="21"/>
              </w:rPr>
            </w:pPr>
            <w:r>
              <w:rPr>
                <w:rFonts w:ascii="Times New Roman" w:hAnsi="Times New Roman" w:cs="Times New Roman"/>
                <w:color w:val="000000"/>
                <w:sz w:val="21"/>
                <w:szCs w:val="21"/>
              </w:rPr>
              <w:t>出勤率、课堂表现</w:t>
            </w:r>
          </w:p>
        </w:tc>
        <w:tc>
          <w:tcPr>
            <w:tcW w:w="591" w:type="dxa"/>
            <w:tcBorders>
              <w:left w:val="double" w:color="auto" w:sz="4" w:space="0"/>
            </w:tcBorders>
            <w:noWrap w:val="0"/>
            <w:vAlign w:val="center"/>
          </w:tcPr>
          <w:p w14:paraId="281BA6C1">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73A1F883">
            <w:pPr>
              <w:jc w:val="center"/>
              <w:rPr>
                <w:rFonts w:ascii="Times New Roman" w:hAnsi="Times New Roman" w:cs="Times New Roman"/>
                <w:color w:val="000000"/>
                <w:sz w:val="21"/>
                <w:szCs w:val="21"/>
              </w:rPr>
            </w:pPr>
          </w:p>
        </w:tc>
        <w:tc>
          <w:tcPr>
            <w:tcW w:w="591" w:type="dxa"/>
            <w:noWrap w:val="0"/>
            <w:vAlign w:val="center"/>
          </w:tcPr>
          <w:p w14:paraId="3738222F">
            <w:pPr>
              <w:jc w:val="center"/>
              <w:rPr>
                <w:rFonts w:ascii="Times New Roman" w:hAnsi="Times New Roman" w:cs="Times New Roman"/>
                <w:color w:val="000000"/>
                <w:sz w:val="21"/>
                <w:szCs w:val="21"/>
              </w:rPr>
            </w:pPr>
          </w:p>
        </w:tc>
        <w:tc>
          <w:tcPr>
            <w:tcW w:w="591" w:type="dxa"/>
            <w:noWrap w:val="0"/>
            <w:vAlign w:val="center"/>
          </w:tcPr>
          <w:p w14:paraId="73ACD528">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591" w:type="dxa"/>
            <w:noWrap w:val="0"/>
            <w:vAlign w:val="center"/>
          </w:tcPr>
          <w:p w14:paraId="2F1A5E40">
            <w:pPr>
              <w:jc w:val="center"/>
              <w:rPr>
                <w:rFonts w:ascii="Times New Roman" w:hAnsi="Times New Roman" w:cs="Times New Roman"/>
                <w:color w:val="000000"/>
                <w:sz w:val="21"/>
                <w:szCs w:val="21"/>
              </w:rPr>
            </w:pPr>
          </w:p>
        </w:tc>
        <w:tc>
          <w:tcPr>
            <w:tcW w:w="591" w:type="dxa"/>
            <w:noWrap w:val="0"/>
            <w:vAlign w:val="center"/>
          </w:tcPr>
          <w:p w14:paraId="306202E6">
            <w:pPr>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p>
        </w:tc>
        <w:tc>
          <w:tcPr>
            <w:tcW w:w="653" w:type="dxa"/>
            <w:noWrap w:val="0"/>
            <w:vAlign w:val="center"/>
          </w:tcPr>
          <w:p w14:paraId="2A4485D9">
            <w:pPr>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p>
        </w:tc>
        <w:tc>
          <w:tcPr>
            <w:tcW w:w="687" w:type="dxa"/>
            <w:tcBorders>
              <w:right w:val="single" w:color="auto" w:sz="12" w:space="0"/>
            </w:tcBorders>
            <w:noWrap w:val="0"/>
            <w:vAlign w:val="center"/>
          </w:tcPr>
          <w:p w14:paraId="033EEA7F">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r>
      <w:bookmarkEnd w:id="2"/>
      <w:bookmarkEnd w:id="3"/>
    </w:tbl>
    <w:p w14:paraId="1B17A6E2">
      <w:pPr>
        <w:pStyle w:val="23"/>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4008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noWrap w:val="0"/>
            <w:vAlign w:val="center"/>
          </w:tcPr>
          <w:p w14:paraId="06DDD23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noWrap w:val="0"/>
            <w:vAlign w:val="top"/>
          </w:tcPr>
          <w:p w14:paraId="1A16B356">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530DB9A">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415237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DF7531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noWrap w:val="0"/>
            <w:vAlign w:val="center"/>
          </w:tcPr>
          <w:p w14:paraId="65BC1BF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noWrap w:val="0"/>
            <w:vAlign w:val="center"/>
          </w:tcPr>
          <w:p w14:paraId="028B6615">
            <w:pPr>
              <w:pStyle w:val="22"/>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2EA47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noWrap w:val="0"/>
            <w:vAlign w:val="top"/>
          </w:tcPr>
          <w:p w14:paraId="52B96839">
            <w:pPr>
              <w:widowControl w:val="0"/>
              <w:snapToGrid w:val="0"/>
              <w:jc w:val="center"/>
              <w:rPr>
                <w:rFonts w:ascii="黑体" w:hAnsi="黑体" w:eastAsia="黑体"/>
                <w:bCs/>
                <w:sz w:val="21"/>
                <w:szCs w:val="21"/>
              </w:rPr>
            </w:pPr>
          </w:p>
        </w:tc>
        <w:tc>
          <w:tcPr>
            <w:tcW w:w="648" w:type="dxa"/>
            <w:vMerge w:val="continue"/>
            <w:noWrap w:val="0"/>
            <w:vAlign w:val="top"/>
          </w:tcPr>
          <w:p w14:paraId="0200BA4B">
            <w:pPr>
              <w:pStyle w:val="22"/>
              <w:widowControl w:val="0"/>
              <w:jc w:val="both"/>
              <w:rPr>
                <w:rFonts w:ascii="黑体" w:hAnsi="黑体"/>
                <w:bCs/>
                <w:sz w:val="21"/>
                <w:szCs w:val="21"/>
              </w:rPr>
            </w:pPr>
          </w:p>
        </w:tc>
        <w:tc>
          <w:tcPr>
            <w:tcW w:w="1403" w:type="dxa"/>
            <w:vMerge w:val="continue"/>
            <w:noWrap w:val="0"/>
            <w:vAlign w:val="top"/>
          </w:tcPr>
          <w:p w14:paraId="678AABBF">
            <w:pPr>
              <w:pStyle w:val="22"/>
              <w:widowControl w:val="0"/>
              <w:jc w:val="both"/>
              <w:rPr>
                <w:rFonts w:ascii="黑体" w:hAnsi="黑体"/>
                <w:bCs/>
                <w:sz w:val="21"/>
                <w:szCs w:val="21"/>
              </w:rPr>
            </w:pPr>
          </w:p>
        </w:tc>
        <w:tc>
          <w:tcPr>
            <w:tcW w:w="1403" w:type="dxa"/>
            <w:noWrap w:val="0"/>
            <w:vAlign w:val="center"/>
          </w:tcPr>
          <w:p w14:paraId="11B15165">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7F9701F">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noWrap w:val="0"/>
            <w:vAlign w:val="center"/>
          </w:tcPr>
          <w:p w14:paraId="7E38EEB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468E4DC">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noWrap w:val="0"/>
            <w:vAlign w:val="center"/>
          </w:tcPr>
          <w:p w14:paraId="5DC7E9BF">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16CB80F">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noWrap w:val="0"/>
            <w:vAlign w:val="center"/>
          </w:tcPr>
          <w:p w14:paraId="30330045">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FC1F05F">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BE85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74C11C59">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noWrap w:val="0"/>
            <w:vAlign w:val="center"/>
          </w:tcPr>
          <w:p w14:paraId="338AB776">
            <w:pPr>
              <w:widowControl w:val="0"/>
              <w:snapToGrid w:val="0"/>
              <w:jc w:val="center"/>
              <w:rPr>
                <w:rFonts w:ascii="Arial" w:hAnsi="Arial" w:eastAsia="黑体" w:cs="Arial"/>
                <w:bCs/>
                <w:sz w:val="21"/>
                <w:szCs w:val="21"/>
              </w:rPr>
            </w:pPr>
          </w:p>
        </w:tc>
        <w:tc>
          <w:tcPr>
            <w:tcW w:w="1403" w:type="dxa"/>
            <w:noWrap w:val="0"/>
            <w:vAlign w:val="top"/>
          </w:tcPr>
          <w:p w14:paraId="438031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top"/>
          </w:tcPr>
          <w:p w14:paraId="1A5C03DB">
            <w:pPr>
              <w:pStyle w:val="20"/>
              <w:widowControl w:val="0"/>
              <w:jc w:val="both"/>
            </w:pPr>
          </w:p>
        </w:tc>
        <w:tc>
          <w:tcPr>
            <w:tcW w:w="1403" w:type="dxa"/>
            <w:noWrap w:val="0"/>
            <w:vAlign w:val="top"/>
          </w:tcPr>
          <w:p w14:paraId="6C517B0A">
            <w:pPr>
              <w:pStyle w:val="20"/>
              <w:widowControl w:val="0"/>
              <w:jc w:val="both"/>
            </w:pPr>
          </w:p>
        </w:tc>
        <w:tc>
          <w:tcPr>
            <w:tcW w:w="1403" w:type="dxa"/>
            <w:noWrap w:val="0"/>
            <w:vAlign w:val="top"/>
          </w:tcPr>
          <w:p w14:paraId="160DABD7">
            <w:pPr>
              <w:pStyle w:val="20"/>
              <w:widowControl w:val="0"/>
              <w:jc w:val="both"/>
            </w:pPr>
          </w:p>
        </w:tc>
        <w:tc>
          <w:tcPr>
            <w:tcW w:w="1403" w:type="dxa"/>
            <w:noWrap w:val="0"/>
            <w:vAlign w:val="top"/>
          </w:tcPr>
          <w:p w14:paraId="551663AC">
            <w:pPr>
              <w:pStyle w:val="8"/>
              <w:shd w:val="clear" w:color="auto" w:fill="FFFFFF"/>
              <w:jc w:val="both"/>
            </w:pPr>
          </w:p>
        </w:tc>
      </w:tr>
      <w:tr w14:paraId="6CE37A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7FCEA77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noWrap w:val="0"/>
            <w:vAlign w:val="center"/>
          </w:tcPr>
          <w:p w14:paraId="73094FA7">
            <w:pPr>
              <w:widowControl w:val="0"/>
              <w:snapToGrid w:val="0"/>
              <w:jc w:val="center"/>
              <w:rPr>
                <w:rFonts w:ascii="Arial" w:hAnsi="Arial" w:eastAsia="黑体" w:cs="Arial"/>
                <w:bCs/>
                <w:sz w:val="21"/>
                <w:szCs w:val="21"/>
              </w:rPr>
            </w:pPr>
          </w:p>
        </w:tc>
        <w:tc>
          <w:tcPr>
            <w:tcW w:w="1403" w:type="dxa"/>
            <w:noWrap w:val="0"/>
            <w:vAlign w:val="center"/>
          </w:tcPr>
          <w:p w14:paraId="27705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6597E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7D1B42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202EFE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6D98E5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30236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207DD19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noWrap w:val="0"/>
            <w:vAlign w:val="center"/>
          </w:tcPr>
          <w:p w14:paraId="4DD67796">
            <w:pPr>
              <w:widowControl w:val="0"/>
              <w:snapToGrid w:val="0"/>
              <w:jc w:val="center"/>
              <w:rPr>
                <w:rFonts w:ascii="Arial" w:hAnsi="Arial" w:eastAsia="黑体" w:cs="Arial"/>
                <w:bCs/>
                <w:sz w:val="21"/>
                <w:szCs w:val="21"/>
              </w:rPr>
            </w:pPr>
          </w:p>
        </w:tc>
        <w:tc>
          <w:tcPr>
            <w:tcW w:w="1403" w:type="dxa"/>
            <w:noWrap w:val="0"/>
            <w:vAlign w:val="center"/>
          </w:tcPr>
          <w:p w14:paraId="1FFB1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1F78C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3F64A0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0DBE00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66C447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4B643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0C5B3C7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noWrap w:val="0"/>
            <w:vAlign w:val="center"/>
          </w:tcPr>
          <w:p w14:paraId="3F26D6D7">
            <w:pPr>
              <w:widowControl w:val="0"/>
              <w:snapToGrid w:val="0"/>
              <w:jc w:val="center"/>
              <w:rPr>
                <w:rFonts w:ascii="Arial" w:hAnsi="Arial" w:eastAsia="黑体" w:cs="Arial"/>
                <w:bCs/>
                <w:sz w:val="21"/>
                <w:szCs w:val="21"/>
              </w:rPr>
            </w:pPr>
          </w:p>
        </w:tc>
        <w:tc>
          <w:tcPr>
            <w:tcW w:w="1403" w:type="dxa"/>
            <w:noWrap w:val="0"/>
            <w:vAlign w:val="center"/>
          </w:tcPr>
          <w:p w14:paraId="4281D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4F2551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32C86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5BF95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5B8A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7AAC3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0FCFC7F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noWrap w:val="0"/>
            <w:vAlign w:val="center"/>
          </w:tcPr>
          <w:p w14:paraId="7D07833F">
            <w:pPr>
              <w:widowControl w:val="0"/>
              <w:snapToGrid w:val="0"/>
              <w:jc w:val="center"/>
              <w:rPr>
                <w:rFonts w:ascii="Arial" w:hAnsi="Arial" w:eastAsia="黑体" w:cs="Arial"/>
                <w:bCs/>
                <w:sz w:val="21"/>
                <w:szCs w:val="21"/>
              </w:rPr>
            </w:pPr>
          </w:p>
        </w:tc>
        <w:tc>
          <w:tcPr>
            <w:tcW w:w="1403" w:type="dxa"/>
            <w:noWrap w:val="0"/>
            <w:vAlign w:val="center"/>
          </w:tcPr>
          <w:p w14:paraId="58D5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1C863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5B58E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10DA81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283653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5AE2FE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5F6980F6">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noWrap w:val="0"/>
            <w:vAlign w:val="center"/>
          </w:tcPr>
          <w:p w14:paraId="0CF361DB">
            <w:pPr>
              <w:widowControl w:val="0"/>
              <w:snapToGrid w:val="0"/>
              <w:jc w:val="center"/>
              <w:rPr>
                <w:rFonts w:ascii="Arial" w:hAnsi="Arial" w:eastAsia="黑体" w:cs="Arial"/>
                <w:bCs/>
                <w:sz w:val="21"/>
                <w:szCs w:val="21"/>
              </w:rPr>
            </w:pPr>
          </w:p>
        </w:tc>
        <w:tc>
          <w:tcPr>
            <w:tcW w:w="1403" w:type="dxa"/>
            <w:noWrap w:val="0"/>
            <w:vAlign w:val="center"/>
          </w:tcPr>
          <w:p w14:paraId="01F46B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7CB6E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51DD1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0CC92F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noWrap w:val="0"/>
            <w:vAlign w:val="center"/>
          </w:tcPr>
          <w:p w14:paraId="00D9A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bl>
    <w:p w14:paraId="65677E75">
      <w:pPr>
        <w:pStyle w:val="22"/>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7F3A6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noWrap w:val="0"/>
            <w:vAlign w:val="top"/>
          </w:tcPr>
          <w:p w14:paraId="2D2AADC9">
            <w:pPr>
              <w:pStyle w:val="20"/>
              <w:widowControl w:val="0"/>
            </w:pPr>
            <w:r>
              <w:rPr>
                <w:rFonts w:hint="eastAsia"/>
              </w:rPr>
              <w:t>无</w:t>
            </w:r>
          </w:p>
          <w:p w14:paraId="24F5E5EF">
            <w:pPr>
              <w:pStyle w:val="20"/>
              <w:widowControl w:val="0"/>
              <w:jc w:val="left"/>
              <w:rPr>
                <w:rFonts w:ascii="宋体" w:hAnsi="宋体"/>
                <w:bCs/>
              </w:rPr>
            </w:pPr>
          </w:p>
          <w:p w14:paraId="4BFBB0D2">
            <w:pPr>
              <w:pStyle w:val="20"/>
              <w:widowControl w:val="0"/>
              <w:jc w:val="left"/>
              <w:rPr>
                <w:rFonts w:ascii="黑体"/>
              </w:rPr>
            </w:pPr>
          </w:p>
        </w:tc>
      </w:tr>
    </w:tbl>
    <w:p w14:paraId="7198E0BF">
      <w:pPr>
        <w:pStyle w:val="22"/>
        <w:rPr>
          <w:rFonts w:ascii="黑体" w:hAnsi="宋体"/>
          <w:sz w:val="18"/>
          <w:szCs w:val="16"/>
        </w:rPr>
      </w:pPr>
    </w:p>
    <w:sectPr>
      <w:headerReference r:id="rId3" w:type="default"/>
      <w:pgSz w:w="11906" w:h="16838"/>
      <w:pgMar w:top="1440" w:right="1800" w:bottom="1440" w:left="1800" w:header="397" w:footer="992" w:gutter="0"/>
      <w:pgBorders w:offsetFrom="page">
        <w:top w:val="single" w:color="auto" w:sz="4" w:space="24"/>
      </w:pgBorders>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5EBC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4"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94736B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uGSmdQAAAAJAQAA&#10;DwAAAAAAAAABACAAAAAiAAAAZHJzL2Rvd25yZXYueG1sUEsBAhQAFAAAAAgAh07iQFjy/FJWAgAA&#10;nQQAAA4AAAAAAAAAAQAgAAAAIwEAAGRycy9lMm9Eb2MueG1sUEsFBgAAAAAGAAYAWQEAAOsFAAAA&#10;AA==&#10;">
              <v:fill on="t" focussize="0,0"/>
              <v:stroke on="f" weight="0.5pt"/>
              <v:imagedata o:title=""/>
              <o:lock v:ext="edit" aspectratio="f"/>
              <v:textbox>
                <w:txbxContent>
                  <w:p w14:paraId="294736B9">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44088"/>
    <w:rsid w:val="00053590"/>
    <w:rsid w:val="0006001D"/>
    <w:rsid w:val="00061671"/>
    <w:rsid w:val="00066041"/>
    <w:rsid w:val="00076794"/>
    <w:rsid w:val="0008122A"/>
    <w:rsid w:val="00087488"/>
    <w:rsid w:val="0009050A"/>
    <w:rsid w:val="00093B18"/>
    <w:rsid w:val="0009721F"/>
    <w:rsid w:val="000A4E73"/>
    <w:rsid w:val="000A7E1C"/>
    <w:rsid w:val="000B1BD2"/>
    <w:rsid w:val="000B7BB8"/>
    <w:rsid w:val="000C0744"/>
    <w:rsid w:val="000C0F0D"/>
    <w:rsid w:val="000C13BC"/>
    <w:rsid w:val="000D28E5"/>
    <w:rsid w:val="000D34D7"/>
    <w:rsid w:val="00100633"/>
    <w:rsid w:val="001069CB"/>
    <w:rsid w:val="001072BC"/>
    <w:rsid w:val="00113FB5"/>
    <w:rsid w:val="00114BD6"/>
    <w:rsid w:val="001164CC"/>
    <w:rsid w:val="00130F6D"/>
    <w:rsid w:val="00133554"/>
    <w:rsid w:val="00144082"/>
    <w:rsid w:val="0016381F"/>
    <w:rsid w:val="00163A48"/>
    <w:rsid w:val="0016438B"/>
    <w:rsid w:val="00164E36"/>
    <w:rsid w:val="001678A2"/>
    <w:rsid w:val="00172CEB"/>
    <w:rsid w:val="001800D7"/>
    <w:rsid w:val="00183AA1"/>
    <w:rsid w:val="0018767C"/>
    <w:rsid w:val="001A0475"/>
    <w:rsid w:val="001A135C"/>
    <w:rsid w:val="001B0D49"/>
    <w:rsid w:val="001B546F"/>
    <w:rsid w:val="001C16FC"/>
    <w:rsid w:val="001C2E3E"/>
    <w:rsid w:val="001C388D"/>
    <w:rsid w:val="001E0494"/>
    <w:rsid w:val="001E1D2D"/>
    <w:rsid w:val="001E2A27"/>
    <w:rsid w:val="001E5A17"/>
    <w:rsid w:val="001F065C"/>
    <w:rsid w:val="001F284E"/>
    <w:rsid w:val="001F332E"/>
    <w:rsid w:val="00217861"/>
    <w:rsid w:val="002204E4"/>
    <w:rsid w:val="002211BF"/>
    <w:rsid w:val="0022142B"/>
    <w:rsid w:val="00233F15"/>
    <w:rsid w:val="002420F1"/>
    <w:rsid w:val="00253AC8"/>
    <w:rsid w:val="00256B39"/>
    <w:rsid w:val="0026033C"/>
    <w:rsid w:val="002715B8"/>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3BBA"/>
    <w:rsid w:val="00317E29"/>
    <w:rsid w:val="00321515"/>
    <w:rsid w:val="0032602E"/>
    <w:rsid w:val="00327B8C"/>
    <w:rsid w:val="00331638"/>
    <w:rsid w:val="003344A7"/>
    <w:rsid w:val="00334623"/>
    <w:rsid w:val="00336121"/>
    <w:rsid w:val="003367AE"/>
    <w:rsid w:val="00340439"/>
    <w:rsid w:val="00344C72"/>
    <w:rsid w:val="00344EF2"/>
    <w:rsid w:val="00347EB8"/>
    <w:rsid w:val="00347F80"/>
    <w:rsid w:val="00353F74"/>
    <w:rsid w:val="003557DE"/>
    <w:rsid w:val="00356647"/>
    <w:rsid w:val="00361BEB"/>
    <w:rsid w:val="003639E3"/>
    <w:rsid w:val="00364618"/>
    <w:rsid w:val="00370184"/>
    <w:rsid w:val="00373C8A"/>
    <w:rsid w:val="00377C10"/>
    <w:rsid w:val="00384A1F"/>
    <w:rsid w:val="00384D60"/>
    <w:rsid w:val="00385D41"/>
    <w:rsid w:val="003861BA"/>
    <w:rsid w:val="003A1680"/>
    <w:rsid w:val="003A373C"/>
    <w:rsid w:val="003A447E"/>
    <w:rsid w:val="003A5874"/>
    <w:rsid w:val="003B1258"/>
    <w:rsid w:val="003B4A81"/>
    <w:rsid w:val="003B66D0"/>
    <w:rsid w:val="003C1F8D"/>
    <w:rsid w:val="003C2BFD"/>
    <w:rsid w:val="003C61A5"/>
    <w:rsid w:val="003C6FA2"/>
    <w:rsid w:val="003D1968"/>
    <w:rsid w:val="003D4994"/>
    <w:rsid w:val="003E10A5"/>
    <w:rsid w:val="003E59F1"/>
    <w:rsid w:val="003E7D72"/>
    <w:rsid w:val="003F3923"/>
    <w:rsid w:val="003F43F6"/>
    <w:rsid w:val="003F59F8"/>
    <w:rsid w:val="004019DB"/>
    <w:rsid w:val="00402B67"/>
    <w:rsid w:val="00403C91"/>
    <w:rsid w:val="0040433E"/>
    <w:rsid w:val="00404974"/>
    <w:rsid w:val="0040726A"/>
    <w:rsid w:val="004100B0"/>
    <w:rsid w:val="0041235C"/>
    <w:rsid w:val="0041267F"/>
    <w:rsid w:val="00424BA5"/>
    <w:rsid w:val="00425431"/>
    <w:rsid w:val="00431829"/>
    <w:rsid w:val="00437B60"/>
    <w:rsid w:val="004405E6"/>
    <w:rsid w:val="00443C84"/>
    <w:rsid w:val="00443C89"/>
    <w:rsid w:val="004540AA"/>
    <w:rsid w:val="00456BD8"/>
    <w:rsid w:val="00456DC8"/>
    <w:rsid w:val="0046549D"/>
    <w:rsid w:val="004663F1"/>
    <w:rsid w:val="00471668"/>
    <w:rsid w:val="004732E7"/>
    <w:rsid w:val="00481F98"/>
    <w:rsid w:val="004852BF"/>
    <w:rsid w:val="00487A46"/>
    <w:rsid w:val="00493504"/>
    <w:rsid w:val="00494579"/>
    <w:rsid w:val="004956B7"/>
    <w:rsid w:val="00497334"/>
    <w:rsid w:val="004A4645"/>
    <w:rsid w:val="004A6F3A"/>
    <w:rsid w:val="004B408D"/>
    <w:rsid w:val="004B6F68"/>
    <w:rsid w:val="004B73F7"/>
    <w:rsid w:val="004D4FB3"/>
    <w:rsid w:val="004D75A6"/>
    <w:rsid w:val="004E1EAD"/>
    <w:rsid w:val="004E3456"/>
    <w:rsid w:val="004E5953"/>
    <w:rsid w:val="004F3DF0"/>
    <w:rsid w:val="005074E1"/>
    <w:rsid w:val="005126F1"/>
    <w:rsid w:val="00513F2F"/>
    <w:rsid w:val="00514043"/>
    <w:rsid w:val="0051612A"/>
    <w:rsid w:val="00517176"/>
    <w:rsid w:val="0052192E"/>
    <w:rsid w:val="00524300"/>
    <w:rsid w:val="00541F72"/>
    <w:rsid w:val="00542388"/>
    <w:rsid w:val="00544523"/>
    <w:rsid w:val="0054556F"/>
    <w:rsid w:val="00545BB5"/>
    <w:rsid w:val="005467DC"/>
    <w:rsid w:val="00546A82"/>
    <w:rsid w:val="00547C51"/>
    <w:rsid w:val="00551335"/>
    <w:rsid w:val="005519BB"/>
    <w:rsid w:val="005523FD"/>
    <w:rsid w:val="00553D03"/>
    <w:rsid w:val="00555BA0"/>
    <w:rsid w:val="00556E41"/>
    <w:rsid w:val="0057496F"/>
    <w:rsid w:val="00575C5D"/>
    <w:rsid w:val="005770A6"/>
    <w:rsid w:val="0058348D"/>
    <w:rsid w:val="0059045B"/>
    <w:rsid w:val="00592622"/>
    <w:rsid w:val="005952FE"/>
    <w:rsid w:val="00597EC2"/>
    <w:rsid w:val="005A13AB"/>
    <w:rsid w:val="005B1150"/>
    <w:rsid w:val="005B1FFC"/>
    <w:rsid w:val="005B2B6D"/>
    <w:rsid w:val="005B4B4E"/>
    <w:rsid w:val="005C3A76"/>
    <w:rsid w:val="005D5B6F"/>
    <w:rsid w:val="005E38A5"/>
    <w:rsid w:val="005F5185"/>
    <w:rsid w:val="00607F95"/>
    <w:rsid w:val="0062115C"/>
    <w:rsid w:val="0062265B"/>
    <w:rsid w:val="00624B5C"/>
    <w:rsid w:val="00624FE1"/>
    <w:rsid w:val="0062577D"/>
    <w:rsid w:val="0063249D"/>
    <w:rsid w:val="006331EE"/>
    <w:rsid w:val="00634464"/>
    <w:rsid w:val="006355E6"/>
    <w:rsid w:val="00635796"/>
    <w:rsid w:val="00637E00"/>
    <w:rsid w:val="0064038A"/>
    <w:rsid w:val="0065167D"/>
    <w:rsid w:val="00652D13"/>
    <w:rsid w:val="0066595A"/>
    <w:rsid w:val="00666206"/>
    <w:rsid w:val="0066676A"/>
    <w:rsid w:val="00670523"/>
    <w:rsid w:val="00670B19"/>
    <w:rsid w:val="00672788"/>
    <w:rsid w:val="00673789"/>
    <w:rsid w:val="00676183"/>
    <w:rsid w:val="00680DA3"/>
    <w:rsid w:val="0068377F"/>
    <w:rsid w:val="00691B24"/>
    <w:rsid w:val="00695B93"/>
    <w:rsid w:val="00697C16"/>
    <w:rsid w:val="006A13C7"/>
    <w:rsid w:val="006A5A89"/>
    <w:rsid w:val="006A79FB"/>
    <w:rsid w:val="006B3BB9"/>
    <w:rsid w:val="006B48AC"/>
    <w:rsid w:val="006B5977"/>
    <w:rsid w:val="006C1D59"/>
    <w:rsid w:val="006D1B59"/>
    <w:rsid w:val="006D2F9C"/>
    <w:rsid w:val="006D4351"/>
    <w:rsid w:val="006D5424"/>
    <w:rsid w:val="006E5CA9"/>
    <w:rsid w:val="006E5E98"/>
    <w:rsid w:val="006E7A37"/>
    <w:rsid w:val="006F3151"/>
    <w:rsid w:val="006F67C9"/>
    <w:rsid w:val="007011CA"/>
    <w:rsid w:val="007038A1"/>
    <w:rsid w:val="007056DE"/>
    <w:rsid w:val="00706121"/>
    <w:rsid w:val="00710B6B"/>
    <w:rsid w:val="00712A2C"/>
    <w:rsid w:val="00712E84"/>
    <w:rsid w:val="00714914"/>
    <w:rsid w:val="00716B83"/>
    <w:rsid w:val="007208D6"/>
    <w:rsid w:val="007226AF"/>
    <w:rsid w:val="00726786"/>
    <w:rsid w:val="00732152"/>
    <w:rsid w:val="00735A4E"/>
    <w:rsid w:val="007428DF"/>
    <w:rsid w:val="00742BD1"/>
    <w:rsid w:val="00742E7A"/>
    <w:rsid w:val="0074424F"/>
    <w:rsid w:val="007569A9"/>
    <w:rsid w:val="00764FD9"/>
    <w:rsid w:val="007740B2"/>
    <w:rsid w:val="00774C1F"/>
    <w:rsid w:val="0078194F"/>
    <w:rsid w:val="00791975"/>
    <w:rsid w:val="007934A4"/>
    <w:rsid w:val="007A0AC9"/>
    <w:rsid w:val="007A1B70"/>
    <w:rsid w:val="007A57F6"/>
    <w:rsid w:val="007A6F70"/>
    <w:rsid w:val="007B4FFB"/>
    <w:rsid w:val="007C0BCE"/>
    <w:rsid w:val="007C1D1B"/>
    <w:rsid w:val="007C3566"/>
    <w:rsid w:val="007C794A"/>
    <w:rsid w:val="007D5326"/>
    <w:rsid w:val="007D5A33"/>
    <w:rsid w:val="007E4F3A"/>
    <w:rsid w:val="007E620F"/>
    <w:rsid w:val="007E663C"/>
    <w:rsid w:val="007E7795"/>
    <w:rsid w:val="007F3F05"/>
    <w:rsid w:val="007F6249"/>
    <w:rsid w:val="0080066B"/>
    <w:rsid w:val="00803578"/>
    <w:rsid w:val="00814C3F"/>
    <w:rsid w:val="00815B8D"/>
    <w:rsid w:val="00815B8E"/>
    <w:rsid w:val="00816D99"/>
    <w:rsid w:val="0082324C"/>
    <w:rsid w:val="00823D71"/>
    <w:rsid w:val="008240A0"/>
    <w:rsid w:val="008245AF"/>
    <w:rsid w:val="008256B9"/>
    <w:rsid w:val="0082688A"/>
    <w:rsid w:val="00827FE1"/>
    <w:rsid w:val="008320E4"/>
    <w:rsid w:val="0083705D"/>
    <w:rsid w:val="0084242F"/>
    <w:rsid w:val="00845795"/>
    <w:rsid w:val="00847437"/>
    <w:rsid w:val="00852B4F"/>
    <w:rsid w:val="00867CDD"/>
    <w:rsid w:val="00882E15"/>
    <w:rsid w:val="00883C73"/>
    <w:rsid w:val="00884890"/>
    <w:rsid w:val="008901A2"/>
    <w:rsid w:val="00897B8F"/>
    <w:rsid w:val="008A08B0"/>
    <w:rsid w:val="008A21BE"/>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D1865"/>
    <w:rsid w:val="008D3D5F"/>
    <w:rsid w:val="008D4E81"/>
    <w:rsid w:val="008D505F"/>
    <w:rsid w:val="008E0F55"/>
    <w:rsid w:val="008E195E"/>
    <w:rsid w:val="008E7A99"/>
    <w:rsid w:val="008F253F"/>
    <w:rsid w:val="008F7F31"/>
    <w:rsid w:val="00900019"/>
    <w:rsid w:val="00901621"/>
    <w:rsid w:val="009023B1"/>
    <w:rsid w:val="009147D6"/>
    <w:rsid w:val="00914D98"/>
    <w:rsid w:val="00925F8C"/>
    <w:rsid w:val="00927324"/>
    <w:rsid w:val="00932ED7"/>
    <w:rsid w:val="00933990"/>
    <w:rsid w:val="00941B89"/>
    <w:rsid w:val="00941DEA"/>
    <w:rsid w:val="00960DDC"/>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B04E7"/>
    <w:rsid w:val="009B14E8"/>
    <w:rsid w:val="009B4D21"/>
    <w:rsid w:val="009B4D65"/>
    <w:rsid w:val="009B5A73"/>
    <w:rsid w:val="009B7E8F"/>
    <w:rsid w:val="009C54C9"/>
    <w:rsid w:val="009C589C"/>
    <w:rsid w:val="009D192B"/>
    <w:rsid w:val="009D2582"/>
    <w:rsid w:val="009D33E1"/>
    <w:rsid w:val="009D3B45"/>
    <w:rsid w:val="009D566C"/>
    <w:rsid w:val="009D7CF9"/>
    <w:rsid w:val="009E2CCC"/>
    <w:rsid w:val="009E2CDD"/>
    <w:rsid w:val="009E366E"/>
    <w:rsid w:val="009E6097"/>
    <w:rsid w:val="009E65A5"/>
    <w:rsid w:val="009E6FC4"/>
    <w:rsid w:val="009F00DC"/>
    <w:rsid w:val="009F3199"/>
    <w:rsid w:val="009F3355"/>
    <w:rsid w:val="009F3648"/>
    <w:rsid w:val="009F3B7A"/>
    <w:rsid w:val="009F54D0"/>
    <w:rsid w:val="00A04523"/>
    <w:rsid w:val="00A06751"/>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1DE3"/>
    <w:rsid w:val="00AD5B40"/>
    <w:rsid w:val="00AF289F"/>
    <w:rsid w:val="00AF30B9"/>
    <w:rsid w:val="00AF392F"/>
    <w:rsid w:val="00AF43DF"/>
    <w:rsid w:val="00AF67A4"/>
    <w:rsid w:val="00AF7510"/>
    <w:rsid w:val="00B12D31"/>
    <w:rsid w:val="00B15F6E"/>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919FA"/>
    <w:rsid w:val="00B94A16"/>
    <w:rsid w:val="00BA6044"/>
    <w:rsid w:val="00BA6E21"/>
    <w:rsid w:val="00BB1A93"/>
    <w:rsid w:val="00BC14BF"/>
    <w:rsid w:val="00BC2625"/>
    <w:rsid w:val="00BC3200"/>
    <w:rsid w:val="00BC338A"/>
    <w:rsid w:val="00BD7AB0"/>
    <w:rsid w:val="00BE04C4"/>
    <w:rsid w:val="00BE53E8"/>
    <w:rsid w:val="00BF3C20"/>
    <w:rsid w:val="00C011BC"/>
    <w:rsid w:val="00C03DBA"/>
    <w:rsid w:val="00C112E7"/>
    <w:rsid w:val="00C11C78"/>
    <w:rsid w:val="00C11CD4"/>
    <w:rsid w:val="00C14B1C"/>
    <w:rsid w:val="00C15061"/>
    <w:rsid w:val="00C15BD4"/>
    <w:rsid w:val="00C1713D"/>
    <w:rsid w:val="00C20D9D"/>
    <w:rsid w:val="00C2134F"/>
    <w:rsid w:val="00C23570"/>
    <w:rsid w:val="00C24718"/>
    <w:rsid w:val="00C2675D"/>
    <w:rsid w:val="00C30AEE"/>
    <w:rsid w:val="00C33362"/>
    <w:rsid w:val="00C353AE"/>
    <w:rsid w:val="00C35628"/>
    <w:rsid w:val="00C37FA7"/>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59E6"/>
    <w:rsid w:val="00CD5BDD"/>
    <w:rsid w:val="00CF096B"/>
    <w:rsid w:val="00CF10F7"/>
    <w:rsid w:val="00CF5EE3"/>
    <w:rsid w:val="00CF691F"/>
    <w:rsid w:val="00D00D99"/>
    <w:rsid w:val="00D013A4"/>
    <w:rsid w:val="00D026DC"/>
    <w:rsid w:val="00D15595"/>
    <w:rsid w:val="00D325BD"/>
    <w:rsid w:val="00D343A8"/>
    <w:rsid w:val="00D37832"/>
    <w:rsid w:val="00D44860"/>
    <w:rsid w:val="00D47689"/>
    <w:rsid w:val="00D50C42"/>
    <w:rsid w:val="00D57CF5"/>
    <w:rsid w:val="00D612BC"/>
    <w:rsid w:val="00D62F98"/>
    <w:rsid w:val="00D66FD6"/>
    <w:rsid w:val="00D8285B"/>
    <w:rsid w:val="00D862EB"/>
    <w:rsid w:val="00D86619"/>
    <w:rsid w:val="00D93E7C"/>
    <w:rsid w:val="00DA4C8D"/>
    <w:rsid w:val="00DB2BE6"/>
    <w:rsid w:val="00DB76B3"/>
    <w:rsid w:val="00DD1052"/>
    <w:rsid w:val="00DD3C7B"/>
    <w:rsid w:val="00DD7052"/>
    <w:rsid w:val="00DD7203"/>
    <w:rsid w:val="00DE2B21"/>
    <w:rsid w:val="00DE48DE"/>
    <w:rsid w:val="00DF25F2"/>
    <w:rsid w:val="00DF4166"/>
    <w:rsid w:val="00E000F4"/>
    <w:rsid w:val="00E01231"/>
    <w:rsid w:val="00E04279"/>
    <w:rsid w:val="00E059D2"/>
    <w:rsid w:val="00E11393"/>
    <w:rsid w:val="00E125D9"/>
    <w:rsid w:val="00E16D30"/>
    <w:rsid w:val="00E212A7"/>
    <w:rsid w:val="00E31E69"/>
    <w:rsid w:val="00E33169"/>
    <w:rsid w:val="00E34A7B"/>
    <w:rsid w:val="00E40973"/>
    <w:rsid w:val="00E51D72"/>
    <w:rsid w:val="00E545FF"/>
    <w:rsid w:val="00E6080E"/>
    <w:rsid w:val="00E6132A"/>
    <w:rsid w:val="00E64168"/>
    <w:rsid w:val="00E655B3"/>
    <w:rsid w:val="00E7081D"/>
    <w:rsid w:val="00E70904"/>
    <w:rsid w:val="00E71319"/>
    <w:rsid w:val="00E75171"/>
    <w:rsid w:val="00E804B0"/>
    <w:rsid w:val="00E86772"/>
    <w:rsid w:val="00E90B8B"/>
    <w:rsid w:val="00E93ADD"/>
    <w:rsid w:val="00E952D8"/>
    <w:rsid w:val="00EA4298"/>
    <w:rsid w:val="00EA66AE"/>
    <w:rsid w:val="00EB00E4"/>
    <w:rsid w:val="00EB28DA"/>
    <w:rsid w:val="00EB3812"/>
    <w:rsid w:val="00EB44EB"/>
    <w:rsid w:val="00EB66B8"/>
    <w:rsid w:val="00EB791E"/>
    <w:rsid w:val="00EC70A9"/>
    <w:rsid w:val="00ED1364"/>
    <w:rsid w:val="00ED4C3A"/>
    <w:rsid w:val="00EE1C85"/>
    <w:rsid w:val="00EE326A"/>
    <w:rsid w:val="00EF21D9"/>
    <w:rsid w:val="00EF2A94"/>
    <w:rsid w:val="00EF32FB"/>
    <w:rsid w:val="00EF44B1"/>
    <w:rsid w:val="00EF4865"/>
    <w:rsid w:val="00EF5954"/>
    <w:rsid w:val="00F014EE"/>
    <w:rsid w:val="00F100D2"/>
    <w:rsid w:val="00F12942"/>
    <w:rsid w:val="00F13C41"/>
    <w:rsid w:val="00F14886"/>
    <w:rsid w:val="00F16421"/>
    <w:rsid w:val="00F201EE"/>
    <w:rsid w:val="00F32718"/>
    <w:rsid w:val="00F35AA0"/>
    <w:rsid w:val="00F42DAC"/>
    <w:rsid w:val="00F43C49"/>
    <w:rsid w:val="00F43DDC"/>
    <w:rsid w:val="00F45C12"/>
    <w:rsid w:val="00F460F2"/>
    <w:rsid w:val="00F544A2"/>
    <w:rsid w:val="00F668B3"/>
    <w:rsid w:val="00F66C89"/>
    <w:rsid w:val="00F73D03"/>
    <w:rsid w:val="00F76CB9"/>
    <w:rsid w:val="00F77A73"/>
    <w:rsid w:val="00F80E46"/>
    <w:rsid w:val="00F81C8D"/>
    <w:rsid w:val="00F84AC6"/>
    <w:rsid w:val="00F86770"/>
    <w:rsid w:val="00F93F3A"/>
    <w:rsid w:val="00F96236"/>
    <w:rsid w:val="00FA10CE"/>
    <w:rsid w:val="00FA1C11"/>
    <w:rsid w:val="00FA222F"/>
    <w:rsid w:val="00FA2891"/>
    <w:rsid w:val="00FB14FE"/>
    <w:rsid w:val="00FB693D"/>
    <w:rsid w:val="00FB7768"/>
    <w:rsid w:val="00FC7489"/>
    <w:rsid w:val="00FD1BA8"/>
    <w:rsid w:val="00FD218F"/>
    <w:rsid w:val="00FD5663"/>
    <w:rsid w:val="00FD56C6"/>
    <w:rsid w:val="00FE3221"/>
    <w:rsid w:val="00FE48EA"/>
    <w:rsid w:val="00FE571F"/>
    <w:rsid w:val="00FF2F80"/>
    <w:rsid w:val="00FF47F6"/>
    <w:rsid w:val="016E63C2"/>
    <w:rsid w:val="024B0C39"/>
    <w:rsid w:val="0A8128A6"/>
    <w:rsid w:val="0BF32A1B"/>
    <w:rsid w:val="10BD2C22"/>
    <w:rsid w:val="1802731C"/>
    <w:rsid w:val="22987C80"/>
    <w:rsid w:val="24192CCC"/>
    <w:rsid w:val="26E50206"/>
    <w:rsid w:val="39A66CD4"/>
    <w:rsid w:val="3CD52CE1"/>
    <w:rsid w:val="3FD119FC"/>
    <w:rsid w:val="410F2E6A"/>
    <w:rsid w:val="4430136C"/>
    <w:rsid w:val="4AB0382B"/>
    <w:rsid w:val="569868B5"/>
    <w:rsid w:val="611F6817"/>
    <w:rsid w:val="66952ECC"/>
    <w:rsid w:val="66CA1754"/>
    <w:rsid w:val="6DF65BA8"/>
    <w:rsid w:val="6F1E65D4"/>
    <w:rsid w:val="6F266C86"/>
    <w:rsid w:val="6F5042C2"/>
    <w:rsid w:val="74316312"/>
    <w:rsid w:val="780F13C8"/>
    <w:rsid w:val="79A108A3"/>
    <w:rsid w:val="7C252D6B"/>
    <w:rsid w:val="7C385448"/>
    <w:rsid w:val="7CB3663D"/>
    <w:rsid w:val="7D711B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widowControl w:val="0"/>
      <w:snapToGrid w:val="0"/>
      <w:spacing w:before="260" w:after="260" w:line="413" w:lineRule="auto"/>
      <w:ind w:firstLine="560" w:firstLineChars="200"/>
      <w:jc w:val="both"/>
      <w:outlineLvl w:val="1"/>
    </w:pPr>
    <w:rPr>
      <w:rFonts w:ascii="Arial" w:hAnsi="Arial" w:eastAsia="黑体" w:cs="微软雅黑"/>
      <w:b/>
      <w:sz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widowControl w:val="0"/>
    </w:pPr>
    <w:rPr>
      <w:rFonts w:ascii="Times New Roman" w:hAnsi="Times New Roman" w:cs="Times New Roman"/>
      <w:kern w:val="2"/>
      <w:sz w:val="21"/>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rFonts w:ascii="Calibri" w:hAnsi="Calibri" w:eastAsia="宋体" w:cs="Times New Roman"/>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customStyle="1" w:styleId="13">
    <w:name w:val="标题 1 Char"/>
    <w:link w:val="2"/>
    <w:uiPriority w:val="9"/>
    <w:rPr>
      <w:rFonts w:ascii="Calibri" w:hAnsi="Calibri" w:eastAsia="宋体" w:cs="Times New Roman"/>
      <w:b/>
      <w:bCs/>
      <w:kern w:val="44"/>
      <w:sz w:val="44"/>
      <w:szCs w:val="44"/>
    </w:rPr>
  </w:style>
  <w:style w:type="character" w:customStyle="1" w:styleId="14">
    <w:name w:val="标题 2 Char"/>
    <w:link w:val="3"/>
    <w:qFormat/>
    <w:uiPriority w:val="0"/>
    <w:rPr>
      <w:rFonts w:ascii="Arial" w:hAnsi="Arial" w:eastAsia="黑体" w:cs="微软雅黑"/>
      <w:b/>
      <w:sz w:val="32"/>
      <w:szCs w:val="24"/>
    </w:rPr>
  </w:style>
  <w:style w:type="character" w:customStyle="1" w:styleId="15">
    <w:name w:val="批注文字 Char"/>
    <w:link w:val="4"/>
    <w:qFormat/>
    <w:uiPriority w:val="99"/>
    <w:rPr>
      <w:rFonts w:ascii="Times New Roman" w:hAnsi="Times New Roman" w:eastAsia="宋体" w:cs="Times New Roman"/>
      <w:kern w:val="2"/>
      <w:sz w:val="21"/>
      <w:szCs w:val="24"/>
    </w:rPr>
  </w:style>
  <w:style w:type="character" w:customStyle="1" w:styleId="16">
    <w:name w:val="批注框文本 Char"/>
    <w:link w:val="5"/>
    <w:semiHidden/>
    <w:qFormat/>
    <w:uiPriority w:val="99"/>
    <w:rPr>
      <w:rFonts w:ascii="宋体" w:hAnsi="宋体" w:eastAsia="宋体" w:cs="宋体"/>
      <w:sz w:val="18"/>
      <w:szCs w:val="18"/>
    </w:rPr>
  </w:style>
  <w:style w:type="character" w:customStyle="1" w:styleId="17">
    <w:name w:val="页脚 Char"/>
    <w:link w:val="6"/>
    <w:semiHidden/>
    <w:qFormat/>
    <w:uiPriority w:val="99"/>
    <w:rPr>
      <w:sz w:val="18"/>
      <w:szCs w:val="18"/>
    </w:rPr>
  </w:style>
  <w:style w:type="character" w:customStyle="1" w:styleId="18">
    <w:name w:val="页眉 Char"/>
    <w:link w:val="7"/>
    <w:semiHidden/>
    <w:qFormat/>
    <w:uiPriority w:val="99"/>
    <w:rPr>
      <w:sz w:val="18"/>
      <w:szCs w:val="18"/>
    </w:rPr>
  </w:style>
  <w:style w:type="paragraph" w:customStyle="1" w:styleId="19">
    <w:name w:val="表格标题DG"/>
    <w:basedOn w:val="1"/>
    <w:qFormat/>
    <w:uiPriority w:val="0"/>
    <w:pPr>
      <w:snapToGrid w:val="0"/>
      <w:jc w:val="center"/>
    </w:pPr>
    <w:rPr>
      <w:rFonts w:ascii="Arial" w:hAnsi="Arial" w:eastAsia="黑体"/>
      <w:bCs/>
      <w:color w:val="000000"/>
      <w:sz w:val="21"/>
      <w:szCs w:val="20"/>
    </w:rPr>
  </w:style>
  <w:style w:type="paragraph" w:customStyle="1" w:styleId="20">
    <w:name w:val="表格正文DG"/>
    <w:basedOn w:val="1"/>
    <w:qFormat/>
    <w:uiPriority w:val="0"/>
    <w:pPr>
      <w:jc w:val="center"/>
    </w:pPr>
    <w:rPr>
      <w:rFonts w:ascii="Times New Roman" w:hAnsi="Times New Roman"/>
      <w:color w:val="000000"/>
      <w:sz w:val="21"/>
      <w:szCs w:val="21"/>
    </w:rPr>
  </w:style>
  <w:style w:type="paragraph" w:styleId="21">
    <w:name w:val="List Paragraph"/>
    <w:basedOn w:val="1"/>
    <w:unhideWhenUsed/>
    <w:qFormat/>
    <w:uiPriority w:val="99"/>
    <w:pPr>
      <w:ind w:firstLine="420" w:firstLineChars="200"/>
    </w:pPr>
  </w:style>
  <w:style w:type="paragraph" w:customStyle="1" w:styleId="22">
    <w:name w:val="一级标题DG"/>
    <w:basedOn w:val="1"/>
    <w:qFormat/>
    <w:uiPriority w:val="0"/>
    <w:pPr>
      <w:spacing w:line="480" w:lineRule="auto"/>
      <w:outlineLvl w:val="0"/>
    </w:pPr>
    <w:rPr>
      <w:rFonts w:ascii="Arial" w:hAnsi="Arial" w:eastAsia="黑体"/>
      <w:sz w:val="28"/>
    </w:rPr>
  </w:style>
  <w:style w:type="paragraph" w:customStyle="1" w:styleId="23">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4">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5">
    <w:name w:val="editor-text-node"/>
    <w:basedOn w:val="11"/>
    <w:uiPriority w:val="0"/>
  </w:style>
  <w:style w:type="character" w:styleId="26">
    <w:name w:val="Placeholder Text"/>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2664</Words>
  <Characters>2757</Characters>
  <Lines>109</Lines>
  <Paragraphs>30</Paragraphs>
  <TotalTime>0</TotalTime>
  <ScaleCrop>false</ScaleCrop>
  <LinksUpToDate>false</LinksUpToDate>
  <CharactersWithSpaces>3035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2024-09-01T05:27:00Z</dcterms:created>
  <dc:creator>juvg</dc:creator>
  <cp:lastModifiedBy>归晚.</cp:lastModifiedBy>
  <cp:lastPrinted>2023-11-21T00:52:00Z</cp:lastPrinted>
  <dcterms:modified xsi:type="dcterms:W3CDTF">2025-03-21T04:47:51Z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eyJoZGlkIjoiNDdlMTljOWMxNTc2MWY3YzI4NjAwYTQzZDc4MjEzM2YiLCJ1c2VySWQiOiI1NTQ0NjQ5MzAifQ==</vt:lpwstr>
  </property>
  <property fmtid="{D5CDD505-2E9C-101B-9397-08002B2CF9AE}" pid="4" name="ICV">
    <vt:lpwstr>A3D0597401D84619BAC24CC7EC758BE4_13</vt:lpwstr>
  </property>
</Properties>
</file>