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
          <w:sz w:val="32"/>
          <w:szCs w:val="32"/>
        </w:rPr>
        <w:t>护理管理学</w:t>
      </w:r>
      <w:r>
        <w:rPr>
          <w:rFonts w:hint="eastAsia" w:ascii="黑体" w:hAnsi="黑体" w:eastAsia="黑体"/>
          <w:bCs/>
          <w:sz w:val="32"/>
          <w:szCs w:val="32"/>
        </w:rPr>
        <w:t>》本科课程教学大纲</w:t>
      </w:r>
    </w:p>
    <w:p>
      <w:pPr>
        <w:pStyle w:val="19"/>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护理管理学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Nursing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1170023</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sz w:val="21"/>
                <w:szCs w:val="21"/>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left"/>
              <w:rPr>
                <w:sz w:val="20"/>
                <w:szCs w:val="20"/>
              </w:rPr>
            </w:pPr>
            <w:r>
              <w:rPr>
                <w:rFonts w:hint="eastAsia"/>
                <w:sz w:val="20"/>
                <w:szCs w:val="20"/>
              </w:rPr>
              <w:t>护理学（专升本）</w:t>
            </w:r>
          </w:p>
          <w:p>
            <w:pPr>
              <w:widowControl w:val="0"/>
              <w:jc w:val="left"/>
              <w:rPr>
                <w:color w:val="000000" w:themeColor="text1"/>
                <w:sz w:val="20"/>
                <w:szCs w:val="20"/>
                <w14:textFill>
                  <w14:solidFill>
                    <w14:schemeClr w14:val="tx1"/>
                  </w14:solidFill>
                </w14:textFill>
              </w:rPr>
            </w:pPr>
            <w:r>
              <w:rPr>
                <w:rFonts w:hint="eastAsia"/>
                <w:sz w:val="20"/>
                <w:szCs w:val="20"/>
              </w:rPr>
              <w:t>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color w:val="000000" w:themeColor="text1"/>
                <w:sz w:val="21"/>
                <w:szCs w:val="21"/>
                <w14:textFill>
                  <w14:solidFill>
                    <w14:schemeClr w14:val="tx1"/>
                  </w14:solidFill>
                </w14:textFill>
              </w:rPr>
            </w:pPr>
            <w:r>
              <w:rPr>
                <w:rFonts w:hint="eastAsia"/>
                <w:color w:val="000000"/>
                <w:sz w:val="21"/>
                <w:szCs w:val="21"/>
              </w:rPr>
              <w:t>专业选修课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《护理管理学》主编 吴欣娟、王艳梅</w:t>
            </w:r>
            <w:r>
              <w:rPr>
                <w:rFonts w:hint="eastAsia" w:ascii="Times New Roman" w:hAnsi="Times New Roman" w:cs="Times New Roman"/>
                <w:color w:val="000000" w:themeColor="text1"/>
                <w:sz w:val="21"/>
                <w:szCs w:val="21"/>
                <w14:textFill>
                  <w14:solidFill>
                    <w14:schemeClr w14:val="tx1"/>
                  </w14:solidFill>
                </w14:textFill>
              </w:rPr>
              <w:t>ISBN</w:t>
            </w:r>
            <w:r>
              <w:rPr>
                <w:color w:val="000000"/>
                <w:sz w:val="21"/>
                <w:szCs w:val="21"/>
              </w:rPr>
              <w:t xml:space="preserve">9787117328678  </w:t>
            </w:r>
            <w:r>
              <w:rPr>
                <w:rFonts w:hint="eastAsia"/>
                <w:color w:val="000000"/>
                <w:sz w:val="21"/>
                <w:szCs w:val="21"/>
              </w:rPr>
              <w:t>人民卫生出版社</w:t>
            </w:r>
            <w:r>
              <w:rPr>
                <w:color w:val="000000"/>
                <w:sz w:val="21"/>
                <w:szCs w:val="21"/>
              </w:rPr>
              <w:t xml:space="preserve"> </w:t>
            </w:r>
            <w:r>
              <w:rPr>
                <w:rFonts w:hint="eastAsia"/>
                <w:color w:val="000000"/>
                <w:sz w:val="21"/>
                <w:szCs w:val="21"/>
              </w:rPr>
              <w:t>第五版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7"/>
              <w:widowControl w:val="0"/>
              <w:jc w:val="both"/>
            </w:pPr>
            <w:r>
              <w:rPr>
                <w:rFonts w:hint="eastAsia"/>
                <w:sz w:val="20"/>
                <w:szCs w:val="20"/>
              </w:rPr>
              <w:t>人体解剖学1</w:t>
            </w:r>
            <w:r>
              <w:rPr>
                <w:sz w:val="20"/>
                <w:szCs w:val="20"/>
              </w:rPr>
              <w:t>170001</w:t>
            </w:r>
            <w:r>
              <w:rPr>
                <w:rFonts w:hint="eastAsia"/>
                <w:sz w:val="20"/>
                <w:szCs w:val="20"/>
              </w:rPr>
              <w:t>（4）、人体生理学1</w:t>
            </w:r>
            <w:r>
              <w:rPr>
                <w:sz w:val="20"/>
                <w:szCs w:val="20"/>
              </w:rPr>
              <w:t>170024</w:t>
            </w:r>
            <w:r>
              <w:rPr>
                <w:rFonts w:hint="eastAsia"/>
                <w:sz w:val="20"/>
                <w:szCs w:val="20"/>
              </w:rPr>
              <w:t>（3）、急危重症护理学1</w:t>
            </w:r>
            <w:r>
              <w:rPr>
                <w:sz w:val="20"/>
                <w:szCs w:val="20"/>
              </w:rPr>
              <w:t>170011</w:t>
            </w:r>
            <w:r>
              <w:rPr>
                <w:rFonts w:hint="eastAsia"/>
                <w:sz w:val="20"/>
                <w:szCs w:val="20"/>
              </w:rPr>
              <w:t>（2）等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03"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ind w:left="-80" w:firstLine="426" w:firstLineChars="203"/>
              <w:jc w:val="both"/>
              <w:rPr>
                <w:color w:val="000000"/>
                <w:sz w:val="21"/>
                <w:szCs w:val="21"/>
              </w:rPr>
            </w:pPr>
            <w:r>
              <w:rPr>
                <w:rFonts w:hint="eastAsia"/>
                <w:color w:val="000000"/>
                <w:sz w:val="21"/>
                <w:szCs w:val="21"/>
              </w:rPr>
              <w:t>《护理管理学》是将管理学理论和方法应用于护理实践并逐步发展起来的一门应用学科。通过教学，使学生系统地掌握管理的基本知识、基本原理以及管理方法和技术，熟悉医院护理管理系统的基本结构和运作过程，注意培养学生的计划、组织协调、沟通等基本能力，并注重培养学生提出问题、分析问题和解决护理管理问题的综合能力，是一门促进学生综合能力全面提高的重要的护理学人文社会科学课程。</w:t>
            </w:r>
          </w:p>
          <w:p>
            <w:pPr>
              <w:widowControl w:val="0"/>
              <w:ind w:firstLine="420" w:firstLineChars="200"/>
              <w:jc w:val="both"/>
              <w:rPr>
                <w:color w:val="000000"/>
                <w:sz w:val="21"/>
                <w:szCs w:val="21"/>
              </w:rPr>
            </w:pPr>
            <w:r>
              <w:rPr>
                <w:rFonts w:hint="eastAsia"/>
                <w:color w:val="000000"/>
                <w:sz w:val="21"/>
                <w:szCs w:val="21"/>
              </w:rPr>
              <w:t>通过学习管理的理论和方法，培养学生的管理意识及分析问题和解决护理管理实际问题的综合能力，提升学生的护理职业素养，以实现对服务对象实施整体护理及健康管理，保证和提高医院护理质量的目的，同时为学习和发展现代护理管理及今后担负起护理事业的管理工作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95"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40" w:lineRule="exact"/>
              <w:ind w:firstLine="420" w:firstLineChars="200"/>
              <w:jc w:val="both"/>
              <w:rPr>
                <w:color w:val="000000"/>
                <w:sz w:val="21"/>
                <w:szCs w:val="21"/>
              </w:rPr>
            </w:pPr>
            <w:r>
              <w:rPr>
                <w:rFonts w:hint="eastAsia"/>
                <w:color w:val="000000"/>
                <w:sz w:val="21"/>
                <w:szCs w:val="21"/>
              </w:rPr>
              <w:t>本课程适合护理学专业（专升本）一年级第二学期本科学生授课，要求学生具有护理管理的基本知识、原理以及管理方法和技术。培养学生具有初步的护理管理能力，会运用批判性思维来看待已有研究成果，运用科学思维方式分析、设计临床护理和护理管理工作过程。</w:t>
            </w:r>
            <w:r>
              <w:rPr>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71120</wp:posOffset>
                  </wp:positionH>
                  <wp:positionV relativeFrom="paragraph">
                    <wp:posOffset>24765</wp:posOffset>
                  </wp:positionV>
                  <wp:extent cx="502920" cy="255270"/>
                  <wp:effectExtent l="0" t="0" r="0" b="0"/>
                  <wp:wrapNone/>
                  <wp:docPr id="29" name="图片 29" descr="C:\Users\mac\AppData\Local\Temp\WeChat Files\c05ddcc04ed3d32f3596c820babff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mac\AppData\Local\Temp\WeChat Files\c05ddcc04ed3d32f3596c820babffc0.png"/>
                          <pic:cNvPicPr>
                            <a:picLocks noChangeAspect="1" noChangeArrowheads="1"/>
                          </pic:cNvPicPr>
                        </pic:nvPicPr>
                        <pic:blipFill>
                          <a:blip r:embed="rId5" cstate="print"/>
                          <a:srcRect/>
                          <a:stretch>
                            <a:fillRect/>
                          </a:stretch>
                        </pic:blipFill>
                        <pic:spPr>
                          <a:xfrm>
                            <a:off x="0" y="0"/>
                            <a:ext cx="502920" cy="255270"/>
                          </a:xfrm>
                          <a:prstGeom prst="rect">
                            <a:avLst/>
                          </a:prstGeom>
                          <a:noFill/>
                          <a:ln w="9525">
                            <a:noFill/>
                            <a:miter lim="800000"/>
                            <a:headEnd/>
                            <a:tailEnd/>
                          </a:ln>
                        </pic:spPr>
                      </pic:pic>
                    </a:graphicData>
                  </a:graphic>
                </wp:anchor>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w:t>
            </w:r>
            <w:r>
              <w:rPr>
                <w:rFonts w:ascii="Times New Roman" w:hAnsi="Times New Roman"/>
                <w:color w:val="00000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rPr>
              <w:t xml:space="preserve">  </w:t>
            </w:r>
            <w:r>
              <w:rPr>
                <w:rFonts w:ascii="黑体" w:hAnsi="黑体" w:eastAsia="黑体"/>
                <w:color w:val="000000"/>
                <w:position w:val="-20"/>
                <w:szCs w:val="21"/>
              </w:rPr>
              <w:drawing>
                <wp:inline distT="0" distB="0" distL="114300" distR="114300">
                  <wp:extent cx="487680" cy="220980"/>
                  <wp:effectExtent l="0" t="0" r="0" b="7620"/>
                  <wp:docPr id="2" name="图片 2" descr="微信图片_2024020415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04155254"/>
                          <pic:cNvPicPr>
                            <a:picLocks noChangeAspect="1"/>
                          </pic:cNvPicPr>
                        </pic:nvPicPr>
                        <pic:blipFill>
                          <a:blip r:embed="rId6"/>
                          <a:stretch>
                            <a:fillRect/>
                          </a:stretch>
                        </pic:blipFill>
                        <pic:spPr>
                          <a:xfrm>
                            <a:off x="0" y="0"/>
                            <a:ext cx="487680" cy="220980"/>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2024.02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9"/>
        <w:spacing w:before="326" w:beforeLines="100" w:line="360" w:lineRule="auto"/>
        <w:rPr>
          <w:rFonts w:ascii="黑体" w:hAnsi="宋体"/>
        </w:rPr>
      </w:pPr>
      <w:r>
        <w:rPr>
          <w:rFonts w:hint="eastAsia" w:ascii="黑体" w:hAnsi="宋体"/>
        </w:rPr>
        <w:t>二、课程目标与毕业要求</w:t>
      </w:r>
    </w:p>
    <w:p>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7"/>
              <w:jc w:val="left"/>
              <w:rPr>
                <w:rFonts w:ascii="宋体" w:hAnsi="宋体"/>
              </w:rPr>
            </w:pPr>
            <w:r>
              <w:rPr>
                <w:rFonts w:hint="eastAsia" w:ascii="宋体" w:hAnsi="宋体"/>
              </w:rPr>
              <w:t>理解护理管理学基本理论、方法和技能。学生能理解管理理论和原理的主要内容和观点。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7"/>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7"/>
              <w:jc w:val="left"/>
              <w:rPr>
                <w:rFonts w:ascii="宋体" w:hAnsi="宋体"/>
              </w:rPr>
            </w:pPr>
            <w:r>
              <w:rPr>
                <w:rFonts w:hint="eastAsia" w:ascii="宋体" w:hAnsi="宋体"/>
              </w:rPr>
              <w:t>理解常见疾病预控管理知识。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7"/>
              <w:jc w:val="left"/>
              <w:rPr>
                <w:rFonts w:ascii="宋体" w:hAnsi="宋体"/>
              </w:rPr>
            </w:pPr>
            <w:r>
              <w:rPr>
                <w:rFonts w:hint="eastAsia" w:ascii="宋体" w:hAnsi="宋体"/>
              </w:rPr>
              <w:t>培养学生具有初步的护理管理能力。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7"/>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7"/>
              <w:jc w:val="left"/>
              <w:rPr>
                <w:rFonts w:ascii="宋体" w:hAnsi="宋体"/>
                <w:bCs/>
              </w:rPr>
            </w:pPr>
            <w:r>
              <w:rPr>
                <w:rFonts w:hint="eastAsia" w:ascii="宋体" w:hAnsi="宋体"/>
                <w:lang w:val="en-US" w:eastAsia="zh-CN"/>
              </w:rPr>
              <w:t>能</w:t>
            </w:r>
            <w:r>
              <w:rPr>
                <w:rFonts w:hint="eastAsia" w:ascii="宋体" w:hAnsi="宋体"/>
              </w:rPr>
              <w:t>运用批判性思维来看待已有研究成果，运用科学思维方式分析、设计临床护理和护理管理工作过程，有序高效做好临床护理和护理管理工作。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7"/>
              <w:jc w:val="left"/>
              <w:rPr>
                <w:rFonts w:ascii="宋体" w:hAnsi="宋体"/>
                <w:bCs/>
              </w:rPr>
            </w:pPr>
            <w:r>
              <w:rPr>
                <w:rFonts w:hint="eastAsia" w:ascii="宋体" w:hAnsi="宋体"/>
              </w:rPr>
              <w:t>诚信尽责，为人诚实，信守承诺，勤奋努力，精益求精，勇于担责。具有科学精神、慎独修养、严谨求实的工作态度和符合职业道德标准的职业行为。</w:t>
            </w:r>
          </w:p>
        </w:tc>
      </w:tr>
    </w:tbl>
    <w:p>
      <w:pPr>
        <w:pStyle w:val="20"/>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pPr>
              <w:pStyle w:val="17"/>
              <w:widowControl w:val="0"/>
              <w:jc w:val="left"/>
              <w:rPr>
                <w:rFonts w:ascii="宋体" w:hAnsi="宋体"/>
              </w:rPr>
            </w:pPr>
            <w:r>
              <w:rPr>
                <w:rFonts w:hint="eastAsia" w:ascii="宋体" w:hAnsi="宋体"/>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7"/>
              <w:widowControl w:val="0"/>
              <w:jc w:val="left"/>
              <w:rPr>
                <w:rFonts w:ascii="宋体" w:hAnsi="宋体"/>
              </w:rPr>
            </w:pPr>
            <w:r>
              <w:rPr>
                <w:rFonts w:hint="eastAsia" w:ascii="宋体" w:hAnsi="宋体"/>
              </w:rPr>
              <w:t>④诚信尽责，为人诚实，信守承诺，勤奋努力，精益求精，勇于担责。</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17"/>
              <w:widowControl w:val="0"/>
              <w:jc w:val="left"/>
              <w:rPr>
                <w:rFonts w:ascii="宋体" w:hAnsi="宋体"/>
              </w:rPr>
            </w:pPr>
            <w:r>
              <w:rPr>
                <w:rFonts w:ascii="宋体" w:hAnsi="宋体"/>
              </w:rPr>
              <w:t>LO2专业能力：具有人文科学素养，具备从事护理工作或专业的理论知识、实践能力。</w:t>
            </w:r>
          </w:p>
          <w:p>
            <w:pPr>
              <w:pStyle w:val="17"/>
              <w:widowControl w:val="0"/>
              <w:numPr>
                <w:ilvl w:val="0"/>
                <w:numId w:val="1"/>
              </w:numPr>
              <w:jc w:val="left"/>
              <w:rPr>
                <w:rFonts w:ascii="宋体" w:hAnsi="宋体"/>
              </w:rPr>
            </w:pPr>
            <w:r>
              <w:rPr>
                <w:rFonts w:hint="eastAsia" w:ascii="宋体" w:hAnsi="宋体"/>
              </w:rPr>
              <w:t xml:space="preserve">具有专业所需的人文科学素养。 </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17"/>
              <w:widowControl w:val="0"/>
              <w:jc w:val="left"/>
              <w:rPr>
                <w:rFonts w:ascii="宋体" w:hAnsi="宋体"/>
              </w:rPr>
            </w:pPr>
            <w:r>
              <w:rPr>
                <w:rFonts w:ascii="宋体" w:hAnsi="宋体"/>
              </w:rPr>
              <w:t>LO3表达沟通：理解他人的观点，尊重他人的价值观，能在不同场合用书面或口头形式进行有效沟通。</w:t>
            </w:r>
          </w:p>
          <w:p>
            <w:pPr>
              <w:pStyle w:val="17"/>
              <w:widowControl w:val="0"/>
              <w:jc w:val="left"/>
              <w:rPr>
                <w:rFonts w:ascii="宋体" w:hAnsi="宋体"/>
                <w:bCs/>
              </w:rPr>
            </w:pPr>
            <w:r>
              <w:rPr>
                <w:rFonts w:hint="eastAsia" w:ascii="宋体" w:hAnsi="宋体"/>
              </w:rPr>
              <w:t>②应用书面或口头形式，阐释自己的观点，有效沟通。</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17"/>
              <w:widowControl w:val="0"/>
              <w:jc w:val="left"/>
              <w:rPr>
                <w:rFonts w:ascii="宋体" w:hAnsi="宋体"/>
              </w:rPr>
            </w:pPr>
            <w:r>
              <w:rPr>
                <w:rFonts w:ascii="宋体" w:hAnsi="宋体"/>
              </w:rPr>
              <w:t>LO6协同创新：同群体保持良好的合作关系，做集体中的积极成员，善于自我管理和团队管理；善于从多个维度思考问题，利用自己的知识与实践来提出新设想。</w:t>
            </w:r>
          </w:p>
          <w:p>
            <w:pPr>
              <w:pStyle w:val="17"/>
              <w:widowControl w:val="0"/>
              <w:jc w:val="left"/>
              <w:rPr>
                <w:rFonts w:ascii="宋体" w:hAnsi="宋体"/>
              </w:rPr>
            </w:pPr>
            <w:r>
              <w:rPr>
                <w:rFonts w:hint="eastAsia" w:ascii="宋体" w:hAnsi="宋体"/>
              </w:rPr>
              <w:t>③能用创新的方法或者多种方法解决复杂问题或真实问题。</w:t>
            </w:r>
          </w:p>
        </w:tc>
      </w:tr>
    </w:tbl>
    <w:p>
      <w:pPr>
        <w:pStyle w:val="20"/>
        <w:spacing w:before="163" w:beforeLines="50"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6"/>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6"/>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6"/>
              <w:rPr>
                <w:szCs w:val="16"/>
              </w:rPr>
            </w:pPr>
            <w:r>
              <w:rPr>
                <w:rFonts w:hint="eastAsia"/>
                <w:szCs w:val="16"/>
              </w:rPr>
              <w:t>支撑度</w:t>
            </w:r>
          </w:p>
        </w:tc>
        <w:tc>
          <w:tcPr>
            <w:tcW w:w="4651" w:type="dxa"/>
            <w:tcBorders>
              <w:top w:val="single" w:color="auto" w:sz="12" w:space="0"/>
            </w:tcBorders>
            <w:vAlign w:val="center"/>
          </w:tcPr>
          <w:p>
            <w:pPr>
              <w:pStyle w:val="16"/>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6"/>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7"/>
              <w:rPr>
                <w:b/>
              </w:rPr>
            </w:pPr>
            <w:r>
              <w:rPr>
                <w:b/>
              </w:rPr>
              <w:t>L01</w:t>
            </w:r>
          </w:p>
        </w:tc>
        <w:tc>
          <w:tcPr>
            <w:tcW w:w="775" w:type="dxa"/>
            <w:tcBorders>
              <w:left w:val="single" w:color="auto" w:sz="4" w:space="0"/>
            </w:tcBorders>
            <w:vAlign w:val="center"/>
          </w:tcPr>
          <w:p>
            <w:pPr>
              <w:pStyle w:val="17"/>
              <w:rPr>
                <w:bCs/>
              </w:rPr>
            </w:pPr>
            <w:r>
              <w:rPr>
                <w:rFonts w:hint="eastAsia"/>
                <w:bCs/>
              </w:rPr>
              <w:t>④</w:t>
            </w:r>
          </w:p>
        </w:tc>
        <w:tc>
          <w:tcPr>
            <w:tcW w:w="775" w:type="dxa"/>
            <w:tcBorders>
              <w:right w:val="double" w:color="auto" w:sz="4" w:space="0"/>
            </w:tcBorders>
            <w:shd w:val="clear" w:color="auto" w:fill="auto"/>
            <w:vAlign w:val="center"/>
          </w:tcPr>
          <w:p>
            <w:pPr>
              <w:pStyle w:val="17"/>
              <w:rPr>
                <w:rFonts w:ascii="宋体" w:hAnsi="宋体"/>
              </w:rPr>
            </w:pPr>
            <w:r>
              <w:rPr>
                <w:rFonts w:ascii="宋体" w:hAnsi="宋体"/>
              </w:rPr>
              <w:t>M</w:t>
            </w:r>
          </w:p>
        </w:tc>
        <w:tc>
          <w:tcPr>
            <w:tcW w:w="4651" w:type="dxa"/>
            <w:vAlign w:val="center"/>
          </w:tcPr>
          <w:p>
            <w:pPr>
              <w:pStyle w:val="17"/>
              <w:jc w:val="left"/>
              <w:rPr>
                <w:rFonts w:ascii="宋体" w:hAnsi="宋体"/>
              </w:rPr>
            </w:pPr>
            <w:r>
              <w:rPr>
                <w:rFonts w:ascii="宋体" w:hAnsi="宋体"/>
              </w:rPr>
              <w:t>5.</w:t>
            </w:r>
            <w:r>
              <w:rPr>
                <w:rFonts w:hint="eastAsia" w:ascii="宋体" w:hAnsi="宋体"/>
              </w:rPr>
              <w:t>诚信尽责，为人诚实，信守承诺，勤奋努力，精益求精，勇于担责。具有科学精神、慎独修养、严谨求实的工作态度和符合职业道德标准的职业行为。</w:t>
            </w:r>
          </w:p>
        </w:tc>
        <w:tc>
          <w:tcPr>
            <w:tcW w:w="1316" w:type="dxa"/>
            <w:tcBorders>
              <w:right w:val="single" w:color="auto" w:sz="12" w:space="0"/>
            </w:tcBorders>
            <w:vAlign w:val="center"/>
          </w:tcPr>
          <w:p>
            <w:pPr>
              <w:pStyle w:val="17"/>
              <w:rPr>
                <w:rFonts w:ascii="宋体" w:hAnsi="宋体"/>
                <w:bCs/>
              </w:rPr>
            </w:pPr>
            <w:r>
              <w:rPr>
                <w:rFonts w:ascii="宋体" w:hAnsi="宋体"/>
                <w:bCs/>
              </w:rPr>
              <w:t>100</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7"/>
              <w:rPr>
                <w:b/>
                <w:bCs/>
              </w:rPr>
            </w:pPr>
            <w:r>
              <w:rPr>
                <w:rFonts w:hint="eastAsia"/>
                <w:b/>
                <w:bCs/>
              </w:rPr>
              <w:t>L</w:t>
            </w:r>
            <w:r>
              <w:rPr>
                <w:b/>
                <w:bCs/>
              </w:rPr>
              <w:t>02</w:t>
            </w:r>
          </w:p>
        </w:tc>
        <w:tc>
          <w:tcPr>
            <w:tcW w:w="775" w:type="dxa"/>
            <w:vMerge w:val="restart"/>
            <w:tcBorders>
              <w:left w:val="single" w:color="auto" w:sz="4" w:space="0"/>
            </w:tcBorders>
            <w:vAlign w:val="center"/>
          </w:tcPr>
          <w:p>
            <w:pPr>
              <w:pStyle w:val="17"/>
              <w:rPr>
                <w:rFonts w:cs="Times New Roman"/>
                <w:bCs/>
              </w:rPr>
            </w:pPr>
            <w:r>
              <w:rPr>
                <w:rFonts w:hint="eastAsia" w:ascii="宋体" w:hAnsi="宋体" w:cs="Times New Roman"/>
                <w:bCs/>
              </w:rPr>
              <w:t>①</w:t>
            </w:r>
          </w:p>
        </w:tc>
        <w:tc>
          <w:tcPr>
            <w:tcW w:w="775" w:type="dxa"/>
            <w:vMerge w:val="restart"/>
            <w:tcBorders>
              <w:right w:val="double" w:color="auto" w:sz="4" w:space="0"/>
            </w:tcBorders>
            <w:shd w:val="clear" w:color="auto" w:fill="auto"/>
            <w:vAlign w:val="center"/>
          </w:tcPr>
          <w:p>
            <w:pPr>
              <w:pStyle w:val="17"/>
              <w:rPr>
                <w:rFonts w:ascii="宋体" w:hAnsi="宋体"/>
              </w:rPr>
            </w:pPr>
            <w:r>
              <w:rPr>
                <w:rFonts w:ascii="宋体" w:hAnsi="宋体"/>
              </w:rPr>
              <w:t>H</w:t>
            </w:r>
          </w:p>
        </w:tc>
        <w:tc>
          <w:tcPr>
            <w:tcW w:w="4651" w:type="dxa"/>
            <w:vAlign w:val="center"/>
          </w:tcPr>
          <w:p>
            <w:pPr>
              <w:pStyle w:val="17"/>
              <w:jc w:val="left"/>
              <w:rPr>
                <w:rFonts w:ascii="宋体" w:hAnsi="宋体"/>
                <w:bCs/>
              </w:rPr>
            </w:pPr>
            <w:r>
              <w:rPr>
                <w:rFonts w:hint="eastAsia" w:ascii="宋体" w:hAnsi="宋体"/>
              </w:rPr>
              <w:t>1</w:t>
            </w:r>
            <w:r>
              <w:rPr>
                <w:rFonts w:ascii="宋体" w:hAnsi="宋体"/>
              </w:rPr>
              <w:t>.</w:t>
            </w:r>
            <w:r>
              <w:rPr>
                <w:rFonts w:hint="eastAsia" w:ascii="宋体" w:hAnsi="宋体"/>
              </w:rPr>
              <w:t>掌握护理管理学基本理论、方法和技能。学生能理解管理理论和原理的主要内容和观点。掌握常见疾病预控管理知识。</w:t>
            </w:r>
            <w:r>
              <w:rPr>
                <w:rFonts w:ascii="宋体" w:hAnsi="宋体"/>
                <w:bCs/>
              </w:rPr>
              <w:t xml:space="preserve"> </w:t>
            </w:r>
          </w:p>
        </w:tc>
        <w:tc>
          <w:tcPr>
            <w:tcW w:w="1316" w:type="dxa"/>
            <w:tcBorders>
              <w:right w:val="single" w:color="auto" w:sz="12" w:space="0"/>
            </w:tcBorders>
            <w:vAlign w:val="center"/>
          </w:tcPr>
          <w:p>
            <w:pPr>
              <w:pStyle w:val="17"/>
              <w:rPr>
                <w:rFonts w:ascii="宋体" w:hAnsi="宋体"/>
                <w:bCs/>
              </w:rPr>
            </w:pPr>
            <w:r>
              <w:rPr>
                <w:rFonts w:ascii="宋体" w:hAnsi="宋体"/>
                <w:bCs/>
              </w:rPr>
              <w:t>50</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7"/>
            </w:pPr>
          </w:p>
        </w:tc>
        <w:tc>
          <w:tcPr>
            <w:tcW w:w="775" w:type="dxa"/>
            <w:vMerge w:val="continue"/>
            <w:tcBorders>
              <w:left w:val="single" w:color="auto" w:sz="4" w:space="0"/>
            </w:tcBorders>
            <w:vAlign w:val="center"/>
          </w:tcPr>
          <w:p>
            <w:pPr>
              <w:pStyle w:val="17"/>
              <w:rPr>
                <w:rFonts w:cs="Times New Roman"/>
                <w:bCs/>
              </w:rPr>
            </w:pPr>
          </w:p>
        </w:tc>
        <w:tc>
          <w:tcPr>
            <w:tcW w:w="775" w:type="dxa"/>
            <w:vMerge w:val="continue"/>
            <w:tcBorders>
              <w:right w:val="double" w:color="auto" w:sz="4" w:space="0"/>
            </w:tcBorders>
            <w:shd w:val="clear" w:color="auto" w:fill="auto"/>
            <w:vAlign w:val="center"/>
          </w:tcPr>
          <w:p>
            <w:pPr>
              <w:pStyle w:val="17"/>
              <w:rPr>
                <w:rFonts w:ascii="宋体" w:hAnsi="宋体"/>
              </w:rPr>
            </w:pPr>
          </w:p>
        </w:tc>
        <w:tc>
          <w:tcPr>
            <w:tcW w:w="4651" w:type="dxa"/>
            <w:vAlign w:val="center"/>
          </w:tcPr>
          <w:p>
            <w:pPr>
              <w:pStyle w:val="17"/>
              <w:jc w:val="left"/>
              <w:rPr>
                <w:rFonts w:ascii="宋体" w:hAnsi="宋体"/>
              </w:rPr>
            </w:pPr>
            <w:r>
              <w:rPr>
                <w:rFonts w:hint="eastAsia" w:ascii="宋体" w:hAnsi="宋体"/>
              </w:rPr>
              <w:t>2</w:t>
            </w:r>
            <w:r>
              <w:rPr>
                <w:rFonts w:ascii="宋体" w:hAnsi="宋体"/>
              </w:rPr>
              <w:t>.</w:t>
            </w:r>
            <w:r>
              <w:rPr>
                <w:rFonts w:hint="eastAsia" w:ascii="宋体" w:hAnsi="宋体"/>
              </w:rPr>
              <w:t>培养学生具有初步的护理管理能力；</w:t>
            </w:r>
          </w:p>
        </w:tc>
        <w:tc>
          <w:tcPr>
            <w:tcW w:w="1316" w:type="dxa"/>
            <w:tcBorders>
              <w:right w:val="single" w:color="auto" w:sz="12" w:space="0"/>
            </w:tcBorders>
            <w:vAlign w:val="center"/>
          </w:tcPr>
          <w:p>
            <w:pPr>
              <w:pStyle w:val="17"/>
              <w:rPr>
                <w:rFonts w:ascii="宋体" w:hAnsi="宋体"/>
                <w:bCs/>
              </w:rPr>
            </w:pPr>
            <w:r>
              <w:rPr>
                <w:rFonts w:ascii="宋体" w:hAnsi="宋体"/>
                <w:bCs/>
              </w:rPr>
              <w:t>30</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7"/>
            </w:pPr>
          </w:p>
        </w:tc>
        <w:tc>
          <w:tcPr>
            <w:tcW w:w="775" w:type="dxa"/>
            <w:vMerge w:val="continue"/>
            <w:tcBorders>
              <w:left w:val="single" w:color="auto" w:sz="4" w:space="0"/>
            </w:tcBorders>
            <w:vAlign w:val="center"/>
          </w:tcPr>
          <w:p>
            <w:pPr>
              <w:pStyle w:val="17"/>
              <w:rPr>
                <w:rFonts w:cs="Times New Roman"/>
                <w:bCs/>
              </w:rPr>
            </w:pPr>
          </w:p>
        </w:tc>
        <w:tc>
          <w:tcPr>
            <w:tcW w:w="775" w:type="dxa"/>
            <w:vMerge w:val="continue"/>
            <w:tcBorders>
              <w:right w:val="double" w:color="auto" w:sz="4" w:space="0"/>
            </w:tcBorders>
            <w:shd w:val="clear" w:color="auto" w:fill="auto"/>
            <w:vAlign w:val="center"/>
          </w:tcPr>
          <w:p>
            <w:pPr>
              <w:pStyle w:val="17"/>
              <w:rPr>
                <w:rFonts w:ascii="宋体" w:hAnsi="宋体"/>
              </w:rPr>
            </w:pPr>
          </w:p>
        </w:tc>
        <w:tc>
          <w:tcPr>
            <w:tcW w:w="4651" w:type="dxa"/>
            <w:vAlign w:val="center"/>
          </w:tcPr>
          <w:p>
            <w:pPr>
              <w:pStyle w:val="17"/>
              <w:jc w:val="left"/>
              <w:rPr>
                <w:rFonts w:ascii="宋体" w:hAnsi="宋体"/>
              </w:rPr>
            </w:pPr>
            <w:r>
              <w:rPr>
                <w:rFonts w:hint="eastAsia" w:ascii="宋体" w:hAnsi="宋体"/>
              </w:rPr>
              <w:t>3</w:t>
            </w:r>
            <w:r>
              <w:rPr>
                <w:rFonts w:ascii="宋体" w:hAnsi="宋体"/>
              </w:rPr>
              <w:t>.</w:t>
            </w:r>
            <w:r>
              <w:rPr>
                <w:rFonts w:hint="eastAsia" w:ascii="宋体" w:hAnsi="宋体"/>
              </w:rPr>
              <w:t>运用科学思维方式分析、设计临床护理和护理管理工作过程，有序高效做好临床护理和护理管理工作。</w:t>
            </w:r>
          </w:p>
        </w:tc>
        <w:tc>
          <w:tcPr>
            <w:tcW w:w="1316" w:type="dxa"/>
            <w:tcBorders>
              <w:right w:val="single" w:color="auto" w:sz="12" w:space="0"/>
            </w:tcBorders>
            <w:vAlign w:val="center"/>
          </w:tcPr>
          <w:p>
            <w:pPr>
              <w:pStyle w:val="17"/>
              <w:rPr>
                <w:rFonts w:ascii="宋体" w:hAnsi="宋体"/>
                <w:bCs/>
              </w:rPr>
            </w:pPr>
            <w:r>
              <w:rPr>
                <w:rFonts w:ascii="宋体" w:hAnsi="宋体"/>
                <w:bCs/>
              </w:rPr>
              <w:t>20</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pPr>
              <w:pStyle w:val="17"/>
              <w:rPr>
                <w:b/>
                <w:bCs/>
              </w:rPr>
            </w:pPr>
            <w:r>
              <w:rPr>
                <w:rFonts w:hint="eastAsia"/>
                <w:b/>
                <w:bCs/>
              </w:rPr>
              <w:t>L</w:t>
            </w:r>
            <w:r>
              <w:rPr>
                <w:b/>
                <w:bCs/>
              </w:rPr>
              <w:t>03</w:t>
            </w:r>
          </w:p>
        </w:tc>
        <w:tc>
          <w:tcPr>
            <w:tcW w:w="775" w:type="dxa"/>
            <w:tcBorders>
              <w:left w:val="single" w:color="auto" w:sz="4" w:space="0"/>
            </w:tcBorders>
            <w:vAlign w:val="center"/>
          </w:tcPr>
          <w:p>
            <w:pPr>
              <w:pStyle w:val="17"/>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pPr>
              <w:pStyle w:val="17"/>
              <w:rPr>
                <w:rFonts w:ascii="宋体" w:hAnsi="宋体"/>
              </w:rPr>
            </w:pPr>
            <w:r>
              <w:rPr>
                <w:rFonts w:ascii="宋体" w:hAnsi="宋体"/>
              </w:rPr>
              <w:t>M</w:t>
            </w:r>
          </w:p>
        </w:tc>
        <w:tc>
          <w:tcPr>
            <w:tcW w:w="4651" w:type="dxa"/>
            <w:vAlign w:val="center"/>
          </w:tcPr>
          <w:p>
            <w:pPr>
              <w:pStyle w:val="17"/>
              <w:jc w:val="left"/>
              <w:rPr>
                <w:rFonts w:ascii="宋体" w:hAnsi="宋体"/>
              </w:rPr>
            </w:pPr>
            <w:r>
              <w:rPr>
                <w:rFonts w:hint="eastAsia" w:ascii="宋体" w:hAnsi="宋体"/>
              </w:rPr>
              <w:t>1</w:t>
            </w:r>
            <w:r>
              <w:rPr>
                <w:rFonts w:ascii="宋体" w:hAnsi="宋体"/>
              </w:rPr>
              <w:t>.</w:t>
            </w:r>
            <w:r>
              <w:rPr>
                <w:rFonts w:hint="eastAsia" w:ascii="宋体" w:hAnsi="宋体"/>
              </w:rPr>
              <w:t>具有在护理专业实践中有效沟通与合作的能力。</w:t>
            </w:r>
          </w:p>
        </w:tc>
        <w:tc>
          <w:tcPr>
            <w:tcW w:w="1316" w:type="dxa"/>
            <w:tcBorders>
              <w:right w:val="single" w:color="auto" w:sz="12" w:space="0"/>
            </w:tcBorders>
            <w:vAlign w:val="center"/>
          </w:tcPr>
          <w:p>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pPr>
              <w:pStyle w:val="17"/>
              <w:rPr>
                <w:b/>
                <w:bCs/>
              </w:rPr>
            </w:pPr>
            <w:r>
              <w:rPr>
                <w:rFonts w:hint="eastAsia"/>
                <w:b/>
                <w:bCs/>
              </w:rPr>
              <w:t>L</w:t>
            </w:r>
            <w:r>
              <w:rPr>
                <w:b/>
                <w:bCs/>
              </w:rPr>
              <w:t>06</w:t>
            </w:r>
          </w:p>
        </w:tc>
        <w:tc>
          <w:tcPr>
            <w:tcW w:w="775" w:type="dxa"/>
            <w:tcBorders>
              <w:left w:val="single" w:color="auto" w:sz="4" w:space="0"/>
              <w:bottom w:val="single" w:color="auto" w:sz="12" w:space="0"/>
            </w:tcBorders>
            <w:vAlign w:val="center"/>
          </w:tcPr>
          <w:p>
            <w:pPr>
              <w:pStyle w:val="17"/>
              <w:rPr>
                <w:rFonts w:cs="Times New Roman"/>
                <w:bCs/>
              </w:rPr>
            </w:pPr>
            <w:r>
              <w:rPr>
                <w:rFonts w:hint="eastAsia" w:cs="Times New Roman"/>
                <w:bCs/>
              </w:rPr>
              <w:t>③</w:t>
            </w:r>
          </w:p>
        </w:tc>
        <w:tc>
          <w:tcPr>
            <w:tcW w:w="775" w:type="dxa"/>
            <w:tcBorders>
              <w:bottom w:val="single" w:color="auto" w:sz="12" w:space="0"/>
              <w:right w:val="double" w:color="auto" w:sz="4" w:space="0"/>
            </w:tcBorders>
            <w:shd w:val="clear" w:color="auto" w:fill="auto"/>
            <w:vAlign w:val="center"/>
          </w:tcPr>
          <w:p>
            <w:pPr>
              <w:pStyle w:val="17"/>
              <w:rPr>
                <w:rFonts w:ascii="宋体" w:hAnsi="宋体"/>
              </w:rPr>
            </w:pPr>
            <w:r>
              <w:rPr>
                <w:rFonts w:ascii="宋体" w:hAnsi="宋体"/>
              </w:rPr>
              <w:t>L</w:t>
            </w:r>
          </w:p>
        </w:tc>
        <w:tc>
          <w:tcPr>
            <w:tcW w:w="4651" w:type="dxa"/>
            <w:tcBorders>
              <w:bottom w:val="single" w:color="auto" w:sz="12" w:space="0"/>
            </w:tcBorders>
            <w:vAlign w:val="center"/>
          </w:tcPr>
          <w:p>
            <w:pPr>
              <w:pStyle w:val="17"/>
              <w:jc w:val="left"/>
              <w:rPr>
                <w:rFonts w:ascii="宋体" w:hAnsi="宋体"/>
              </w:rPr>
            </w:pPr>
            <w:r>
              <w:rPr>
                <w:rFonts w:ascii="宋体" w:hAnsi="宋体"/>
              </w:rPr>
              <w:t>1.</w:t>
            </w:r>
            <w:r>
              <w:rPr>
                <w:rFonts w:hint="eastAsia" w:ascii="宋体" w:hAnsi="宋体"/>
              </w:rPr>
              <w:t>能用创新的方法或者多种方法解决复杂问题或真实问题。</w:t>
            </w:r>
          </w:p>
        </w:tc>
        <w:tc>
          <w:tcPr>
            <w:tcW w:w="1316" w:type="dxa"/>
            <w:tcBorders>
              <w:bottom w:val="single" w:color="auto" w:sz="12" w:space="0"/>
              <w:right w:val="single" w:color="auto" w:sz="12" w:space="0"/>
            </w:tcBorders>
            <w:vAlign w:val="center"/>
          </w:tcPr>
          <w:p>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bl>
    <w:p>
      <w:pPr>
        <w:pStyle w:val="19"/>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20"/>
        <w:spacing w:before="81" w:after="163"/>
      </w:pPr>
      <w:r>
        <w:rPr>
          <w:rFonts w:hint="eastAsia"/>
        </w:rPr>
        <w:t>（一）各教学单元预期学习成果与教学内容</w:t>
      </w:r>
    </w:p>
    <w:tbl>
      <w:tblPr>
        <w:tblStyle w:val="9"/>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73"/>
        <w:gridCol w:w="2552"/>
        <w:gridCol w:w="198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456" w:type="dxa"/>
            <w:vAlign w:val="center"/>
          </w:tcPr>
          <w:p>
            <w:pPr>
              <w:widowControl w:val="0"/>
              <w:snapToGrid w:val="0"/>
              <w:spacing w:line="288" w:lineRule="auto"/>
              <w:jc w:val="center"/>
              <w:rPr>
                <w:rFonts w:cs="Times New Roman"/>
                <w:b/>
                <w:color w:val="000000"/>
                <w:kern w:val="2"/>
                <w:sz w:val="21"/>
                <w:szCs w:val="21"/>
              </w:rPr>
            </w:pPr>
            <w:r>
              <w:rPr>
                <w:rFonts w:cs="Times New Roman"/>
                <w:b/>
                <w:color w:val="000000"/>
                <w:kern w:val="2"/>
                <w:sz w:val="21"/>
                <w:szCs w:val="21"/>
              </w:rPr>
              <w:t>序号</w:t>
            </w:r>
          </w:p>
        </w:tc>
        <w:tc>
          <w:tcPr>
            <w:tcW w:w="673" w:type="dxa"/>
            <w:vAlign w:val="center"/>
          </w:tcPr>
          <w:p>
            <w:pPr>
              <w:widowControl w:val="0"/>
              <w:snapToGrid w:val="0"/>
              <w:spacing w:line="288" w:lineRule="auto"/>
              <w:jc w:val="center"/>
              <w:rPr>
                <w:rFonts w:cs="Times New Roman"/>
                <w:b/>
                <w:color w:val="000000"/>
                <w:kern w:val="2"/>
                <w:sz w:val="21"/>
                <w:szCs w:val="21"/>
              </w:rPr>
            </w:pPr>
            <w:r>
              <w:rPr>
                <w:rFonts w:cs="Times New Roman"/>
                <w:b/>
                <w:color w:val="000000"/>
                <w:kern w:val="2"/>
                <w:sz w:val="21"/>
                <w:szCs w:val="21"/>
              </w:rPr>
              <w:t>单元名称</w:t>
            </w:r>
          </w:p>
        </w:tc>
        <w:tc>
          <w:tcPr>
            <w:tcW w:w="2552" w:type="dxa"/>
            <w:vAlign w:val="center"/>
          </w:tcPr>
          <w:p>
            <w:pPr>
              <w:widowControl w:val="0"/>
              <w:snapToGrid w:val="0"/>
              <w:spacing w:line="288" w:lineRule="auto"/>
              <w:jc w:val="center"/>
              <w:rPr>
                <w:rFonts w:cs="Times New Roman"/>
                <w:b/>
                <w:color w:val="000000"/>
                <w:kern w:val="2"/>
                <w:sz w:val="21"/>
                <w:szCs w:val="21"/>
              </w:rPr>
            </w:pPr>
            <w:r>
              <w:rPr>
                <w:rFonts w:cs="Times New Roman"/>
                <w:b/>
                <w:color w:val="000000"/>
                <w:kern w:val="2"/>
                <w:sz w:val="21"/>
                <w:szCs w:val="21"/>
              </w:rPr>
              <w:t>知识目标</w:t>
            </w:r>
          </w:p>
        </w:tc>
        <w:tc>
          <w:tcPr>
            <w:tcW w:w="1984" w:type="dxa"/>
            <w:vAlign w:val="center"/>
          </w:tcPr>
          <w:p>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技能</w:t>
            </w:r>
            <w:r>
              <w:rPr>
                <w:rFonts w:cs="Times New Roman"/>
                <w:b/>
                <w:color w:val="000000"/>
                <w:kern w:val="2"/>
                <w:sz w:val="21"/>
                <w:szCs w:val="21"/>
              </w:rPr>
              <w:t>目标</w:t>
            </w:r>
          </w:p>
        </w:tc>
        <w:tc>
          <w:tcPr>
            <w:tcW w:w="1276" w:type="dxa"/>
            <w:vAlign w:val="center"/>
          </w:tcPr>
          <w:p>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素养</w:t>
            </w:r>
            <w:r>
              <w:rPr>
                <w:rFonts w:cs="Times New Roman"/>
                <w:b/>
                <w:color w:val="000000"/>
                <w:kern w:val="2"/>
                <w:sz w:val="21"/>
                <w:szCs w:val="21"/>
              </w:rPr>
              <w:t>目标</w:t>
            </w:r>
          </w:p>
        </w:tc>
        <w:tc>
          <w:tcPr>
            <w:tcW w:w="1134" w:type="dxa"/>
          </w:tcPr>
          <w:p>
            <w:pPr>
              <w:widowControl w:val="0"/>
              <w:snapToGrid w:val="0"/>
              <w:spacing w:line="288" w:lineRule="auto"/>
              <w:jc w:val="center"/>
              <w:rPr>
                <w:rFonts w:cs="Times New Roman"/>
                <w:b/>
                <w:color w:val="000000"/>
                <w:kern w:val="2"/>
                <w:sz w:val="21"/>
                <w:szCs w:val="21"/>
              </w:rPr>
            </w:pPr>
          </w:p>
          <w:p>
            <w:pPr>
              <w:widowControl w:val="0"/>
              <w:snapToGrid w:val="0"/>
              <w:spacing w:line="288" w:lineRule="auto"/>
              <w:jc w:val="center"/>
              <w:rPr>
                <w:rFonts w:cs="Times New Roman"/>
                <w:b/>
                <w:color w:val="000000"/>
                <w:kern w:val="2"/>
                <w:sz w:val="21"/>
                <w:szCs w:val="21"/>
              </w:rPr>
            </w:pPr>
            <w:r>
              <w:rPr>
                <w:rFonts w:cs="Times New Roman"/>
                <w:b/>
                <w:color w:val="000000"/>
                <w:kern w:val="2"/>
                <w:sz w:val="21"/>
                <w:szCs w:val="21"/>
              </w:rPr>
              <w:t>教学重点与难点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1</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绪论</w:t>
            </w:r>
          </w:p>
        </w:tc>
        <w:tc>
          <w:tcPr>
            <w:tcW w:w="2552"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：管理、管理学、护理管理的相关概念、特点及特征。</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2.理解：管理的内涵及基本特征、护理管理的研究内容、不同理论模式下护理管理者角色</w:t>
            </w:r>
            <w:r>
              <w:rPr>
                <w:rFonts w:hint="eastAsia" w:cs="Times New Roman"/>
                <w:bCs/>
                <w:color w:val="000000"/>
                <w:kern w:val="2"/>
                <w:sz w:val="21"/>
                <w:szCs w:val="21"/>
              </w:rPr>
              <w:t>。</w:t>
            </w:r>
          </w:p>
          <w:p>
            <w:pPr>
              <w:widowControl w:val="0"/>
              <w:snapToGrid w:val="0"/>
              <w:spacing w:line="288" w:lineRule="auto"/>
              <w:jc w:val="both"/>
              <w:rPr>
                <w:rFonts w:cs="Times New Roman"/>
                <w:bCs/>
                <w:color w:val="000000"/>
                <w:kern w:val="2"/>
                <w:sz w:val="21"/>
                <w:szCs w:val="21"/>
              </w:rPr>
            </w:pPr>
          </w:p>
        </w:tc>
        <w:tc>
          <w:tcPr>
            <w:tcW w:w="1984"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能根据护理管理职能，结合临床实际，对护理管理者进行分析和评价</w:t>
            </w:r>
          </w:p>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能结合临床工作实际，分析影响护理管理发展的因素。</w:t>
            </w:r>
          </w:p>
        </w:tc>
        <w:tc>
          <w:tcPr>
            <w:tcW w:w="1276"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w:t>
            </w:r>
            <w:r>
              <w:rPr>
                <w:rFonts w:hint="eastAsia" w:cs="Times New Roman"/>
                <w:bCs/>
                <w:color w:val="000000"/>
                <w:kern w:val="2"/>
                <w:sz w:val="21"/>
                <w:szCs w:val="21"/>
              </w:rPr>
              <w:t>运用</w:t>
            </w:r>
            <w:r>
              <w:rPr>
                <w:rFonts w:cs="Times New Roman"/>
                <w:bCs/>
                <w:color w:val="000000"/>
                <w:kern w:val="2"/>
                <w:sz w:val="21"/>
                <w:szCs w:val="21"/>
              </w:rPr>
              <w:t>所学知识解决实际问题的意识</w:t>
            </w:r>
          </w:p>
        </w:tc>
        <w:tc>
          <w:tcPr>
            <w:tcW w:w="1134" w:type="dxa"/>
          </w:tcPr>
          <w:p>
            <w:pPr>
              <w:widowControl w:val="0"/>
              <w:jc w:val="both"/>
              <w:rPr>
                <w:rFonts w:cs="Times New Roman"/>
                <w:color w:val="000000"/>
                <w:kern w:val="2"/>
                <w:sz w:val="21"/>
                <w:szCs w:val="21"/>
              </w:rPr>
            </w:pPr>
            <w:r>
              <w:rPr>
                <w:rFonts w:cs="Times New Roman"/>
                <w:bCs/>
                <w:color w:val="000000"/>
                <w:kern w:val="2"/>
                <w:sz w:val="21"/>
                <w:szCs w:val="21"/>
              </w:rPr>
              <w:t>护理管理的管理方法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2</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管理理论和原理</w:t>
            </w:r>
          </w:p>
        </w:tc>
        <w:tc>
          <w:tcPr>
            <w:tcW w:w="2552"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：科学管理理论、管理过程理论、人际关系理论的主要内容；系统原理和人本原理的主要内容</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2.理解：古典管理理论、行为科学理论、现代管理理论的主要代表人物及主要贡献。现代管理理论的主要学派及主要内容。</w:t>
            </w:r>
          </w:p>
          <w:p>
            <w:pPr>
              <w:widowControl w:val="0"/>
              <w:snapToGrid w:val="0"/>
              <w:spacing w:line="288" w:lineRule="auto"/>
              <w:jc w:val="both"/>
              <w:rPr>
                <w:rFonts w:cs="Times New Roman"/>
                <w:bCs/>
                <w:color w:val="000000"/>
                <w:kern w:val="2"/>
                <w:sz w:val="21"/>
                <w:szCs w:val="21"/>
              </w:rPr>
            </w:pPr>
          </w:p>
        </w:tc>
        <w:tc>
          <w:tcPr>
            <w:tcW w:w="1984"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能结合护理管理实践，分析系统原理、人本原理、动态原理及效益</w:t>
            </w:r>
            <w:r>
              <w:rPr>
                <w:rFonts w:hint="eastAsia" w:cs="Times New Roman"/>
                <w:bCs/>
                <w:color w:val="000000"/>
                <w:kern w:val="2"/>
                <w:sz w:val="21"/>
                <w:szCs w:val="21"/>
              </w:rPr>
              <w:t>原理</w:t>
            </w:r>
            <w:r>
              <w:rPr>
                <w:rFonts w:cs="Times New Roman"/>
                <w:bCs/>
                <w:color w:val="000000"/>
                <w:kern w:val="2"/>
                <w:sz w:val="21"/>
                <w:szCs w:val="21"/>
              </w:rPr>
              <w:t>的主要观点。</w:t>
            </w:r>
          </w:p>
        </w:tc>
        <w:tc>
          <w:tcPr>
            <w:tcW w:w="1276"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具有运用系统原理、人本原理处理护患关系的能力。</w:t>
            </w:r>
          </w:p>
        </w:tc>
        <w:tc>
          <w:tcPr>
            <w:tcW w:w="1134" w:type="dxa"/>
          </w:tcPr>
          <w:p>
            <w:pPr>
              <w:widowControl w:val="0"/>
              <w:jc w:val="both"/>
              <w:rPr>
                <w:rFonts w:cs="Times New Roman"/>
                <w:color w:val="000000"/>
                <w:kern w:val="2"/>
                <w:sz w:val="21"/>
                <w:szCs w:val="21"/>
              </w:rPr>
            </w:pPr>
            <w:r>
              <w:rPr>
                <w:rFonts w:cs="Times New Roman"/>
                <w:bCs/>
                <w:color w:val="000000"/>
                <w:kern w:val="2"/>
                <w:sz w:val="21"/>
                <w:szCs w:val="21"/>
              </w:rPr>
              <w:t>科学管理理论、管理过程理论、人际关系理论的主要内容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3</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护理管理环境</w:t>
            </w:r>
          </w:p>
        </w:tc>
        <w:tc>
          <w:tcPr>
            <w:tcW w:w="2552"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：护理管理环境的概念及内涵、组织文化的概念、管理环境分类及特点。</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2.理解：管理环境与组织的相互作用。</w:t>
            </w:r>
          </w:p>
        </w:tc>
        <w:tc>
          <w:tcPr>
            <w:tcW w:w="1984"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能结合社会现状，分析护理需求，对护理经济环境进行管理。</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能结合临床实际，举例说明护理管理中的任务管理环境。</w:t>
            </w:r>
          </w:p>
          <w:p>
            <w:pPr>
              <w:widowControl w:val="0"/>
              <w:snapToGrid w:val="0"/>
              <w:spacing w:line="288" w:lineRule="auto"/>
              <w:jc w:val="both"/>
              <w:rPr>
                <w:rFonts w:cs="Times New Roman"/>
                <w:b/>
                <w:color w:val="000000"/>
                <w:kern w:val="2"/>
                <w:sz w:val="21"/>
                <w:szCs w:val="21"/>
              </w:rPr>
            </w:pPr>
          </w:p>
        </w:tc>
        <w:tc>
          <w:tcPr>
            <w:tcW w:w="1276"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w:t>
            </w:r>
            <w:r>
              <w:rPr>
                <w:rFonts w:hint="eastAsia" w:cs="Times New Roman"/>
                <w:bCs/>
                <w:color w:val="000000"/>
                <w:kern w:val="2"/>
                <w:sz w:val="21"/>
                <w:szCs w:val="21"/>
              </w:rPr>
              <w:t>运用</w:t>
            </w:r>
            <w:r>
              <w:rPr>
                <w:rFonts w:cs="Times New Roman"/>
                <w:bCs/>
                <w:color w:val="000000"/>
                <w:kern w:val="2"/>
                <w:sz w:val="21"/>
                <w:szCs w:val="21"/>
              </w:rPr>
              <w:t>所学知识解决实际问题的意识</w:t>
            </w:r>
          </w:p>
        </w:tc>
        <w:tc>
          <w:tcPr>
            <w:tcW w:w="1134" w:type="dxa"/>
          </w:tcPr>
          <w:p>
            <w:pPr>
              <w:widowControl w:val="0"/>
              <w:jc w:val="both"/>
              <w:rPr>
                <w:rFonts w:cs="Times New Roman"/>
                <w:color w:val="000000"/>
                <w:kern w:val="2"/>
                <w:sz w:val="21"/>
                <w:szCs w:val="21"/>
              </w:rPr>
            </w:pPr>
            <w:r>
              <w:rPr>
                <w:rFonts w:cs="Times New Roman"/>
                <w:bCs/>
                <w:color w:val="000000"/>
                <w:kern w:val="2"/>
                <w:sz w:val="21"/>
                <w:szCs w:val="21"/>
              </w:rPr>
              <w:t>护理管理环境的概念及内涵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4</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计划</w:t>
            </w:r>
          </w:p>
        </w:tc>
        <w:tc>
          <w:tcPr>
            <w:tcW w:w="2552"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：计划的概念、作用、种类及形式。目标管理的概念、特点及过程。项目管理概念、要素及过程。时间管理的概念、作用及管理方法。</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2.理解：计划在护理管理中的作用及意义。</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目标管理与项目管理的异同。</w:t>
            </w:r>
          </w:p>
          <w:p>
            <w:pPr>
              <w:widowControl w:val="0"/>
              <w:snapToGrid w:val="0"/>
              <w:spacing w:line="288" w:lineRule="auto"/>
              <w:jc w:val="both"/>
              <w:rPr>
                <w:rFonts w:cs="Times New Roman"/>
                <w:bCs/>
                <w:color w:val="000000"/>
                <w:kern w:val="2"/>
                <w:sz w:val="21"/>
                <w:szCs w:val="21"/>
              </w:rPr>
            </w:pPr>
          </w:p>
        </w:tc>
        <w:tc>
          <w:tcPr>
            <w:tcW w:w="1984"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能运用形成计划的基本步骤及方法，制定合理的护理工作计划。</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能运用时间管理方法，提升护理管理的有效性。</w:t>
            </w:r>
          </w:p>
          <w:p>
            <w:pPr>
              <w:widowControl w:val="0"/>
              <w:snapToGrid w:val="0"/>
              <w:spacing w:line="288" w:lineRule="auto"/>
              <w:jc w:val="both"/>
              <w:rPr>
                <w:rFonts w:cs="Times New Roman"/>
                <w:b/>
                <w:color w:val="000000"/>
                <w:kern w:val="2"/>
                <w:sz w:val="21"/>
                <w:szCs w:val="21"/>
              </w:rPr>
            </w:pPr>
          </w:p>
        </w:tc>
        <w:tc>
          <w:tcPr>
            <w:tcW w:w="1276"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具有结合临床护理工作实际,制定合理计划的能力。</w:t>
            </w:r>
          </w:p>
        </w:tc>
        <w:tc>
          <w:tcPr>
            <w:tcW w:w="1134" w:type="dxa"/>
          </w:tcPr>
          <w:p>
            <w:pPr>
              <w:widowControl w:val="0"/>
              <w:jc w:val="both"/>
              <w:rPr>
                <w:rFonts w:cs="Times New Roman"/>
                <w:color w:val="000000"/>
                <w:kern w:val="2"/>
                <w:sz w:val="21"/>
                <w:szCs w:val="21"/>
              </w:rPr>
            </w:pPr>
            <w:r>
              <w:rPr>
                <w:rFonts w:cs="Times New Roman"/>
                <w:bCs/>
                <w:color w:val="000000"/>
                <w:kern w:val="2"/>
                <w:sz w:val="21"/>
                <w:szCs w:val="21"/>
              </w:rPr>
              <w:t>计划的概念、作用、种类及形式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5</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组织</w:t>
            </w:r>
          </w:p>
        </w:tc>
        <w:tc>
          <w:tcPr>
            <w:tcW w:w="2552"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：组织的概念及含义、组织结构的基本类型</w:t>
            </w:r>
            <w:r>
              <w:rPr>
                <w:rFonts w:hint="eastAsia" w:cs="Times New Roman"/>
                <w:bCs/>
                <w:color w:val="000000"/>
                <w:kern w:val="2"/>
                <w:sz w:val="21"/>
                <w:szCs w:val="21"/>
              </w:rPr>
              <w:t>及</w:t>
            </w:r>
            <w:r>
              <w:rPr>
                <w:rFonts w:cs="Times New Roman"/>
                <w:bCs/>
                <w:color w:val="000000"/>
                <w:kern w:val="2"/>
                <w:sz w:val="21"/>
                <w:szCs w:val="21"/>
              </w:rPr>
              <w:t>优缺点、组织设计的原则、组织变革的概念及内容</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2.理解：组织的基本要素、正式组织与非正式组织的特点及区别</w:t>
            </w:r>
            <w:r>
              <w:rPr>
                <w:rFonts w:hint="eastAsia" w:cs="Times New Roman"/>
                <w:bCs/>
                <w:color w:val="000000"/>
                <w:kern w:val="2"/>
                <w:sz w:val="21"/>
                <w:szCs w:val="21"/>
              </w:rPr>
              <w:t>。</w:t>
            </w:r>
          </w:p>
          <w:p>
            <w:pPr>
              <w:widowControl w:val="0"/>
              <w:snapToGrid w:val="0"/>
              <w:spacing w:line="288" w:lineRule="auto"/>
              <w:jc w:val="both"/>
              <w:rPr>
                <w:rFonts w:cs="Times New Roman"/>
                <w:bCs/>
                <w:color w:val="000000"/>
                <w:kern w:val="2"/>
                <w:sz w:val="21"/>
                <w:szCs w:val="21"/>
              </w:rPr>
            </w:pPr>
          </w:p>
        </w:tc>
        <w:tc>
          <w:tcPr>
            <w:tcW w:w="1984"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能结合三级医院的业务组织机构图解释各部门的相互关系。</w:t>
            </w:r>
          </w:p>
        </w:tc>
        <w:tc>
          <w:tcPr>
            <w:tcW w:w="1276"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具有</w:t>
            </w:r>
            <w:r>
              <w:rPr>
                <w:rFonts w:hint="eastAsia" w:cs="Times New Roman"/>
                <w:bCs/>
                <w:color w:val="000000"/>
                <w:kern w:val="2"/>
                <w:sz w:val="21"/>
                <w:szCs w:val="21"/>
              </w:rPr>
              <w:t>运用</w:t>
            </w:r>
            <w:r>
              <w:rPr>
                <w:rFonts w:cs="Times New Roman"/>
                <w:bCs/>
                <w:color w:val="000000"/>
                <w:kern w:val="2"/>
                <w:sz w:val="21"/>
                <w:szCs w:val="21"/>
              </w:rPr>
              <w:t>所学知识解决实际问题的意识</w:t>
            </w:r>
          </w:p>
        </w:tc>
        <w:tc>
          <w:tcPr>
            <w:tcW w:w="1134" w:type="dxa"/>
          </w:tcPr>
          <w:p>
            <w:pPr>
              <w:widowControl w:val="0"/>
              <w:jc w:val="both"/>
              <w:rPr>
                <w:rFonts w:cs="Times New Roman"/>
                <w:bCs/>
                <w:color w:val="000000"/>
                <w:kern w:val="2"/>
                <w:sz w:val="21"/>
                <w:szCs w:val="21"/>
              </w:rPr>
            </w:pPr>
            <w:r>
              <w:rPr>
                <w:rFonts w:cs="Times New Roman"/>
                <w:bCs/>
                <w:color w:val="000000"/>
                <w:kern w:val="2"/>
                <w:sz w:val="21"/>
                <w:szCs w:val="21"/>
              </w:rPr>
              <w:t>正式组织与非正式组织的特点及区别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6</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护理人力资源管理</w:t>
            </w:r>
          </w:p>
          <w:p>
            <w:pPr>
              <w:widowControl w:val="0"/>
              <w:snapToGrid w:val="0"/>
              <w:spacing w:line="288" w:lineRule="auto"/>
              <w:jc w:val="center"/>
              <w:rPr>
                <w:rFonts w:cs="Times New Roman"/>
                <w:bCs/>
                <w:color w:val="000000"/>
                <w:kern w:val="2"/>
                <w:sz w:val="21"/>
                <w:szCs w:val="21"/>
              </w:rPr>
            </w:pPr>
          </w:p>
        </w:tc>
        <w:tc>
          <w:tcPr>
            <w:tcW w:w="2552"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：护理人力资源管理的目标和特点、护理人员编制依据、护理人员排班以及薪酬的影响因素。</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2.理解：护理人力资源管理的内容、护理人才绩效考核的原则和方法、护理人才培训的内容和途径。</w:t>
            </w:r>
          </w:p>
        </w:tc>
        <w:tc>
          <w:tcPr>
            <w:tcW w:w="1984"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能运用护理人力配置原则与方法计算护士数量。</w:t>
            </w:r>
          </w:p>
        </w:tc>
        <w:tc>
          <w:tcPr>
            <w:tcW w:w="1276"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运用所学知识设计个人的职业发展规划。</w:t>
            </w:r>
          </w:p>
        </w:tc>
        <w:tc>
          <w:tcPr>
            <w:tcW w:w="1134" w:type="dxa"/>
          </w:tcPr>
          <w:p>
            <w:pPr>
              <w:widowControl w:val="0"/>
              <w:jc w:val="both"/>
              <w:rPr>
                <w:rFonts w:cs="Times New Roman"/>
                <w:color w:val="000000"/>
                <w:kern w:val="2"/>
                <w:sz w:val="21"/>
                <w:szCs w:val="21"/>
              </w:rPr>
            </w:pPr>
            <w:r>
              <w:rPr>
                <w:rFonts w:cs="Times New Roman"/>
                <w:bCs/>
                <w:color w:val="000000"/>
                <w:kern w:val="2"/>
                <w:sz w:val="21"/>
                <w:szCs w:val="21"/>
              </w:rPr>
              <w:t>护理人员编制依据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7</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领导</w:t>
            </w:r>
          </w:p>
        </w:tc>
        <w:tc>
          <w:tcPr>
            <w:tcW w:w="2552"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：领导者影响力的分类及来源，激励、授权、压力管理的概念、授权及创新的基本步骤。</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2.理解：领导者应具备的基本素质、领导基本理论。</w:t>
            </w:r>
          </w:p>
        </w:tc>
        <w:tc>
          <w:tcPr>
            <w:tcW w:w="1984"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学会运用领导理论、艺术分析解决实际问题。</w:t>
            </w:r>
          </w:p>
          <w:p>
            <w:pPr>
              <w:widowControl w:val="0"/>
              <w:snapToGrid w:val="0"/>
              <w:spacing w:line="288" w:lineRule="auto"/>
              <w:jc w:val="both"/>
              <w:rPr>
                <w:rFonts w:cs="Times New Roman"/>
                <w:b/>
                <w:color w:val="000000"/>
                <w:kern w:val="2"/>
                <w:sz w:val="21"/>
                <w:szCs w:val="21"/>
              </w:rPr>
            </w:pPr>
          </w:p>
        </w:tc>
        <w:tc>
          <w:tcPr>
            <w:tcW w:w="1276"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具有良好护患沟通能力。</w:t>
            </w:r>
          </w:p>
          <w:p>
            <w:pPr>
              <w:widowControl w:val="0"/>
              <w:snapToGrid w:val="0"/>
              <w:spacing w:line="288" w:lineRule="auto"/>
              <w:jc w:val="both"/>
              <w:rPr>
                <w:rFonts w:cs="Times New Roman"/>
                <w:b/>
                <w:color w:val="000000"/>
                <w:kern w:val="2"/>
                <w:sz w:val="21"/>
                <w:szCs w:val="21"/>
              </w:rPr>
            </w:pPr>
          </w:p>
        </w:tc>
        <w:tc>
          <w:tcPr>
            <w:tcW w:w="1134" w:type="dxa"/>
          </w:tcPr>
          <w:p>
            <w:pPr>
              <w:widowControl w:val="0"/>
              <w:jc w:val="both"/>
              <w:rPr>
                <w:rFonts w:cs="Times New Roman"/>
                <w:color w:val="000000"/>
                <w:kern w:val="2"/>
                <w:sz w:val="21"/>
                <w:szCs w:val="21"/>
              </w:rPr>
            </w:pPr>
            <w:r>
              <w:rPr>
                <w:rFonts w:cs="Times New Roman"/>
                <w:bCs/>
                <w:color w:val="000000"/>
                <w:kern w:val="2"/>
                <w:sz w:val="21"/>
                <w:szCs w:val="21"/>
              </w:rPr>
              <w:t>授权及创新的基本步骤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8</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管理沟通与冲突</w:t>
            </w:r>
          </w:p>
        </w:tc>
        <w:tc>
          <w:tcPr>
            <w:tcW w:w="2552"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：管理沟通的概念及原则、管理沟通的类型、冲突的概念及分类。</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2.理解：管理沟通的目标及作用、影响沟通的因素、冲突的基本过程、冲突处理决策及方法。</w:t>
            </w:r>
          </w:p>
          <w:p>
            <w:pPr>
              <w:widowControl w:val="0"/>
              <w:snapToGrid w:val="0"/>
              <w:spacing w:line="288" w:lineRule="auto"/>
              <w:jc w:val="both"/>
              <w:rPr>
                <w:rFonts w:cs="Times New Roman"/>
                <w:bCs/>
                <w:color w:val="000000"/>
                <w:kern w:val="2"/>
                <w:sz w:val="21"/>
                <w:szCs w:val="21"/>
              </w:rPr>
            </w:pPr>
          </w:p>
        </w:tc>
        <w:tc>
          <w:tcPr>
            <w:tcW w:w="1984"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结合临床实际工作正确使用管理沟通方法及技巧。</w:t>
            </w:r>
          </w:p>
        </w:tc>
        <w:tc>
          <w:tcPr>
            <w:tcW w:w="1276"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具有良好的沟通能力与解决冲突的有效策略。</w:t>
            </w:r>
          </w:p>
        </w:tc>
        <w:tc>
          <w:tcPr>
            <w:tcW w:w="1134" w:type="dxa"/>
          </w:tcPr>
          <w:p>
            <w:pPr>
              <w:widowControl w:val="0"/>
              <w:jc w:val="both"/>
              <w:rPr>
                <w:rFonts w:cs="Times New Roman"/>
                <w:bCs/>
                <w:color w:val="000000"/>
                <w:kern w:val="2"/>
                <w:sz w:val="21"/>
                <w:szCs w:val="21"/>
              </w:rPr>
            </w:pPr>
            <w:r>
              <w:rPr>
                <w:rFonts w:cs="Times New Roman"/>
                <w:bCs/>
                <w:color w:val="000000"/>
                <w:kern w:val="2"/>
                <w:sz w:val="21"/>
                <w:szCs w:val="21"/>
              </w:rPr>
              <w:t>管理沟通的概念及原则、管理沟通的类型。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9</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控制</w:t>
            </w:r>
          </w:p>
        </w:tc>
        <w:tc>
          <w:tcPr>
            <w:tcW w:w="2552"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：控制的概念、控制的功能、基本原则、控制的程序及控制的方式。</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2.理解：控制在护理安全管理中的应用。</w:t>
            </w:r>
          </w:p>
        </w:tc>
        <w:tc>
          <w:tcPr>
            <w:tcW w:w="1984"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学会运用控制理论解决护理安全管理中存在的问题。</w:t>
            </w:r>
          </w:p>
        </w:tc>
        <w:tc>
          <w:tcPr>
            <w:tcW w:w="1276"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具有危机事件控制和处理的能力。</w:t>
            </w:r>
          </w:p>
        </w:tc>
        <w:tc>
          <w:tcPr>
            <w:tcW w:w="1134" w:type="dxa"/>
          </w:tcPr>
          <w:p>
            <w:pPr>
              <w:widowControl w:val="0"/>
              <w:jc w:val="both"/>
              <w:rPr>
                <w:rFonts w:cs="Times New Roman"/>
                <w:color w:val="000000"/>
                <w:kern w:val="2"/>
                <w:sz w:val="21"/>
                <w:szCs w:val="21"/>
              </w:rPr>
            </w:pPr>
            <w:r>
              <w:rPr>
                <w:rFonts w:cs="Times New Roman"/>
                <w:bCs/>
                <w:color w:val="000000"/>
                <w:kern w:val="2"/>
                <w:sz w:val="21"/>
                <w:szCs w:val="21"/>
              </w:rPr>
              <w:t>控制在护理安全管理中的应用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10</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护理质量管理</w:t>
            </w:r>
          </w:p>
        </w:tc>
        <w:tc>
          <w:tcPr>
            <w:tcW w:w="2552"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：护理质量管理的概念、原则；护理质量标准的类型；护理质量缺陷的原因及管理措施。</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2.理解：护理质量管理的任务；差错、事故的概念及分类。</w:t>
            </w:r>
          </w:p>
        </w:tc>
        <w:tc>
          <w:tcPr>
            <w:tcW w:w="1984"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学会运用PDCA循环、品管圈分析解决实际问题。</w:t>
            </w:r>
          </w:p>
        </w:tc>
        <w:tc>
          <w:tcPr>
            <w:tcW w:w="1276"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具有质量管理的意识和基本能力。</w:t>
            </w:r>
          </w:p>
          <w:p>
            <w:pPr>
              <w:widowControl w:val="0"/>
              <w:snapToGrid w:val="0"/>
              <w:spacing w:line="288" w:lineRule="auto"/>
              <w:jc w:val="both"/>
              <w:rPr>
                <w:rFonts w:cs="Times New Roman"/>
                <w:b/>
                <w:color w:val="000000"/>
                <w:kern w:val="2"/>
                <w:sz w:val="21"/>
                <w:szCs w:val="21"/>
              </w:rPr>
            </w:pPr>
          </w:p>
        </w:tc>
        <w:tc>
          <w:tcPr>
            <w:tcW w:w="1134" w:type="dxa"/>
          </w:tcPr>
          <w:p>
            <w:pPr>
              <w:widowControl w:val="0"/>
              <w:jc w:val="both"/>
              <w:rPr>
                <w:rFonts w:cs="Times New Roman"/>
                <w:color w:val="000000"/>
                <w:kern w:val="2"/>
                <w:sz w:val="21"/>
                <w:szCs w:val="21"/>
              </w:rPr>
            </w:pPr>
            <w:r>
              <w:rPr>
                <w:rFonts w:cs="Times New Roman"/>
                <w:bCs/>
                <w:color w:val="000000"/>
                <w:kern w:val="2"/>
                <w:sz w:val="21"/>
                <w:szCs w:val="21"/>
              </w:rPr>
              <w:t>护理质量缺陷的原因及管理措施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11</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护理信息管理</w:t>
            </w:r>
          </w:p>
        </w:tc>
        <w:tc>
          <w:tcPr>
            <w:tcW w:w="2552"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：信息的概念、特征；护理信息的特征、收集方法。</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2.理解：护理信息的分类及护理信息管理的措施、医院信息系统的概念、功能及构成。</w:t>
            </w:r>
          </w:p>
          <w:p>
            <w:pPr>
              <w:widowControl w:val="0"/>
              <w:snapToGrid w:val="0"/>
              <w:spacing w:line="288" w:lineRule="auto"/>
              <w:jc w:val="both"/>
              <w:rPr>
                <w:rFonts w:cs="Times New Roman"/>
                <w:bCs/>
                <w:color w:val="000000"/>
                <w:kern w:val="2"/>
                <w:sz w:val="21"/>
                <w:szCs w:val="21"/>
              </w:rPr>
            </w:pPr>
          </w:p>
        </w:tc>
        <w:tc>
          <w:tcPr>
            <w:tcW w:w="1984"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学会操作使用护理信息系统及医院信息系统。</w:t>
            </w:r>
          </w:p>
        </w:tc>
        <w:tc>
          <w:tcPr>
            <w:tcW w:w="1276"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具有对护理信息收集、分析、归纳、判断和运用的能力。</w:t>
            </w:r>
          </w:p>
        </w:tc>
        <w:tc>
          <w:tcPr>
            <w:tcW w:w="1134"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护理信息管理的措施</w:t>
            </w:r>
          </w:p>
          <w:p>
            <w:pPr>
              <w:widowControl w:val="0"/>
              <w:jc w:val="both"/>
              <w:rPr>
                <w:rFonts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456"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12</w:t>
            </w:r>
          </w:p>
        </w:tc>
        <w:tc>
          <w:tcPr>
            <w:tcW w:w="673" w:type="dxa"/>
            <w:vAlign w:val="center"/>
          </w:tcPr>
          <w:p>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护理管理与医疗卫生法律法规</w:t>
            </w:r>
          </w:p>
        </w:tc>
        <w:tc>
          <w:tcPr>
            <w:tcW w:w="2552"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：卫生法、医政法、护理法、药品不良反应、医疗事故等相关概念。</w:t>
            </w:r>
          </w:p>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2.理解：护理管理相关的</w:t>
            </w:r>
            <w:r>
              <w:rPr>
                <w:rFonts w:hint="eastAsia" w:cs="Times New Roman"/>
                <w:bCs/>
                <w:color w:val="000000"/>
                <w:kern w:val="2"/>
                <w:sz w:val="21"/>
                <w:szCs w:val="21"/>
              </w:rPr>
              <w:t>法律法规</w:t>
            </w:r>
            <w:r>
              <w:rPr>
                <w:rFonts w:cs="Times New Roman"/>
                <w:bCs/>
                <w:color w:val="000000"/>
                <w:kern w:val="2"/>
                <w:sz w:val="21"/>
                <w:szCs w:val="21"/>
              </w:rPr>
              <w:t>和政策。</w:t>
            </w:r>
          </w:p>
          <w:p>
            <w:pPr>
              <w:widowControl w:val="0"/>
              <w:snapToGrid w:val="0"/>
              <w:spacing w:line="288" w:lineRule="auto"/>
              <w:jc w:val="both"/>
              <w:rPr>
                <w:rFonts w:cs="Times New Roman"/>
                <w:bCs/>
                <w:color w:val="000000"/>
                <w:kern w:val="2"/>
                <w:sz w:val="21"/>
                <w:szCs w:val="21"/>
              </w:rPr>
            </w:pPr>
          </w:p>
        </w:tc>
        <w:tc>
          <w:tcPr>
            <w:tcW w:w="1984"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能将与护理管理相关的法律法规与临床护理管理中的具体案例、问题相结合，做到依法执业和安全执业。</w:t>
            </w:r>
          </w:p>
        </w:tc>
        <w:tc>
          <w:tcPr>
            <w:tcW w:w="1276" w:type="dxa"/>
          </w:tcPr>
          <w:p>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遵守相关法律的责任与义务。</w:t>
            </w:r>
          </w:p>
        </w:tc>
        <w:tc>
          <w:tcPr>
            <w:tcW w:w="1134" w:type="dxa"/>
          </w:tcPr>
          <w:p>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卫生法、医政法、护理法、药品不良反应、医疗事故等相关概念。</w:t>
            </w:r>
          </w:p>
          <w:p>
            <w:pPr>
              <w:widowControl w:val="0"/>
              <w:jc w:val="both"/>
              <w:rPr>
                <w:rFonts w:cs="Times New Roman"/>
                <w:color w:val="000000"/>
                <w:kern w:val="2"/>
                <w:sz w:val="21"/>
                <w:szCs w:val="21"/>
              </w:rPr>
            </w:pPr>
          </w:p>
        </w:tc>
      </w:tr>
    </w:tbl>
    <w:p>
      <w:pPr>
        <w:pStyle w:val="20"/>
        <w:spacing w:before="81" w:after="163"/>
      </w:pPr>
    </w:p>
    <w:p>
      <w:pPr>
        <w:pStyle w:val="20"/>
        <w:spacing w:before="81" w:after="163"/>
      </w:pPr>
      <w:r>
        <w:rPr>
          <w:rFonts w:hint="eastAsia"/>
        </w:rPr>
        <w:t>（二）教学单元对课程目标的支撑关系</w:t>
      </w:r>
    </w:p>
    <w:tbl>
      <w:tblPr>
        <w:tblStyle w:val="9"/>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61"/>
        <w:gridCol w:w="1024"/>
        <w:gridCol w:w="1016"/>
        <w:gridCol w:w="992"/>
        <w:gridCol w:w="895"/>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2" w:hRule="atLeast"/>
          <w:jc w:val="center"/>
        </w:trPr>
        <w:tc>
          <w:tcPr>
            <w:tcW w:w="3379" w:type="dxa"/>
            <w:tcBorders>
              <w:top w:val="single" w:color="auto" w:sz="12" w:space="0"/>
              <w:left w:val="single" w:color="auto" w:sz="12" w:space="0"/>
              <w:tl2br w:val="single" w:color="auto" w:sz="4" w:space="0"/>
            </w:tcBorders>
          </w:tcPr>
          <w:p>
            <w:pPr>
              <w:pStyle w:val="16"/>
              <w:ind w:firstLine="489"/>
              <w:jc w:val="right"/>
              <w:rPr>
                <w:szCs w:val="16"/>
              </w:rPr>
            </w:pPr>
            <w:r>
              <w:rPr>
                <w:rFonts w:hint="eastAsia"/>
                <w:szCs w:val="16"/>
              </w:rPr>
              <w:t>课程目标</w:t>
            </w:r>
          </w:p>
          <w:p>
            <w:pPr>
              <w:pStyle w:val="16"/>
              <w:ind w:right="210"/>
              <w:jc w:val="left"/>
              <w:rPr>
                <w:szCs w:val="16"/>
              </w:rPr>
            </w:pPr>
          </w:p>
          <w:p>
            <w:pPr>
              <w:pStyle w:val="16"/>
              <w:ind w:right="210"/>
              <w:jc w:val="left"/>
              <w:rPr>
                <w:szCs w:val="16"/>
              </w:rPr>
            </w:pPr>
            <w:r>
              <w:rPr>
                <w:rFonts w:hint="eastAsia"/>
                <w:szCs w:val="16"/>
              </w:rPr>
              <w:t>教学单元</w:t>
            </w:r>
          </w:p>
        </w:tc>
        <w:tc>
          <w:tcPr>
            <w:tcW w:w="1000" w:type="dxa"/>
            <w:tcBorders>
              <w:top w:val="single" w:color="auto" w:sz="12" w:space="0"/>
            </w:tcBorders>
            <w:vAlign w:val="center"/>
          </w:tcPr>
          <w:p>
            <w:pPr>
              <w:pStyle w:val="16"/>
              <w:rPr>
                <w:szCs w:val="16"/>
              </w:rPr>
            </w:pPr>
            <w:r>
              <w:rPr>
                <w:rFonts w:hint="eastAsia"/>
                <w:szCs w:val="16"/>
              </w:rPr>
              <w:t>知识目标1</w:t>
            </w:r>
          </w:p>
        </w:tc>
        <w:tc>
          <w:tcPr>
            <w:tcW w:w="992" w:type="dxa"/>
            <w:tcBorders>
              <w:top w:val="single" w:color="auto" w:sz="12" w:space="0"/>
            </w:tcBorders>
            <w:vAlign w:val="center"/>
          </w:tcPr>
          <w:p>
            <w:pPr>
              <w:pStyle w:val="16"/>
              <w:rPr>
                <w:szCs w:val="16"/>
              </w:rPr>
            </w:pPr>
            <w:r>
              <w:rPr>
                <w:rFonts w:hint="eastAsia"/>
                <w:szCs w:val="16"/>
              </w:rPr>
              <w:t>知识目标2</w:t>
            </w:r>
          </w:p>
        </w:tc>
        <w:tc>
          <w:tcPr>
            <w:tcW w:w="969" w:type="dxa"/>
            <w:tcBorders>
              <w:top w:val="single" w:color="auto" w:sz="12" w:space="0"/>
            </w:tcBorders>
            <w:vAlign w:val="center"/>
          </w:tcPr>
          <w:p>
            <w:pPr>
              <w:pStyle w:val="16"/>
              <w:rPr>
                <w:szCs w:val="16"/>
              </w:rPr>
            </w:pPr>
            <w:r>
              <w:rPr>
                <w:rFonts w:hint="eastAsia"/>
                <w:szCs w:val="16"/>
              </w:rPr>
              <w:t>技能目标1</w:t>
            </w:r>
          </w:p>
        </w:tc>
        <w:tc>
          <w:tcPr>
            <w:tcW w:w="874" w:type="dxa"/>
            <w:tcBorders>
              <w:top w:val="single" w:color="auto" w:sz="12" w:space="0"/>
            </w:tcBorders>
            <w:vAlign w:val="center"/>
          </w:tcPr>
          <w:p>
            <w:pPr>
              <w:pStyle w:val="16"/>
              <w:rPr>
                <w:szCs w:val="16"/>
              </w:rPr>
            </w:pPr>
            <w:r>
              <w:rPr>
                <w:rFonts w:hint="eastAsia"/>
                <w:szCs w:val="16"/>
              </w:rPr>
              <w:t>技能目标2</w:t>
            </w:r>
          </w:p>
        </w:tc>
        <w:tc>
          <w:tcPr>
            <w:tcW w:w="992" w:type="dxa"/>
            <w:tcBorders>
              <w:top w:val="single" w:color="auto" w:sz="12" w:space="0"/>
              <w:right w:val="single" w:color="auto" w:sz="12" w:space="0"/>
            </w:tcBorders>
            <w:vAlign w:val="center"/>
          </w:tcPr>
          <w:p>
            <w:pPr>
              <w:pStyle w:val="16"/>
              <w:rPr>
                <w:szCs w:val="16"/>
              </w:rPr>
            </w:pPr>
            <w:r>
              <w:rPr>
                <w:rFonts w:hint="eastAsia"/>
                <w:szCs w:val="16"/>
              </w:rPr>
              <w:t>素养目标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pStyle w:val="17"/>
            </w:pPr>
            <w:r>
              <w:rPr>
                <w:rFonts w:hint="eastAsia"/>
              </w:rPr>
              <w:t>第一章</w:t>
            </w:r>
            <w:r>
              <w:rPr>
                <w:rFonts w:hint="eastAsia" w:ascii="宋体" w:hAnsi="宋体"/>
              </w:rPr>
              <w:t>绪论</w:t>
            </w:r>
          </w:p>
        </w:tc>
        <w:tc>
          <w:tcPr>
            <w:tcW w:w="1000" w:type="dxa"/>
            <w:vAlign w:val="center"/>
          </w:tcPr>
          <w:p>
            <w:pPr>
              <w:pStyle w:val="17"/>
            </w:pPr>
            <w:r>
              <w:rPr>
                <w:rFonts w:hint="eastAsia"/>
              </w:rPr>
              <w:t>√</w:t>
            </w:r>
          </w:p>
        </w:tc>
        <w:tc>
          <w:tcPr>
            <w:tcW w:w="992" w:type="dxa"/>
            <w:vAlign w:val="center"/>
          </w:tcPr>
          <w:p>
            <w:pPr>
              <w:pStyle w:val="17"/>
            </w:pPr>
            <w:r>
              <w:rPr>
                <w:rFonts w:hint="eastAsia"/>
              </w:rPr>
              <w:t>√</w:t>
            </w:r>
          </w:p>
        </w:tc>
        <w:tc>
          <w:tcPr>
            <w:tcW w:w="969" w:type="dxa"/>
            <w:vAlign w:val="center"/>
          </w:tcPr>
          <w:p>
            <w:pPr>
              <w:pStyle w:val="17"/>
            </w:pPr>
          </w:p>
        </w:tc>
        <w:tc>
          <w:tcPr>
            <w:tcW w:w="874" w:type="dxa"/>
          </w:tcPr>
          <w:p>
            <w:pPr>
              <w:pStyle w:val="17"/>
            </w:pP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pStyle w:val="17"/>
            </w:pPr>
            <w:r>
              <w:rPr>
                <w:rFonts w:hint="eastAsia" w:ascii="宋体" w:hAnsi="宋体"/>
              </w:rPr>
              <w:t>第二章</w:t>
            </w:r>
            <w:r>
              <w:rPr>
                <w:rFonts w:hint="eastAsia" w:ascii="宋体" w:hAnsi="宋体"/>
                <w:color w:val="auto"/>
              </w:rPr>
              <w:t>管理理论和原理</w:t>
            </w:r>
          </w:p>
        </w:tc>
        <w:tc>
          <w:tcPr>
            <w:tcW w:w="1000" w:type="dxa"/>
            <w:vAlign w:val="center"/>
          </w:tcPr>
          <w:p>
            <w:pPr>
              <w:pStyle w:val="17"/>
            </w:pPr>
            <w:r>
              <w:rPr>
                <w:rFonts w:hint="eastAsia"/>
              </w:rPr>
              <w:t>√</w:t>
            </w:r>
          </w:p>
        </w:tc>
        <w:tc>
          <w:tcPr>
            <w:tcW w:w="992" w:type="dxa"/>
            <w:vAlign w:val="center"/>
          </w:tcPr>
          <w:p>
            <w:pPr>
              <w:pStyle w:val="17"/>
            </w:pPr>
            <w:r>
              <w:rPr>
                <w:rFonts w:hint="eastAsia"/>
              </w:rPr>
              <w:t>√</w:t>
            </w:r>
          </w:p>
        </w:tc>
        <w:tc>
          <w:tcPr>
            <w:tcW w:w="969" w:type="dxa"/>
            <w:vAlign w:val="center"/>
          </w:tcPr>
          <w:p>
            <w:pPr>
              <w:pStyle w:val="17"/>
            </w:pP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pStyle w:val="17"/>
              <w:rPr>
                <w:rFonts w:ascii="宋体" w:hAnsi="宋体"/>
              </w:rPr>
            </w:pPr>
            <w:r>
              <w:rPr>
                <w:rFonts w:hint="eastAsia" w:ascii="宋体" w:hAnsi="宋体"/>
              </w:rPr>
              <w:t>第三章</w:t>
            </w:r>
            <w:r>
              <w:rPr>
                <w:rFonts w:ascii="宋体" w:hAnsi="宋体"/>
                <w:color w:val="auto"/>
              </w:rPr>
              <w:t>护理管理环境</w:t>
            </w:r>
          </w:p>
        </w:tc>
        <w:tc>
          <w:tcPr>
            <w:tcW w:w="1000" w:type="dxa"/>
            <w:vAlign w:val="center"/>
          </w:tcPr>
          <w:p>
            <w:pPr>
              <w:pStyle w:val="17"/>
            </w:pPr>
            <w:r>
              <w:rPr>
                <w:rFonts w:hint="eastAsia"/>
              </w:rPr>
              <w:t>√</w:t>
            </w:r>
          </w:p>
        </w:tc>
        <w:tc>
          <w:tcPr>
            <w:tcW w:w="992" w:type="dxa"/>
            <w:vAlign w:val="center"/>
          </w:tcPr>
          <w:p>
            <w:pPr>
              <w:pStyle w:val="17"/>
            </w:pPr>
            <w:r>
              <w:rPr>
                <w:rFonts w:hint="eastAsia"/>
              </w:rPr>
              <w:t>√</w:t>
            </w:r>
          </w:p>
        </w:tc>
        <w:tc>
          <w:tcPr>
            <w:tcW w:w="969" w:type="dxa"/>
            <w:vAlign w:val="center"/>
          </w:tcPr>
          <w:p>
            <w:pPr>
              <w:pStyle w:val="17"/>
            </w:pPr>
            <w:r>
              <w:rPr>
                <w:rFonts w:hint="eastAsia"/>
              </w:rPr>
              <w:t>√</w:t>
            </w: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jc w:val="center"/>
              <w:rPr>
                <w:sz w:val="21"/>
                <w:szCs w:val="21"/>
              </w:rPr>
            </w:pPr>
            <w:r>
              <w:rPr>
                <w:rFonts w:hint="eastAsia"/>
                <w:sz w:val="21"/>
                <w:szCs w:val="21"/>
              </w:rPr>
              <w:t>第四章计划</w:t>
            </w:r>
          </w:p>
        </w:tc>
        <w:tc>
          <w:tcPr>
            <w:tcW w:w="1000" w:type="dxa"/>
            <w:vAlign w:val="center"/>
          </w:tcPr>
          <w:p>
            <w:pPr>
              <w:pStyle w:val="17"/>
            </w:pPr>
          </w:p>
        </w:tc>
        <w:tc>
          <w:tcPr>
            <w:tcW w:w="992" w:type="dxa"/>
            <w:vAlign w:val="center"/>
          </w:tcPr>
          <w:p>
            <w:pPr>
              <w:pStyle w:val="17"/>
            </w:pPr>
            <w:r>
              <w:rPr>
                <w:rFonts w:hint="eastAsia"/>
              </w:rPr>
              <w:t>√</w:t>
            </w:r>
          </w:p>
        </w:tc>
        <w:tc>
          <w:tcPr>
            <w:tcW w:w="969" w:type="dxa"/>
            <w:vAlign w:val="center"/>
          </w:tcPr>
          <w:p>
            <w:pPr>
              <w:pStyle w:val="17"/>
            </w:pP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jc w:val="center"/>
              <w:rPr>
                <w:sz w:val="21"/>
                <w:szCs w:val="21"/>
              </w:rPr>
            </w:pPr>
            <w:r>
              <w:rPr>
                <w:rFonts w:hint="eastAsia"/>
                <w:sz w:val="21"/>
                <w:szCs w:val="21"/>
              </w:rPr>
              <w:t>第五章组织</w:t>
            </w:r>
          </w:p>
        </w:tc>
        <w:tc>
          <w:tcPr>
            <w:tcW w:w="1000" w:type="dxa"/>
            <w:vAlign w:val="center"/>
          </w:tcPr>
          <w:p>
            <w:pPr>
              <w:pStyle w:val="17"/>
            </w:pPr>
            <w:r>
              <w:rPr>
                <w:rFonts w:hint="eastAsia"/>
              </w:rPr>
              <w:t>√</w:t>
            </w:r>
          </w:p>
        </w:tc>
        <w:tc>
          <w:tcPr>
            <w:tcW w:w="992" w:type="dxa"/>
            <w:vAlign w:val="center"/>
          </w:tcPr>
          <w:p>
            <w:pPr>
              <w:pStyle w:val="17"/>
            </w:pPr>
            <w:r>
              <w:rPr>
                <w:rFonts w:hint="eastAsia"/>
              </w:rPr>
              <w:t>√</w:t>
            </w:r>
          </w:p>
        </w:tc>
        <w:tc>
          <w:tcPr>
            <w:tcW w:w="969" w:type="dxa"/>
            <w:vAlign w:val="center"/>
          </w:tcPr>
          <w:p>
            <w:pPr>
              <w:pStyle w:val="17"/>
            </w:pPr>
            <w:r>
              <w:rPr>
                <w:rFonts w:hint="eastAsia"/>
              </w:rPr>
              <w:t>√</w:t>
            </w: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jc w:val="center"/>
              <w:rPr>
                <w:sz w:val="21"/>
                <w:szCs w:val="21"/>
              </w:rPr>
            </w:pPr>
            <w:r>
              <w:rPr>
                <w:rFonts w:hint="eastAsia"/>
                <w:sz w:val="21"/>
                <w:szCs w:val="21"/>
              </w:rPr>
              <w:t>第六章</w:t>
            </w:r>
            <w:r>
              <w:rPr>
                <w:sz w:val="21"/>
                <w:szCs w:val="21"/>
              </w:rPr>
              <w:t>护理人力资源管理</w:t>
            </w:r>
          </w:p>
        </w:tc>
        <w:tc>
          <w:tcPr>
            <w:tcW w:w="1000" w:type="dxa"/>
            <w:vAlign w:val="center"/>
          </w:tcPr>
          <w:p>
            <w:pPr>
              <w:pStyle w:val="17"/>
            </w:pPr>
            <w:r>
              <w:rPr>
                <w:rFonts w:hint="eastAsia"/>
              </w:rPr>
              <w:t>√</w:t>
            </w:r>
          </w:p>
        </w:tc>
        <w:tc>
          <w:tcPr>
            <w:tcW w:w="992" w:type="dxa"/>
            <w:vAlign w:val="center"/>
          </w:tcPr>
          <w:p>
            <w:pPr>
              <w:pStyle w:val="17"/>
            </w:pPr>
            <w:r>
              <w:rPr>
                <w:rFonts w:hint="eastAsia"/>
              </w:rPr>
              <w:t>√</w:t>
            </w:r>
          </w:p>
        </w:tc>
        <w:tc>
          <w:tcPr>
            <w:tcW w:w="969" w:type="dxa"/>
            <w:vAlign w:val="center"/>
          </w:tcPr>
          <w:p>
            <w:pPr>
              <w:pStyle w:val="17"/>
            </w:pPr>
            <w:r>
              <w:rPr>
                <w:rFonts w:hint="eastAsia"/>
              </w:rPr>
              <w:t>√</w:t>
            </w: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jc w:val="center"/>
              <w:rPr>
                <w:sz w:val="21"/>
                <w:szCs w:val="21"/>
              </w:rPr>
            </w:pPr>
            <w:r>
              <w:rPr>
                <w:rFonts w:hint="eastAsia"/>
                <w:sz w:val="21"/>
                <w:szCs w:val="21"/>
              </w:rPr>
              <w:t>第七章领导</w:t>
            </w:r>
          </w:p>
        </w:tc>
        <w:tc>
          <w:tcPr>
            <w:tcW w:w="1000" w:type="dxa"/>
            <w:vAlign w:val="center"/>
          </w:tcPr>
          <w:p>
            <w:pPr>
              <w:pStyle w:val="17"/>
            </w:pPr>
            <w:r>
              <w:rPr>
                <w:rFonts w:hint="eastAsia"/>
              </w:rPr>
              <w:t>√</w:t>
            </w:r>
          </w:p>
        </w:tc>
        <w:tc>
          <w:tcPr>
            <w:tcW w:w="992" w:type="dxa"/>
            <w:vAlign w:val="center"/>
          </w:tcPr>
          <w:p>
            <w:pPr>
              <w:pStyle w:val="17"/>
            </w:pPr>
            <w:r>
              <w:rPr>
                <w:rFonts w:hint="eastAsia"/>
              </w:rPr>
              <w:t>√</w:t>
            </w:r>
          </w:p>
        </w:tc>
        <w:tc>
          <w:tcPr>
            <w:tcW w:w="969" w:type="dxa"/>
            <w:vAlign w:val="center"/>
          </w:tcPr>
          <w:p>
            <w:pPr>
              <w:pStyle w:val="17"/>
            </w:pPr>
            <w:r>
              <w:rPr>
                <w:rFonts w:hint="eastAsia"/>
              </w:rPr>
              <w:t>√</w:t>
            </w: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jc w:val="center"/>
              <w:rPr>
                <w:sz w:val="21"/>
                <w:szCs w:val="21"/>
              </w:rPr>
            </w:pPr>
            <w:r>
              <w:rPr>
                <w:rFonts w:hint="eastAsia"/>
                <w:sz w:val="21"/>
                <w:szCs w:val="21"/>
              </w:rPr>
              <w:t>第八章</w:t>
            </w:r>
            <w:r>
              <w:rPr>
                <w:sz w:val="21"/>
                <w:szCs w:val="21"/>
              </w:rPr>
              <w:t>管理沟通与冲突</w:t>
            </w:r>
          </w:p>
        </w:tc>
        <w:tc>
          <w:tcPr>
            <w:tcW w:w="1000" w:type="dxa"/>
            <w:vAlign w:val="center"/>
          </w:tcPr>
          <w:p>
            <w:pPr>
              <w:pStyle w:val="17"/>
            </w:pPr>
            <w:r>
              <w:rPr>
                <w:rFonts w:hint="eastAsia"/>
              </w:rPr>
              <w:t>√</w:t>
            </w:r>
          </w:p>
        </w:tc>
        <w:tc>
          <w:tcPr>
            <w:tcW w:w="992" w:type="dxa"/>
            <w:vAlign w:val="center"/>
          </w:tcPr>
          <w:p>
            <w:pPr>
              <w:pStyle w:val="17"/>
            </w:pPr>
            <w:r>
              <w:rPr>
                <w:rFonts w:hint="eastAsia"/>
              </w:rPr>
              <w:t>√</w:t>
            </w:r>
          </w:p>
        </w:tc>
        <w:tc>
          <w:tcPr>
            <w:tcW w:w="969" w:type="dxa"/>
            <w:vAlign w:val="center"/>
          </w:tcPr>
          <w:p>
            <w:pPr>
              <w:pStyle w:val="17"/>
            </w:pPr>
            <w:r>
              <w:rPr>
                <w:rFonts w:hint="eastAsia"/>
              </w:rPr>
              <w:t>√</w:t>
            </w: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jc w:val="center"/>
              <w:rPr>
                <w:sz w:val="21"/>
                <w:szCs w:val="21"/>
              </w:rPr>
            </w:pPr>
            <w:r>
              <w:rPr>
                <w:rFonts w:hint="eastAsia"/>
                <w:sz w:val="21"/>
                <w:szCs w:val="21"/>
              </w:rPr>
              <w:t>第九章控制</w:t>
            </w:r>
          </w:p>
        </w:tc>
        <w:tc>
          <w:tcPr>
            <w:tcW w:w="1000" w:type="dxa"/>
            <w:vAlign w:val="center"/>
          </w:tcPr>
          <w:p>
            <w:pPr>
              <w:pStyle w:val="17"/>
            </w:pPr>
            <w:r>
              <w:rPr>
                <w:rFonts w:hint="eastAsia"/>
              </w:rPr>
              <w:t>√</w:t>
            </w:r>
          </w:p>
        </w:tc>
        <w:tc>
          <w:tcPr>
            <w:tcW w:w="992" w:type="dxa"/>
            <w:vAlign w:val="center"/>
          </w:tcPr>
          <w:p>
            <w:pPr>
              <w:pStyle w:val="17"/>
            </w:pPr>
            <w:r>
              <w:rPr>
                <w:rFonts w:hint="eastAsia"/>
              </w:rPr>
              <w:t>√</w:t>
            </w:r>
          </w:p>
        </w:tc>
        <w:tc>
          <w:tcPr>
            <w:tcW w:w="969" w:type="dxa"/>
            <w:vAlign w:val="center"/>
          </w:tcPr>
          <w:p>
            <w:pPr>
              <w:pStyle w:val="17"/>
            </w:pPr>
            <w:r>
              <w:rPr>
                <w:rFonts w:hint="eastAsia"/>
              </w:rPr>
              <w:t>√</w:t>
            </w: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pPr>
              <w:pStyle w:val="17"/>
            </w:pPr>
            <w:r>
              <w:rPr>
                <w:rFonts w:hint="eastAsia"/>
              </w:rPr>
              <w:t>第十章护理质量管理</w:t>
            </w:r>
          </w:p>
        </w:tc>
        <w:tc>
          <w:tcPr>
            <w:tcW w:w="1000" w:type="dxa"/>
            <w:vAlign w:val="center"/>
          </w:tcPr>
          <w:p>
            <w:pPr>
              <w:pStyle w:val="17"/>
            </w:pPr>
            <w:r>
              <w:rPr>
                <w:rFonts w:hint="eastAsia"/>
              </w:rPr>
              <w:t>√</w:t>
            </w:r>
          </w:p>
        </w:tc>
        <w:tc>
          <w:tcPr>
            <w:tcW w:w="992" w:type="dxa"/>
            <w:vAlign w:val="center"/>
          </w:tcPr>
          <w:p>
            <w:pPr>
              <w:pStyle w:val="17"/>
            </w:pPr>
            <w:r>
              <w:rPr>
                <w:rFonts w:hint="eastAsia"/>
              </w:rPr>
              <w:t>√</w:t>
            </w:r>
          </w:p>
        </w:tc>
        <w:tc>
          <w:tcPr>
            <w:tcW w:w="969" w:type="dxa"/>
            <w:vAlign w:val="center"/>
          </w:tcPr>
          <w:p>
            <w:pPr>
              <w:pStyle w:val="17"/>
            </w:pPr>
            <w:r>
              <w:rPr>
                <w:rFonts w:hint="eastAsia"/>
              </w:rPr>
              <w:t>√</w:t>
            </w: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bottom w:val="single" w:color="auto" w:sz="4" w:space="0"/>
            </w:tcBorders>
            <w:vAlign w:val="center"/>
          </w:tcPr>
          <w:p>
            <w:pPr>
              <w:pStyle w:val="17"/>
            </w:pPr>
            <w:r>
              <w:rPr>
                <w:rFonts w:hint="eastAsia"/>
              </w:rPr>
              <w:t>第十一章护理信息管理</w:t>
            </w:r>
          </w:p>
        </w:tc>
        <w:tc>
          <w:tcPr>
            <w:tcW w:w="1000" w:type="dxa"/>
            <w:vAlign w:val="center"/>
          </w:tcPr>
          <w:p>
            <w:pPr>
              <w:pStyle w:val="17"/>
            </w:pPr>
            <w:r>
              <w:rPr>
                <w:rFonts w:hint="eastAsia"/>
              </w:rPr>
              <w:t>√</w:t>
            </w:r>
          </w:p>
        </w:tc>
        <w:tc>
          <w:tcPr>
            <w:tcW w:w="992" w:type="dxa"/>
            <w:vAlign w:val="center"/>
          </w:tcPr>
          <w:p>
            <w:pPr>
              <w:pStyle w:val="17"/>
            </w:pPr>
            <w:r>
              <w:rPr>
                <w:rFonts w:hint="eastAsia"/>
              </w:rPr>
              <w:t>√</w:t>
            </w:r>
          </w:p>
        </w:tc>
        <w:tc>
          <w:tcPr>
            <w:tcW w:w="969" w:type="dxa"/>
            <w:vAlign w:val="center"/>
          </w:tcPr>
          <w:p>
            <w:pPr>
              <w:pStyle w:val="17"/>
            </w:pPr>
            <w:r>
              <w:rPr>
                <w:rFonts w:hint="eastAsia"/>
              </w:rPr>
              <w:t>√</w:t>
            </w:r>
          </w:p>
        </w:tc>
        <w:tc>
          <w:tcPr>
            <w:tcW w:w="874" w:type="dxa"/>
          </w:tcPr>
          <w:p>
            <w:pPr>
              <w:pStyle w:val="17"/>
            </w:pPr>
            <w:r>
              <w:rPr>
                <w:rFonts w:hint="eastAsia"/>
              </w:rPr>
              <w:t>√</w:t>
            </w:r>
          </w:p>
        </w:tc>
        <w:tc>
          <w:tcPr>
            <w:tcW w:w="992" w:type="dxa"/>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bottom w:val="single" w:color="auto" w:sz="12" w:space="0"/>
            </w:tcBorders>
            <w:vAlign w:val="center"/>
          </w:tcPr>
          <w:p>
            <w:pPr>
              <w:pStyle w:val="17"/>
            </w:pPr>
            <w:r>
              <w:rPr>
                <w:rFonts w:hint="eastAsia" w:ascii="宋体" w:hAnsi="宋体"/>
                <w:color w:val="auto"/>
              </w:rPr>
              <w:t>第十二章</w:t>
            </w:r>
            <w:r>
              <w:rPr>
                <w:rFonts w:ascii="宋体" w:hAnsi="宋体"/>
                <w:color w:val="auto"/>
              </w:rPr>
              <w:t>护理管理与医疗卫生法律法规</w:t>
            </w:r>
          </w:p>
        </w:tc>
        <w:tc>
          <w:tcPr>
            <w:tcW w:w="1000" w:type="dxa"/>
            <w:tcBorders>
              <w:bottom w:val="single" w:color="auto" w:sz="12" w:space="0"/>
            </w:tcBorders>
            <w:vAlign w:val="center"/>
          </w:tcPr>
          <w:p>
            <w:pPr>
              <w:pStyle w:val="17"/>
            </w:pPr>
            <w:r>
              <w:rPr>
                <w:rFonts w:hint="eastAsia"/>
              </w:rPr>
              <w:t>√</w:t>
            </w:r>
          </w:p>
        </w:tc>
        <w:tc>
          <w:tcPr>
            <w:tcW w:w="992" w:type="dxa"/>
            <w:tcBorders>
              <w:bottom w:val="single" w:color="auto" w:sz="12" w:space="0"/>
            </w:tcBorders>
            <w:vAlign w:val="center"/>
          </w:tcPr>
          <w:p>
            <w:pPr>
              <w:pStyle w:val="17"/>
            </w:pPr>
            <w:r>
              <w:rPr>
                <w:rFonts w:hint="eastAsia"/>
              </w:rPr>
              <w:t>√</w:t>
            </w:r>
          </w:p>
        </w:tc>
        <w:tc>
          <w:tcPr>
            <w:tcW w:w="969" w:type="dxa"/>
            <w:tcBorders>
              <w:bottom w:val="single" w:color="auto" w:sz="12" w:space="0"/>
            </w:tcBorders>
            <w:vAlign w:val="center"/>
          </w:tcPr>
          <w:p>
            <w:pPr>
              <w:pStyle w:val="17"/>
            </w:pPr>
            <w:r>
              <w:rPr>
                <w:rFonts w:hint="eastAsia"/>
              </w:rPr>
              <w:t>√</w:t>
            </w:r>
          </w:p>
        </w:tc>
        <w:tc>
          <w:tcPr>
            <w:tcW w:w="874" w:type="dxa"/>
            <w:tcBorders>
              <w:bottom w:val="single" w:color="auto" w:sz="12" w:space="0"/>
            </w:tcBorders>
            <w:vAlign w:val="center"/>
          </w:tcPr>
          <w:p>
            <w:pPr>
              <w:pStyle w:val="17"/>
            </w:pPr>
            <w:r>
              <w:rPr>
                <w:rFonts w:hint="eastAsia"/>
              </w:rPr>
              <w:t>√</w:t>
            </w:r>
          </w:p>
        </w:tc>
        <w:tc>
          <w:tcPr>
            <w:tcW w:w="992" w:type="dxa"/>
            <w:tcBorders>
              <w:bottom w:val="single" w:color="auto" w:sz="12" w:space="0"/>
              <w:right w:val="single" w:color="auto" w:sz="12" w:space="0"/>
            </w:tcBorders>
            <w:vAlign w:val="center"/>
          </w:tcPr>
          <w:p>
            <w:pPr>
              <w:pStyle w:val="17"/>
            </w:pPr>
            <w:r>
              <w:rPr>
                <w:rFonts w:hint="eastAsia"/>
              </w:rPr>
              <w:t>√</w:t>
            </w:r>
          </w:p>
        </w:tc>
      </w:tr>
    </w:tbl>
    <w:p>
      <w:pPr>
        <w:pStyle w:val="20"/>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pPr>
              <w:pStyle w:val="16"/>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pPr>
              <w:pStyle w:val="16"/>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690" w:type="dxa"/>
            <w:vMerge w:val="continue"/>
          </w:tcPr>
          <w:p>
            <w:pPr>
              <w:widowControl w:val="0"/>
              <w:snapToGrid w:val="0"/>
              <w:jc w:val="center"/>
              <w:rPr>
                <w:rFonts w:ascii="黑体" w:hAnsi="黑体" w:eastAsia="黑体"/>
                <w:bCs/>
                <w:sz w:val="21"/>
                <w:szCs w:val="21"/>
              </w:rPr>
            </w:pPr>
          </w:p>
        </w:tc>
        <w:tc>
          <w:tcPr>
            <w:tcW w:w="1697"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第一章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第二章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第三章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第四章</w:t>
            </w:r>
          </w:p>
        </w:tc>
        <w:tc>
          <w:tcPr>
            <w:tcW w:w="2690" w:type="dxa"/>
            <w:vAlign w:val="center"/>
          </w:tcPr>
          <w:p>
            <w:pPr>
              <w:widowControl w:val="0"/>
              <w:snapToGrid w:val="0"/>
              <w:jc w:val="center"/>
              <w:rPr>
                <w:sz w:val="21"/>
                <w:szCs w:val="21"/>
              </w:rPr>
            </w:pPr>
            <w:r>
              <w:rPr>
                <w:rFonts w:hint="eastAsia"/>
                <w:sz w:val="21"/>
                <w:szCs w:val="21"/>
              </w:rPr>
              <w:t>讲述法、讨论法；问题导向学习、专题讨论</w:t>
            </w:r>
          </w:p>
        </w:tc>
        <w:tc>
          <w:tcPr>
            <w:tcW w:w="1697" w:type="dxa"/>
            <w:vAlign w:val="center"/>
          </w:tcPr>
          <w:p>
            <w:pPr>
              <w:widowControl w:val="0"/>
              <w:snapToGrid w:val="0"/>
              <w:jc w:val="center"/>
              <w:rPr>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第五章</w:t>
            </w:r>
          </w:p>
        </w:tc>
        <w:tc>
          <w:tcPr>
            <w:tcW w:w="2690" w:type="dxa"/>
            <w:vAlign w:val="center"/>
          </w:tcPr>
          <w:p>
            <w:pPr>
              <w:widowControl w:val="0"/>
              <w:snapToGrid w:val="0"/>
              <w:jc w:val="center"/>
              <w:rPr>
                <w:sz w:val="21"/>
                <w:szCs w:val="21"/>
              </w:rPr>
            </w:pPr>
            <w:r>
              <w:rPr>
                <w:rFonts w:hint="eastAsia"/>
                <w:sz w:val="21"/>
                <w:szCs w:val="21"/>
              </w:rPr>
              <w:t>讲述法、讨论教学法；问题导向学习</w:t>
            </w:r>
          </w:p>
        </w:tc>
        <w:tc>
          <w:tcPr>
            <w:tcW w:w="1697" w:type="dxa"/>
            <w:vAlign w:val="center"/>
          </w:tcPr>
          <w:p>
            <w:pPr>
              <w:widowControl w:val="0"/>
              <w:snapToGrid w:val="0"/>
              <w:jc w:val="center"/>
              <w:rPr>
                <w:sz w:val="21"/>
                <w:szCs w:val="21"/>
              </w:rPr>
            </w:pPr>
            <w:r>
              <w:rPr>
                <w:rFonts w:hint="eastAsia"/>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第六章</w:t>
            </w:r>
          </w:p>
        </w:tc>
        <w:tc>
          <w:tcPr>
            <w:tcW w:w="2690" w:type="dxa"/>
            <w:vAlign w:val="center"/>
          </w:tcPr>
          <w:p>
            <w:pPr>
              <w:widowControl w:val="0"/>
              <w:snapToGrid w:val="0"/>
              <w:jc w:val="center"/>
              <w:rPr>
                <w:sz w:val="21"/>
                <w:szCs w:val="21"/>
              </w:rPr>
            </w:pPr>
            <w:r>
              <w:rPr>
                <w:rFonts w:hint="eastAsia"/>
                <w:sz w:val="21"/>
                <w:szCs w:val="21"/>
              </w:rPr>
              <w:t>讲述法、讨论法；问题导向学习、专题讨论</w:t>
            </w:r>
          </w:p>
        </w:tc>
        <w:tc>
          <w:tcPr>
            <w:tcW w:w="1697" w:type="dxa"/>
            <w:vAlign w:val="center"/>
          </w:tcPr>
          <w:p>
            <w:pPr>
              <w:widowControl w:val="0"/>
              <w:snapToGrid w:val="0"/>
              <w:jc w:val="center"/>
              <w:rPr>
                <w:color w:val="000000"/>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第七章</w:t>
            </w:r>
          </w:p>
        </w:tc>
        <w:tc>
          <w:tcPr>
            <w:tcW w:w="2690" w:type="dxa"/>
            <w:vAlign w:val="center"/>
          </w:tcPr>
          <w:p>
            <w:pPr>
              <w:widowControl w:val="0"/>
              <w:snapToGrid w:val="0"/>
              <w:jc w:val="center"/>
              <w:rPr>
                <w:sz w:val="21"/>
                <w:szCs w:val="21"/>
              </w:rPr>
            </w:pPr>
            <w:r>
              <w:rPr>
                <w:rFonts w:hint="eastAsia"/>
                <w:sz w:val="21"/>
                <w:szCs w:val="21"/>
              </w:rPr>
              <w:t>讲述法、讨论法；问题导向学习、专题讨论</w:t>
            </w:r>
          </w:p>
        </w:tc>
        <w:tc>
          <w:tcPr>
            <w:tcW w:w="1697" w:type="dxa"/>
            <w:vAlign w:val="center"/>
          </w:tcPr>
          <w:p>
            <w:pPr>
              <w:widowControl w:val="0"/>
              <w:snapToGrid w:val="0"/>
              <w:jc w:val="center"/>
              <w:rPr>
                <w:sz w:val="21"/>
                <w:szCs w:val="21"/>
              </w:rPr>
            </w:pPr>
            <w:r>
              <w:rPr>
                <w:rFonts w:hint="eastAsia"/>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第八章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00"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第九章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sz w:val="21"/>
                <w:szCs w:val="21"/>
              </w:rPr>
            </w:pPr>
            <w:r>
              <w:rPr>
                <w:rFonts w:hint="eastAsia"/>
                <w:sz w:val="21"/>
                <w:szCs w:val="21"/>
              </w:rPr>
              <w:t>纸笔测试</w:t>
            </w: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sz w:val="21"/>
                <w:szCs w:val="21"/>
              </w:rPr>
              <w:t>第十章</w:t>
            </w:r>
          </w:p>
        </w:tc>
        <w:tc>
          <w:tcPr>
            <w:tcW w:w="2690" w:type="dxa"/>
            <w:vAlign w:val="center"/>
          </w:tcPr>
          <w:p>
            <w:pPr>
              <w:widowControl w:val="0"/>
              <w:snapToGrid w:val="0"/>
              <w:jc w:val="center"/>
              <w:rPr>
                <w:sz w:val="21"/>
                <w:szCs w:val="21"/>
              </w:rPr>
            </w:pPr>
            <w:r>
              <w:rPr>
                <w:rFonts w:hint="eastAsia"/>
                <w:sz w:val="21"/>
                <w:szCs w:val="21"/>
              </w:rPr>
              <w:t>讲述法、讨论法；问题导向学习、专题讨论</w:t>
            </w:r>
          </w:p>
        </w:tc>
        <w:tc>
          <w:tcPr>
            <w:tcW w:w="1697" w:type="dxa"/>
            <w:vAlign w:val="center"/>
          </w:tcPr>
          <w:p>
            <w:pPr>
              <w:widowControl w:val="0"/>
              <w:snapToGrid w:val="0"/>
              <w:jc w:val="center"/>
              <w:rPr>
                <w:color w:val="000000"/>
                <w:sz w:val="21"/>
                <w:szCs w:val="21"/>
              </w:rPr>
            </w:pPr>
            <w:r>
              <w:rPr>
                <w:rFonts w:hint="eastAsia"/>
                <w:color w:val="000000"/>
                <w:sz w:val="21"/>
                <w:szCs w:val="21"/>
              </w:rPr>
              <w:t>纸笔测试</w:t>
            </w:r>
          </w:p>
          <w:p>
            <w:pPr>
              <w:widowControl w:val="0"/>
              <w:snapToGrid w:val="0"/>
              <w:jc w:val="center"/>
              <w:rPr>
                <w:sz w:val="21"/>
                <w:szCs w:val="21"/>
              </w:rPr>
            </w:pPr>
          </w:p>
        </w:tc>
        <w:tc>
          <w:tcPr>
            <w:tcW w:w="708" w:type="dxa"/>
            <w:vAlign w:val="center"/>
          </w:tcPr>
          <w:p>
            <w:pPr>
              <w:widowControl w:val="0"/>
              <w:snapToGrid w:val="0"/>
              <w:jc w:val="center"/>
              <w:rPr>
                <w:sz w:val="20"/>
                <w:szCs w:val="20"/>
              </w:rPr>
            </w:pPr>
            <w:r>
              <w:rPr>
                <w:sz w:val="20"/>
                <w:szCs w:val="20"/>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4</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第十一章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color w:val="000000"/>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rFonts w:hint="eastAsia"/>
                <w:sz w:val="20"/>
                <w:szCs w:val="20"/>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sz w:val="21"/>
                <w:szCs w:val="21"/>
              </w:rPr>
            </w:pPr>
            <w:r>
              <w:rPr>
                <w:rFonts w:hint="eastAsia"/>
                <w:sz w:val="21"/>
                <w:szCs w:val="21"/>
              </w:rPr>
              <w:t>第十二章</w:t>
            </w:r>
          </w:p>
        </w:tc>
        <w:tc>
          <w:tcPr>
            <w:tcW w:w="2690" w:type="dxa"/>
            <w:vAlign w:val="center"/>
          </w:tcPr>
          <w:p>
            <w:pPr>
              <w:widowControl w:val="0"/>
              <w:snapToGrid w:val="0"/>
              <w:jc w:val="center"/>
              <w:rPr>
                <w:sz w:val="21"/>
                <w:szCs w:val="21"/>
              </w:rPr>
            </w:pPr>
            <w:r>
              <w:rPr>
                <w:rFonts w:hint="eastAsia"/>
                <w:sz w:val="21"/>
                <w:szCs w:val="21"/>
              </w:rPr>
              <w:t>讲述法、讨论法；问题导向学习</w:t>
            </w:r>
          </w:p>
        </w:tc>
        <w:tc>
          <w:tcPr>
            <w:tcW w:w="1697" w:type="dxa"/>
            <w:vAlign w:val="center"/>
          </w:tcPr>
          <w:p>
            <w:pPr>
              <w:widowControl w:val="0"/>
              <w:snapToGrid w:val="0"/>
              <w:jc w:val="center"/>
              <w:rPr>
                <w:color w:val="000000"/>
                <w:sz w:val="21"/>
                <w:szCs w:val="21"/>
              </w:rPr>
            </w:pPr>
            <w:r>
              <w:rPr>
                <w:rFonts w:hint="eastAsia"/>
                <w:color w:val="000000"/>
                <w:sz w:val="21"/>
                <w:szCs w:val="21"/>
              </w:rPr>
              <w:t>纸笔测试</w:t>
            </w:r>
          </w:p>
        </w:tc>
        <w:tc>
          <w:tcPr>
            <w:tcW w:w="708" w:type="dxa"/>
            <w:vAlign w:val="center"/>
          </w:tcPr>
          <w:p>
            <w:pPr>
              <w:widowControl w:val="0"/>
              <w:snapToGrid w:val="0"/>
              <w:jc w:val="center"/>
              <w:rPr>
                <w:sz w:val="20"/>
                <w:szCs w:val="20"/>
              </w:rPr>
            </w:pPr>
            <w:r>
              <w:rPr>
                <w:rFonts w:hint="eastAsia"/>
                <w:sz w:val="20"/>
                <w:szCs w:val="20"/>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pPr>
              <w:pStyle w:val="16"/>
              <w:widowControl w:val="0"/>
            </w:pPr>
            <w:r>
              <w:rPr>
                <w:rFonts w:hint="eastAsia"/>
              </w:rPr>
              <w:t>合计</w:t>
            </w:r>
          </w:p>
        </w:tc>
        <w:tc>
          <w:tcPr>
            <w:tcW w:w="708" w:type="dxa"/>
            <w:tcBorders>
              <w:bottom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24</w:t>
            </w:r>
          </w:p>
        </w:tc>
        <w:tc>
          <w:tcPr>
            <w:tcW w:w="653" w:type="dxa"/>
            <w:tcBorders>
              <w:bottom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700"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32</w:t>
            </w:r>
          </w:p>
        </w:tc>
      </w:tr>
    </w:tbl>
    <w:p>
      <w:pPr>
        <w:pStyle w:val="20"/>
        <w:spacing w:before="326" w:beforeLines="100" w:after="163"/>
      </w:pPr>
      <w:bookmarkStart w:id="0" w:name="OLE_LINK1"/>
      <w:bookmarkStart w:id="1" w:name="OLE_LINK2"/>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6"/>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6"/>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6"/>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6"/>
              <w:rPr>
                <w:szCs w:val="16"/>
              </w:rPr>
            </w:pPr>
            <w:r>
              <w:rPr>
                <w:rFonts w:hint="eastAsia"/>
                <w:szCs w:val="16"/>
              </w:rPr>
              <w:t>实验</w:t>
            </w:r>
          </w:p>
          <w:p>
            <w:pPr>
              <w:pStyle w:val="16"/>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6"/>
              <w:rPr>
                <w:szCs w:val="16"/>
              </w:rPr>
            </w:pPr>
            <w:r>
              <w:rPr>
                <w:rFonts w:hint="eastAsia"/>
                <w:szCs w:val="16"/>
              </w:rPr>
              <w:t>实验</w:t>
            </w:r>
          </w:p>
          <w:p>
            <w:pPr>
              <w:pStyle w:val="16"/>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pPr>
            <w:r>
              <w:rPr>
                <w:rFonts w:hint="eastAsia" w:ascii="宋体" w:hAnsi="宋体" w:eastAsia="宋体" w:cs="宋体"/>
                <w:kern w:val="0"/>
                <w:sz w:val="20"/>
                <w:szCs w:val="20"/>
                <w:lang w:val="en-US" w:eastAsia="zh-CN"/>
              </w:rPr>
              <w:t>如何进行时间管理</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288" w:lineRule="auto"/>
              <w:ind w:firstLine="0"/>
              <w:rPr>
                <w:rFonts w:hint="eastAsia" w:ascii="宋体" w:eastAsia="宋体"/>
                <w:bCs/>
                <w:szCs w:val="21"/>
                <w:lang w:eastAsia="zh-CN"/>
              </w:rPr>
            </w:pPr>
            <w:r>
              <w:rPr>
                <w:rFonts w:hint="eastAsia"/>
              </w:rPr>
              <w:t>知道什么是时间管理</w:t>
            </w:r>
            <w:r>
              <w:rPr>
                <w:rFonts w:hint="eastAsia"/>
                <w:lang w:eastAsia="zh-CN"/>
              </w:rPr>
              <w:t>，</w:t>
            </w:r>
            <w:r>
              <w:rPr>
                <w:rFonts w:hint="eastAsia"/>
                <w:lang w:val="en-US" w:eastAsia="zh-CN"/>
              </w:rPr>
              <w:t>知道如何</w:t>
            </w:r>
            <w:r>
              <w:rPr>
                <w:rFonts w:hint="eastAsia"/>
                <w:lang w:eastAsia="zh-CN"/>
              </w:rPr>
              <w:t>运用时间管理方法提升自身生活、学习、工作效率。</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eastAsia="宋体"/>
                <w:lang w:eastAsia="zh-CN"/>
              </w:rPr>
            </w:pPr>
            <w:r>
              <w:rPr>
                <w:rFonts w:hint="eastAsia" w:ascii="宋体" w:hAnsi="宋体"/>
                <w:sz w:val="20"/>
                <w:szCs w:val="20"/>
                <w:lang w:eastAsia="zh-CN"/>
              </w:rPr>
              <w:t>2</w:t>
            </w:r>
          </w:p>
        </w:tc>
        <w:tc>
          <w:tcPr>
            <w:tcW w:w="928" w:type="dxa"/>
            <w:vAlign w:val="center"/>
          </w:tcPr>
          <w:p>
            <w:pPr>
              <w:pStyle w:val="17"/>
              <w:ind w:firstLine="210" w:firstLineChars="100"/>
              <w:jc w:val="both"/>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pPr>
            <w:r>
              <w:rPr>
                <w:rFonts w:hint="eastAsia" w:ascii="宋体" w:hAnsi="宋体" w:eastAsia="宋体" w:cs="宋体"/>
                <w:kern w:val="0"/>
                <w:sz w:val="20"/>
                <w:szCs w:val="20"/>
                <w:lang w:val="en-US" w:eastAsia="zh-CN"/>
              </w:rPr>
              <w:t>我的</w:t>
            </w:r>
            <w:r>
              <w:rPr>
                <w:rFonts w:hint="eastAsia" w:ascii="宋体" w:hAnsi="宋体" w:eastAsia="宋体" w:cs="宋体"/>
                <w:kern w:val="0"/>
                <w:sz w:val="20"/>
                <w:szCs w:val="20"/>
                <w:lang w:eastAsia="zh-CN"/>
              </w:rPr>
              <w:t>职业生涯</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left"/>
              <w:rPr>
                <w:rFonts w:hint="eastAsia" w:eastAsia="宋体"/>
                <w:lang w:eastAsia="zh-CN"/>
              </w:rPr>
            </w:pPr>
            <w:r>
              <w:rPr>
                <w:rFonts w:hint="eastAsia"/>
                <w:lang w:val="en-US" w:eastAsia="zh-CN"/>
              </w:rPr>
              <w:t>知道</w:t>
            </w:r>
            <w:r>
              <w:rPr>
                <w:rFonts w:hint="eastAsia"/>
              </w:rPr>
              <w:t>职业生涯管理</w:t>
            </w:r>
            <w:r>
              <w:rPr>
                <w:rFonts w:hint="eastAsia"/>
                <w:lang w:val="en-US" w:eastAsia="zh-CN"/>
              </w:rPr>
              <w:t>的意义，</w:t>
            </w:r>
            <w:r>
              <w:rPr>
                <w:rFonts w:hint="eastAsia"/>
              </w:rPr>
              <w:t>能运用职业生涯发展理论、原则、方法设计个人职业发展规划</w:t>
            </w:r>
            <w:r>
              <w:rPr>
                <w:rFonts w:hint="eastAsia"/>
                <w:lang w:eastAsia="zh-CN"/>
              </w:rPr>
              <w:t>。</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eastAsia="宋体"/>
                <w:lang w:val="en-US" w:eastAsia="zh-CN"/>
              </w:rPr>
            </w:pPr>
            <w:r>
              <w:rPr>
                <w:rFonts w:hint="eastAsia" w:ascii="宋体" w:hAnsi="宋体"/>
                <w:sz w:val="20"/>
                <w:szCs w:val="20"/>
                <w:lang w:val="en-US" w:eastAsia="zh-CN"/>
              </w:rPr>
              <w:t>2</w:t>
            </w:r>
          </w:p>
        </w:tc>
        <w:tc>
          <w:tcPr>
            <w:tcW w:w="928" w:type="dxa"/>
            <w:vAlign w:val="center"/>
          </w:tcPr>
          <w:p>
            <w:pPr>
              <w:pStyle w:val="17"/>
              <w:ind w:firstLine="210" w:firstLineChars="100"/>
              <w:jc w:val="left"/>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rPr>
                <w:rFonts w:hint="eastAsia" w:eastAsia="宋体"/>
                <w:lang w:val="en-US" w:eastAsia="zh-CN"/>
              </w:rPr>
            </w:pPr>
            <w:r>
              <w:rPr>
                <w:rFonts w:hint="eastAsia"/>
                <w:lang w:val="en-US" w:eastAsia="zh-CN"/>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宋体" w:hAnsi="宋体"/>
              </w:rPr>
            </w:pPr>
            <w:r>
              <w:rPr>
                <w:rFonts w:hint="eastAsia" w:ascii="宋体" w:hAnsi="宋体" w:eastAsia="宋体" w:cs="宋体"/>
                <w:kern w:val="0"/>
                <w:sz w:val="20"/>
                <w:szCs w:val="20"/>
                <w:lang w:val="en-US" w:eastAsia="zh-CN"/>
              </w:rPr>
              <w:t>如何进行有效沟通</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left"/>
              <w:rPr>
                <w:rFonts w:hint="eastAsia" w:ascii="宋体" w:hAnsi="宋体"/>
                <w:color w:val="auto"/>
              </w:rPr>
            </w:pPr>
            <w:r>
              <w:rPr>
                <w:rFonts w:hint="eastAsia" w:ascii="宋体" w:hAnsi="宋体"/>
                <w:szCs w:val="21"/>
                <w:lang w:val="en-US" w:eastAsia="zh-CN"/>
              </w:rPr>
              <w:t>知道</w:t>
            </w:r>
            <w:r>
              <w:rPr>
                <w:rFonts w:hint="eastAsia" w:ascii="宋体" w:hAnsi="宋体"/>
                <w:szCs w:val="21"/>
              </w:rPr>
              <w:t>影响有效管理沟通的因素、冲突处理策略及方法</w:t>
            </w:r>
            <w:r>
              <w:rPr>
                <w:rFonts w:hint="eastAsia" w:ascii="宋体" w:hAnsi="宋体"/>
                <w:szCs w:val="21"/>
                <w:lang w:eastAsia="zh-CN"/>
              </w:rPr>
              <w:t>，</w:t>
            </w:r>
            <w:r>
              <w:rPr>
                <w:rFonts w:hint="eastAsia" w:ascii="宋体" w:hAnsi="宋体"/>
                <w:szCs w:val="21"/>
              </w:rPr>
              <w:t>能正确使用管理沟通方法及技巧。</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宋体" w:hAnsi="宋体" w:eastAsia="宋体"/>
                <w:sz w:val="20"/>
                <w:szCs w:val="20"/>
                <w:lang w:val="en-US" w:eastAsia="zh-CN"/>
              </w:rPr>
            </w:pPr>
            <w:r>
              <w:rPr>
                <w:rFonts w:hint="eastAsia" w:ascii="宋体" w:hAnsi="宋体"/>
                <w:sz w:val="20"/>
                <w:szCs w:val="20"/>
                <w:lang w:val="en-US" w:eastAsia="zh-CN"/>
              </w:rPr>
              <w:t>2</w:t>
            </w:r>
          </w:p>
        </w:tc>
        <w:tc>
          <w:tcPr>
            <w:tcW w:w="928" w:type="dxa"/>
            <w:vAlign w:val="center"/>
          </w:tcPr>
          <w:p>
            <w:pPr>
              <w:pStyle w:val="17"/>
              <w:ind w:firstLine="210" w:firstLineChars="100"/>
              <w:jc w:val="left"/>
              <w:rPr>
                <w:rFonts w:hint="eastAsia"/>
              </w:rPr>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rPr>
                <w:rFonts w:hint="eastAsia" w:eastAsia="宋体"/>
                <w:lang w:val="en-US" w:eastAsia="zh-CN"/>
              </w:rPr>
            </w:pPr>
            <w:r>
              <w:rPr>
                <w:rFonts w:hint="eastAsia"/>
                <w:lang w:val="en-US" w:eastAsia="zh-CN"/>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宋体" w:hAnsi="宋体"/>
              </w:rPr>
            </w:pPr>
            <w:r>
              <w:rPr>
                <w:rFonts w:hint="eastAsia" w:ascii="宋体" w:hAnsi="宋体" w:eastAsia="宋体" w:cs="宋体"/>
                <w:kern w:val="0"/>
                <w:sz w:val="20"/>
                <w:szCs w:val="20"/>
                <w:lang w:val="en-US" w:eastAsia="zh-CN"/>
              </w:rPr>
              <w:t>假如我是护士长，如何开展质量管理？</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left"/>
              <w:rPr>
                <w:rFonts w:hint="eastAsia" w:ascii="宋体" w:hAnsi="宋体"/>
                <w:color w:val="auto"/>
              </w:rPr>
            </w:pPr>
            <w:r>
              <w:rPr>
                <w:rFonts w:hint="eastAsia" w:ascii="宋体" w:hAnsi="宋体"/>
                <w:color w:val="auto"/>
                <w:lang w:val="en-US" w:eastAsia="zh-CN"/>
              </w:rPr>
              <w:t>知道</w:t>
            </w:r>
            <w:r>
              <w:rPr>
                <w:rFonts w:hint="eastAsia" w:ascii="宋体" w:hAnsi="宋体"/>
                <w:color w:val="auto"/>
              </w:rPr>
              <w:t>护理质量管理的概念、过程和方法。</w:t>
            </w:r>
          </w:p>
          <w:p>
            <w:pPr>
              <w:pStyle w:val="17"/>
              <w:jc w:val="left"/>
              <w:rPr>
                <w:rFonts w:hint="eastAsia" w:ascii="宋体" w:hAnsi="宋体" w:eastAsia="宋体"/>
                <w:color w:val="auto"/>
                <w:lang w:eastAsia="zh-CN"/>
              </w:rPr>
            </w:pPr>
            <w:r>
              <w:rPr>
                <w:rFonts w:hint="eastAsia" w:ascii="宋体" w:hAnsi="宋体"/>
                <w:color w:val="auto"/>
              </w:rPr>
              <w:t>能正确运用PDCA循环制订护理质量管理方案</w:t>
            </w:r>
            <w:r>
              <w:rPr>
                <w:rFonts w:hint="eastAsia" w:ascii="宋体" w:hAnsi="宋体"/>
                <w:color w:val="auto"/>
                <w:lang w:eastAsia="zh-CN"/>
              </w:rPr>
              <w:t>。</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宋体" w:hAnsi="宋体" w:eastAsia="宋体"/>
                <w:sz w:val="20"/>
                <w:szCs w:val="20"/>
                <w:lang w:val="en-US" w:eastAsia="zh-CN"/>
              </w:rPr>
            </w:pPr>
            <w:r>
              <w:rPr>
                <w:rFonts w:hint="eastAsia" w:ascii="宋体" w:hAnsi="宋体"/>
                <w:sz w:val="20"/>
                <w:szCs w:val="20"/>
                <w:lang w:val="en-US" w:eastAsia="zh-CN"/>
              </w:rPr>
              <w:t>2</w:t>
            </w:r>
          </w:p>
        </w:tc>
        <w:tc>
          <w:tcPr>
            <w:tcW w:w="928" w:type="dxa"/>
            <w:vAlign w:val="center"/>
          </w:tcPr>
          <w:p>
            <w:pPr>
              <w:pStyle w:val="17"/>
              <w:ind w:firstLine="210" w:firstLineChars="100"/>
              <w:jc w:val="left"/>
              <w:rPr>
                <w:rFonts w:hint="eastAsia"/>
              </w:rPr>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9"/>
        <w:spacing w:before="326" w:beforeLines="100" w:line="360" w:lineRule="auto"/>
        <w:ind w:firstLine="140" w:firstLineChars="50"/>
        <w:rPr>
          <w:rFonts w:ascii="黑体" w:hAnsi="宋体"/>
        </w:rPr>
      </w:pPr>
      <w:r>
        <w:rPr>
          <w:rFonts w:hint="eastAsia" w:ascii="黑体" w:hAnsi="宋体"/>
        </w:rPr>
        <w:t>四、课程思政教学设计</w:t>
      </w:r>
    </w:p>
    <w:bookmarkEnd w:id="0"/>
    <w:bookmarkEnd w:id="1"/>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pStyle w:val="17"/>
              <w:widowControl w:val="0"/>
              <w:jc w:val="left"/>
            </w:pPr>
            <w: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7"/>
              <w:widowControl w:val="0"/>
              <w:jc w:val="left"/>
            </w:pPr>
            <w:r>
              <w:rPr>
                <w:rFonts w:hint="eastAsia"/>
              </w:rPr>
              <w:t>④</w:t>
            </w:r>
            <w:r>
              <w:rPr>
                <w:rFonts w:hint="eastAsia"/>
                <w:color w:val="auto"/>
              </w:rPr>
              <w:t>诚信尽责</w:t>
            </w:r>
            <w:r>
              <w:rPr>
                <w:rFonts w:hint="eastAsia"/>
              </w:rPr>
              <w:t xml:space="preserve">，为人诚实，信守承诺，勤奋努力，精益求精，勇于担责。具有科学精神、慎独修养、严谨求实的工作态度和符合职业道德标准的职业行为。 </w:t>
            </w:r>
          </w:p>
          <w:p>
            <w:pPr>
              <w:pStyle w:val="17"/>
              <w:widowControl w:val="0"/>
              <w:jc w:val="left"/>
            </w:pPr>
            <w:r>
              <w:rPr>
                <w:rFonts w:hint="eastAsia"/>
              </w:rPr>
              <w:t>教学设计：“课程思政”引导方式要坚持灌输与渗透相结合、显性教育与隐性教育相结合的原则。灌输与渗透相结合就是坚持春风化雨的方式，通过不同的选择，从被动、自发的学习转向主动、自觉的学习，主动将之付诸实践。通过隐性渗透、寓道德教育于课程之中，通过润物细无声、滴水穿石的方式，实现显性教育与隐性教育的有机结合。</w:t>
            </w:r>
          </w:p>
          <w:p>
            <w:pPr>
              <w:pStyle w:val="17"/>
              <w:widowControl w:val="0"/>
              <w:jc w:val="left"/>
            </w:pPr>
            <w:r>
              <w:rPr>
                <w:rFonts w:hint="eastAsia"/>
              </w:rPr>
              <w:t>考核方式：</w:t>
            </w:r>
            <w:r>
              <w:t>1. 考勤、学习态度</w:t>
            </w:r>
            <w:r>
              <w:rPr>
                <w:rFonts w:hint="eastAsia"/>
              </w:rPr>
              <w:t>；</w:t>
            </w:r>
            <w:r>
              <w:t>2. 课堂表现</w:t>
            </w:r>
            <w:r>
              <w:rPr>
                <w:rFonts w:hint="eastAsia"/>
              </w:rPr>
              <w:t>；3</w:t>
            </w:r>
            <w:r>
              <w:rPr>
                <w:rFonts w:hint="eastAsia"/>
                <w:lang w:val="en-US" w:eastAsia="zh-CN"/>
              </w:rPr>
              <w:t>.</w:t>
            </w:r>
            <w:r>
              <w:rPr>
                <w:rFonts w:hint="eastAsia"/>
              </w:rPr>
              <w:t>作业完成情况</w:t>
            </w:r>
          </w:p>
        </w:tc>
      </w:tr>
    </w:tbl>
    <w:p>
      <w:pPr>
        <w:pStyle w:val="19"/>
        <w:spacing w:before="326" w:beforeLines="100" w:line="360" w:lineRule="auto"/>
        <w:rPr>
          <w:rFonts w:ascii="黑体" w:hAnsi="宋体"/>
        </w:rPr>
      </w:pPr>
      <w:r>
        <w:rPr>
          <w:rFonts w:hint="eastAsia" w:ascii="黑体" w:hAnsi="宋体"/>
        </w:rPr>
        <w:t>五、课程考核</w:t>
      </w:r>
      <w:bookmarkStart w:id="2" w:name="OLE_LINK4"/>
      <w:bookmarkStart w:id="3" w:name="OLE_LINK3"/>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58"/>
        <w:gridCol w:w="2518"/>
        <w:gridCol w:w="655"/>
        <w:gridCol w:w="655"/>
        <w:gridCol w:w="655"/>
        <w:gridCol w:w="655"/>
        <w:gridCol w:w="6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58" w:type="dxa"/>
            <w:vMerge w:val="restart"/>
            <w:tcBorders>
              <w:top w:val="single" w:color="auto" w:sz="12" w:space="0"/>
            </w:tcBorders>
            <w:vAlign w:val="center"/>
          </w:tcPr>
          <w:p>
            <w:pPr>
              <w:pStyle w:val="19"/>
              <w:widowControl w:val="0"/>
              <w:spacing w:line="240" w:lineRule="auto"/>
              <w:jc w:val="center"/>
              <w:rPr>
                <w:rFonts w:ascii="黑体" w:hAnsi="宋体"/>
              </w:rPr>
            </w:pPr>
            <w:r>
              <w:rPr>
                <w:rFonts w:hint="eastAsia" w:ascii="黑体" w:hAnsi="黑体"/>
                <w:bCs/>
                <w:sz w:val="21"/>
                <w:szCs w:val="21"/>
              </w:rPr>
              <w:t>占比</w:t>
            </w:r>
          </w:p>
        </w:tc>
        <w:tc>
          <w:tcPr>
            <w:tcW w:w="2518" w:type="dxa"/>
            <w:vMerge w:val="restart"/>
            <w:tcBorders>
              <w:top w:val="single" w:color="auto" w:sz="12" w:space="0"/>
              <w:right w:val="double" w:color="auto" w:sz="4" w:space="0"/>
            </w:tcBorders>
            <w:vAlign w:val="center"/>
          </w:tcPr>
          <w:p>
            <w:pPr>
              <w:pStyle w:val="19"/>
              <w:widowControl w:val="0"/>
              <w:jc w:val="center"/>
              <w:rPr>
                <w:rFonts w:ascii="黑体" w:hAnsi="黑体"/>
                <w:bCs/>
                <w:sz w:val="21"/>
                <w:szCs w:val="21"/>
              </w:rPr>
            </w:pPr>
            <w:r>
              <w:rPr>
                <w:rFonts w:hint="eastAsia" w:ascii="黑体" w:hAnsi="黑体"/>
                <w:bCs/>
                <w:sz w:val="21"/>
                <w:szCs w:val="21"/>
              </w:rPr>
              <w:t>考核方式</w:t>
            </w:r>
          </w:p>
        </w:tc>
        <w:tc>
          <w:tcPr>
            <w:tcW w:w="3275" w:type="dxa"/>
            <w:gridSpan w:val="5"/>
            <w:tcBorders>
              <w:top w:val="single" w:color="auto" w:sz="12" w:space="0"/>
              <w:left w:val="double" w:color="auto" w:sz="4" w:space="0"/>
            </w:tcBorders>
            <w:vAlign w:val="center"/>
          </w:tcPr>
          <w:p>
            <w:pPr>
              <w:pStyle w:val="19"/>
              <w:widowControl w:val="0"/>
              <w:spacing w:line="240" w:lineRule="auto"/>
              <w:jc w:val="center"/>
              <w:rPr>
                <w:rFonts w:ascii="黑体" w:hAnsi="宋体"/>
              </w:rPr>
            </w:pPr>
            <w:r>
              <w:rPr>
                <w:rFonts w:hint="eastAsia" w:ascii="黑体" w:hAnsi="黑体"/>
                <w:bCs/>
                <w:sz w:val="21"/>
                <w:szCs w:val="21"/>
              </w:rPr>
              <w:t>课程目标</w:t>
            </w:r>
          </w:p>
        </w:tc>
        <w:tc>
          <w:tcPr>
            <w:tcW w:w="755" w:type="dxa"/>
            <w:vMerge w:val="restart"/>
            <w:tcBorders>
              <w:top w:val="single" w:color="auto" w:sz="12" w:space="0"/>
              <w:right w:val="single" w:color="auto" w:sz="12" w:space="0"/>
            </w:tcBorders>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58" w:type="dxa"/>
            <w:vMerge w:val="continue"/>
          </w:tcPr>
          <w:p>
            <w:pPr>
              <w:pStyle w:val="19"/>
              <w:widowControl w:val="0"/>
              <w:jc w:val="both"/>
              <w:rPr>
                <w:rFonts w:ascii="黑体" w:hAnsi="黑体"/>
                <w:bCs/>
                <w:sz w:val="21"/>
                <w:szCs w:val="21"/>
              </w:rPr>
            </w:pPr>
          </w:p>
        </w:tc>
        <w:tc>
          <w:tcPr>
            <w:tcW w:w="2518" w:type="dxa"/>
            <w:vMerge w:val="continue"/>
            <w:tcBorders>
              <w:right w:val="double" w:color="auto" w:sz="4" w:space="0"/>
            </w:tcBorders>
          </w:tcPr>
          <w:p>
            <w:pPr>
              <w:pStyle w:val="19"/>
              <w:widowControl w:val="0"/>
              <w:jc w:val="both"/>
              <w:rPr>
                <w:rFonts w:ascii="黑体" w:hAnsi="黑体"/>
                <w:bCs/>
                <w:sz w:val="21"/>
                <w:szCs w:val="21"/>
              </w:rPr>
            </w:pPr>
          </w:p>
        </w:tc>
        <w:tc>
          <w:tcPr>
            <w:tcW w:w="655" w:type="dxa"/>
            <w:tcBorders>
              <w:left w:val="double" w:color="auto" w:sz="4" w:space="0"/>
            </w:tcBorders>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1</w:t>
            </w:r>
          </w:p>
        </w:tc>
        <w:tc>
          <w:tcPr>
            <w:tcW w:w="655" w:type="dxa"/>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2</w:t>
            </w:r>
          </w:p>
        </w:tc>
        <w:tc>
          <w:tcPr>
            <w:tcW w:w="655" w:type="dxa"/>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3</w:t>
            </w:r>
          </w:p>
        </w:tc>
        <w:tc>
          <w:tcPr>
            <w:tcW w:w="655" w:type="dxa"/>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4</w:t>
            </w:r>
          </w:p>
        </w:tc>
        <w:tc>
          <w:tcPr>
            <w:tcW w:w="655" w:type="dxa"/>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5</w:t>
            </w:r>
          </w:p>
        </w:tc>
        <w:tc>
          <w:tcPr>
            <w:tcW w:w="755" w:type="dxa"/>
            <w:vMerge w:val="continue"/>
            <w:tcBorders>
              <w:right w:val="single" w:color="auto" w:sz="12" w:space="0"/>
            </w:tcBorders>
          </w:tcPr>
          <w:p>
            <w:pPr>
              <w:pStyle w:val="19"/>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top"/>
          </w:tcPr>
          <w:p>
            <w:pPr>
              <w:widowControl/>
              <w:spacing w:line="360" w:lineRule="auto"/>
              <w:jc w:val="center"/>
              <w:rPr>
                <w:rFonts w:ascii="Arial" w:hAnsi="Arial" w:eastAsia="黑体" w:cs="Arial"/>
                <w:bCs/>
                <w:sz w:val="21"/>
                <w:szCs w:val="21"/>
              </w:rPr>
            </w:pPr>
            <w:r>
              <w:rPr>
                <w:rFonts w:hint="eastAsia" w:ascii="宋体" w:hAnsi="宋体" w:eastAsia="宋体" w:cs="宋体"/>
                <w:kern w:val="0"/>
                <w:sz w:val="21"/>
                <w:szCs w:val="21"/>
              </w:rPr>
              <w:t>X1</w:t>
            </w:r>
          </w:p>
        </w:tc>
        <w:tc>
          <w:tcPr>
            <w:tcW w:w="758" w:type="dxa"/>
            <w:vAlign w:val="center"/>
          </w:tcPr>
          <w:p>
            <w:pPr>
              <w:widowControl/>
              <w:spacing w:line="360" w:lineRule="auto"/>
              <w:jc w:val="center"/>
            </w:pPr>
            <w:r>
              <w:rPr>
                <w:rFonts w:hint="eastAsia" w:ascii="宋体" w:hAnsi="宋体" w:eastAsia="宋体" w:cs="宋体"/>
                <w:kern w:val="0"/>
                <w:sz w:val="21"/>
                <w:szCs w:val="21"/>
              </w:rPr>
              <w:t>40%</w:t>
            </w:r>
          </w:p>
        </w:tc>
        <w:tc>
          <w:tcPr>
            <w:tcW w:w="2518" w:type="dxa"/>
            <w:tcBorders>
              <w:right w:val="double" w:color="auto" w:sz="4" w:space="0"/>
            </w:tcBorders>
            <w:vAlign w:val="center"/>
          </w:tcPr>
          <w:p>
            <w:pPr>
              <w:pStyle w:val="8"/>
              <w:keepNext w:val="0"/>
              <w:keepLines w:val="0"/>
              <w:widowControl/>
              <w:suppressLineNumbers w:val="0"/>
              <w:jc w:val="center"/>
            </w:pPr>
            <w:r>
              <w:rPr>
                <w:rFonts w:hint="eastAsia" w:ascii="宋体" w:hAnsi="宋体" w:eastAsia="宋体" w:cs="宋体"/>
                <w:b w:val="0"/>
                <w:bCs/>
                <w:color w:val="000000"/>
                <w:sz w:val="21"/>
                <w:szCs w:val="21"/>
              </w:rPr>
              <w:t>期末随堂测试</w:t>
            </w:r>
          </w:p>
        </w:tc>
        <w:tc>
          <w:tcPr>
            <w:tcW w:w="655" w:type="dxa"/>
            <w:tcBorders>
              <w:left w:val="double" w:color="auto" w:sz="4" w:space="0"/>
            </w:tcBorders>
            <w:vAlign w:val="center"/>
          </w:tcPr>
          <w:p>
            <w:pPr>
              <w:pStyle w:val="17"/>
              <w:widowControl w:val="0"/>
            </w:pPr>
            <w:r>
              <w:t>10</w:t>
            </w:r>
          </w:p>
        </w:tc>
        <w:tc>
          <w:tcPr>
            <w:tcW w:w="655" w:type="dxa"/>
            <w:vAlign w:val="center"/>
          </w:tcPr>
          <w:p>
            <w:pPr>
              <w:pStyle w:val="17"/>
              <w:widowControl w:val="0"/>
            </w:pPr>
            <w:r>
              <w:t>20</w:t>
            </w:r>
          </w:p>
        </w:tc>
        <w:tc>
          <w:tcPr>
            <w:tcW w:w="655" w:type="dxa"/>
            <w:vAlign w:val="center"/>
          </w:tcPr>
          <w:p>
            <w:pPr>
              <w:pStyle w:val="17"/>
              <w:widowControl w:val="0"/>
            </w:pPr>
            <w:r>
              <w:rPr>
                <w:rFonts w:hint="eastAsia"/>
              </w:rPr>
              <w:t>2</w:t>
            </w:r>
            <w:r>
              <w:t>0</w:t>
            </w:r>
          </w:p>
        </w:tc>
        <w:tc>
          <w:tcPr>
            <w:tcW w:w="655" w:type="dxa"/>
            <w:vAlign w:val="center"/>
          </w:tcPr>
          <w:p>
            <w:pPr>
              <w:pStyle w:val="17"/>
              <w:widowControl w:val="0"/>
            </w:pPr>
            <w:r>
              <w:t>20</w:t>
            </w:r>
          </w:p>
        </w:tc>
        <w:tc>
          <w:tcPr>
            <w:tcW w:w="655" w:type="dxa"/>
            <w:vAlign w:val="center"/>
          </w:tcPr>
          <w:p>
            <w:pPr>
              <w:pStyle w:val="17"/>
              <w:widowControl w:val="0"/>
            </w:pPr>
            <w:r>
              <w:t>30</w:t>
            </w:r>
          </w:p>
        </w:tc>
        <w:tc>
          <w:tcPr>
            <w:tcW w:w="755" w:type="dxa"/>
            <w:tcBorders>
              <w:right w:val="single" w:color="auto" w:sz="12" w:space="0"/>
            </w:tcBorders>
            <w:vAlign w:val="center"/>
          </w:tcPr>
          <w:p>
            <w:pPr>
              <w:pStyle w:val="17"/>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top"/>
          </w:tcPr>
          <w:p>
            <w:pPr>
              <w:widowControl/>
              <w:spacing w:line="360" w:lineRule="auto"/>
              <w:jc w:val="center"/>
              <w:rPr>
                <w:rFonts w:ascii="Arial" w:hAnsi="Arial" w:eastAsia="黑体" w:cs="Arial"/>
                <w:bCs/>
                <w:sz w:val="21"/>
                <w:szCs w:val="21"/>
              </w:rPr>
            </w:pPr>
            <w:r>
              <w:rPr>
                <w:rFonts w:hint="eastAsia" w:ascii="宋体" w:hAnsi="宋体" w:eastAsia="宋体" w:cs="宋体"/>
                <w:kern w:val="0"/>
                <w:sz w:val="21"/>
                <w:szCs w:val="21"/>
              </w:rPr>
              <w:t>X2</w:t>
            </w:r>
          </w:p>
        </w:tc>
        <w:tc>
          <w:tcPr>
            <w:tcW w:w="758" w:type="dxa"/>
            <w:vAlign w:val="center"/>
          </w:tcPr>
          <w:p>
            <w:pPr>
              <w:widowControl/>
              <w:spacing w:line="360" w:lineRule="auto"/>
              <w:jc w:val="center"/>
            </w:pPr>
            <w:r>
              <w:rPr>
                <w:rFonts w:hint="eastAsia" w:cs="宋体"/>
                <w:kern w:val="0"/>
                <w:sz w:val="21"/>
                <w:szCs w:val="21"/>
                <w:lang w:val="en-US" w:eastAsia="zh-CN"/>
              </w:rPr>
              <w:t>3</w:t>
            </w:r>
            <w:r>
              <w:rPr>
                <w:rFonts w:hint="eastAsia" w:ascii="宋体" w:hAnsi="宋体" w:eastAsia="宋体" w:cs="宋体"/>
                <w:kern w:val="0"/>
                <w:sz w:val="21"/>
                <w:szCs w:val="21"/>
              </w:rPr>
              <w:t>0%</w:t>
            </w:r>
          </w:p>
        </w:tc>
        <w:tc>
          <w:tcPr>
            <w:tcW w:w="2518" w:type="dxa"/>
            <w:tcBorders>
              <w:right w:val="double" w:color="auto" w:sz="4" w:space="0"/>
            </w:tcBorders>
            <w:vAlign w:val="center"/>
          </w:tcPr>
          <w:p>
            <w:pPr>
              <w:pStyle w:val="8"/>
              <w:keepNext w:val="0"/>
              <w:keepLines w:val="0"/>
              <w:widowControl/>
              <w:suppressLineNumbers w:val="0"/>
              <w:jc w:val="center"/>
            </w:pPr>
            <w:r>
              <w:rPr>
                <w:rFonts w:hint="eastAsia" w:ascii="宋体" w:hAnsi="宋体" w:eastAsia="宋体" w:cs="宋体"/>
                <w:b w:val="0"/>
                <w:bCs/>
                <w:color w:val="000000"/>
                <w:sz w:val="21"/>
                <w:szCs w:val="21"/>
              </w:rPr>
              <w:t>单元测验</w:t>
            </w:r>
          </w:p>
        </w:tc>
        <w:tc>
          <w:tcPr>
            <w:tcW w:w="655" w:type="dxa"/>
            <w:tcBorders>
              <w:left w:val="double" w:color="auto" w:sz="4" w:space="0"/>
            </w:tcBorders>
            <w:vAlign w:val="center"/>
          </w:tcPr>
          <w:p>
            <w:pPr>
              <w:pStyle w:val="17"/>
              <w:widowControl w:val="0"/>
            </w:pPr>
            <w:r>
              <w:t>40</w:t>
            </w:r>
          </w:p>
        </w:tc>
        <w:tc>
          <w:tcPr>
            <w:tcW w:w="655" w:type="dxa"/>
            <w:vAlign w:val="center"/>
          </w:tcPr>
          <w:p>
            <w:pPr>
              <w:pStyle w:val="17"/>
              <w:widowControl w:val="0"/>
            </w:pPr>
            <w:r>
              <w:t>30</w:t>
            </w:r>
          </w:p>
        </w:tc>
        <w:tc>
          <w:tcPr>
            <w:tcW w:w="655" w:type="dxa"/>
            <w:vAlign w:val="center"/>
          </w:tcPr>
          <w:p>
            <w:pPr>
              <w:pStyle w:val="17"/>
              <w:widowControl w:val="0"/>
            </w:pPr>
            <w:r>
              <w:t>30</w:t>
            </w:r>
          </w:p>
        </w:tc>
        <w:tc>
          <w:tcPr>
            <w:tcW w:w="655" w:type="dxa"/>
            <w:vAlign w:val="center"/>
          </w:tcPr>
          <w:p>
            <w:pPr>
              <w:pStyle w:val="17"/>
              <w:widowControl w:val="0"/>
            </w:pPr>
          </w:p>
        </w:tc>
        <w:tc>
          <w:tcPr>
            <w:tcW w:w="655" w:type="dxa"/>
            <w:vAlign w:val="center"/>
          </w:tcPr>
          <w:p>
            <w:pPr>
              <w:pStyle w:val="17"/>
              <w:widowControl w:val="0"/>
            </w:pPr>
          </w:p>
        </w:tc>
        <w:tc>
          <w:tcPr>
            <w:tcW w:w="755" w:type="dxa"/>
            <w:tcBorders>
              <w:right w:val="single" w:color="auto" w:sz="12" w:space="0"/>
            </w:tcBorders>
            <w:vAlign w:val="center"/>
          </w:tcPr>
          <w:p>
            <w:pPr>
              <w:pStyle w:val="17"/>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top"/>
          </w:tcPr>
          <w:p>
            <w:pPr>
              <w:widowControl/>
              <w:spacing w:line="360" w:lineRule="auto"/>
              <w:jc w:val="center"/>
              <w:rPr>
                <w:rFonts w:ascii="Arial" w:hAnsi="Arial" w:eastAsia="黑体" w:cs="Arial"/>
                <w:bCs/>
                <w:sz w:val="21"/>
                <w:szCs w:val="21"/>
              </w:rPr>
            </w:pPr>
            <w:r>
              <w:rPr>
                <w:rFonts w:hint="eastAsia" w:ascii="宋体" w:hAnsi="宋体" w:eastAsia="宋体" w:cs="宋体"/>
                <w:kern w:val="0"/>
                <w:sz w:val="21"/>
                <w:szCs w:val="21"/>
              </w:rPr>
              <w:t>X3</w:t>
            </w:r>
          </w:p>
        </w:tc>
        <w:tc>
          <w:tcPr>
            <w:tcW w:w="758" w:type="dxa"/>
            <w:vAlign w:val="center"/>
          </w:tcPr>
          <w:p>
            <w:pPr>
              <w:widowControl/>
              <w:spacing w:line="360" w:lineRule="auto"/>
              <w:jc w:val="center"/>
            </w:pPr>
            <w:r>
              <w:rPr>
                <w:rFonts w:hint="eastAsia" w:ascii="宋体" w:hAnsi="宋体" w:eastAsia="宋体" w:cs="宋体"/>
                <w:kern w:val="0"/>
                <w:sz w:val="21"/>
                <w:szCs w:val="21"/>
              </w:rPr>
              <w:t>20%</w:t>
            </w:r>
          </w:p>
        </w:tc>
        <w:tc>
          <w:tcPr>
            <w:tcW w:w="2518" w:type="dxa"/>
            <w:tcBorders>
              <w:right w:val="double" w:color="auto" w:sz="4" w:space="0"/>
            </w:tcBorders>
            <w:vAlign w:val="center"/>
          </w:tcPr>
          <w:p>
            <w:pPr>
              <w:pStyle w:val="8"/>
              <w:keepNext w:val="0"/>
              <w:keepLines w:val="0"/>
              <w:widowControl/>
              <w:suppressLineNumbers w:val="0"/>
              <w:jc w:val="center"/>
            </w:pPr>
            <w:r>
              <w:rPr>
                <w:rFonts w:hint="eastAsia" w:ascii="宋体" w:hAnsi="宋体" w:eastAsia="宋体" w:cs="宋体"/>
                <w:b w:val="0"/>
                <w:bCs/>
                <w:color w:val="000000"/>
                <w:sz w:val="21"/>
                <w:szCs w:val="21"/>
              </w:rPr>
              <w:t>案例分析</w:t>
            </w:r>
          </w:p>
        </w:tc>
        <w:tc>
          <w:tcPr>
            <w:tcW w:w="655" w:type="dxa"/>
            <w:tcBorders>
              <w:left w:val="double" w:color="auto" w:sz="4" w:space="0"/>
            </w:tcBorders>
            <w:vAlign w:val="center"/>
          </w:tcPr>
          <w:p>
            <w:pPr>
              <w:pStyle w:val="17"/>
              <w:widowControl w:val="0"/>
            </w:pPr>
          </w:p>
        </w:tc>
        <w:tc>
          <w:tcPr>
            <w:tcW w:w="655" w:type="dxa"/>
            <w:vAlign w:val="center"/>
          </w:tcPr>
          <w:p>
            <w:pPr>
              <w:pStyle w:val="17"/>
              <w:widowControl w:val="0"/>
            </w:pPr>
            <w:r>
              <w:rPr>
                <w:rFonts w:hint="eastAsia"/>
              </w:rPr>
              <w:t>2</w:t>
            </w:r>
            <w:r>
              <w:t>0</w:t>
            </w:r>
          </w:p>
        </w:tc>
        <w:tc>
          <w:tcPr>
            <w:tcW w:w="655" w:type="dxa"/>
            <w:vAlign w:val="center"/>
          </w:tcPr>
          <w:p>
            <w:pPr>
              <w:pStyle w:val="17"/>
              <w:widowControl w:val="0"/>
            </w:pPr>
            <w:r>
              <w:t>20</w:t>
            </w:r>
          </w:p>
        </w:tc>
        <w:tc>
          <w:tcPr>
            <w:tcW w:w="655" w:type="dxa"/>
            <w:vAlign w:val="center"/>
          </w:tcPr>
          <w:p>
            <w:pPr>
              <w:pStyle w:val="17"/>
              <w:widowControl w:val="0"/>
            </w:pPr>
            <w:r>
              <w:t>20</w:t>
            </w:r>
          </w:p>
        </w:tc>
        <w:tc>
          <w:tcPr>
            <w:tcW w:w="655" w:type="dxa"/>
            <w:vAlign w:val="center"/>
          </w:tcPr>
          <w:p>
            <w:pPr>
              <w:pStyle w:val="17"/>
              <w:widowControl w:val="0"/>
            </w:pPr>
            <w:r>
              <w:t>40</w:t>
            </w:r>
          </w:p>
        </w:tc>
        <w:tc>
          <w:tcPr>
            <w:tcW w:w="755" w:type="dxa"/>
            <w:tcBorders>
              <w:right w:val="single" w:color="auto" w:sz="12" w:space="0"/>
            </w:tcBorders>
            <w:vAlign w:val="center"/>
          </w:tcPr>
          <w:p>
            <w:pPr>
              <w:pStyle w:val="17"/>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bottom w:val="single" w:color="auto" w:sz="12" w:space="0"/>
            </w:tcBorders>
            <w:vAlign w:val="top"/>
          </w:tcPr>
          <w:p>
            <w:pPr>
              <w:widowControl/>
              <w:spacing w:line="360" w:lineRule="auto"/>
              <w:jc w:val="center"/>
              <w:rPr>
                <w:rFonts w:ascii="Arial" w:hAnsi="Arial" w:eastAsia="黑体" w:cs="Arial"/>
                <w:bCs/>
                <w:sz w:val="21"/>
                <w:szCs w:val="21"/>
              </w:rPr>
            </w:pPr>
            <w:r>
              <w:rPr>
                <w:rFonts w:hint="eastAsia" w:ascii="宋体" w:hAnsi="宋体" w:eastAsia="宋体" w:cs="宋体"/>
                <w:kern w:val="0"/>
                <w:sz w:val="21"/>
                <w:szCs w:val="21"/>
              </w:rPr>
              <w:t>X</w:t>
            </w:r>
            <w:r>
              <w:rPr>
                <w:rFonts w:hint="eastAsia" w:ascii="宋体" w:hAnsi="宋体" w:eastAsia="宋体" w:cs="宋体"/>
                <w:kern w:val="0"/>
                <w:sz w:val="21"/>
                <w:szCs w:val="21"/>
                <w:lang w:val="en-US" w:eastAsia="zh-CN"/>
              </w:rPr>
              <w:t>4</w:t>
            </w:r>
          </w:p>
        </w:tc>
        <w:tc>
          <w:tcPr>
            <w:tcW w:w="758" w:type="dxa"/>
            <w:tcBorders>
              <w:bottom w:val="single" w:color="auto" w:sz="12" w:space="0"/>
            </w:tcBorders>
            <w:vAlign w:val="center"/>
          </w:tcPr>
          <w:p>
            <w:pPr>
              <w:widowControl/>
              <w:spacing w:line="360" w:lineRule="auto"/>
              <w:jc w:val="center"/>
            </w:pPr>
            <w:r>
              <w:rPr>
                <w:rFonts w:hint="eastAsia" w:ascii="宋体" w:hAnsi="宋体" w:eastAsia="宋体" w:cs="宋体"/>
                <w:kern w:val="0"/>
                <w:sz w:val="21"/>
                <w:szCs w:val="21"/>
              </w:rPr>
              <w:t>10%</w:t>
            </w:r>
          </w:p>
        </w:tc>
        <w:tc>
          <w:tcPr>
            <w:tcW w:w="2518" w:type="dxa"/>
            <w:tcBorders>
              <w:bottom w:val="single" w:color="auto" w:sz="12" w:space="0"/>
              <w:right w:val="double" w:color="auto" w:sz="4" w:space="0"/>
            </w:tcBorders>
            <w:vAlign w:val="center"/>
          </w:tcPr>
          <w:p>
            <w:pPr>
              <w:pStyle w:val="8"/>
              <w:keepNext w:val="0"/>
              <w:keepLines w:val="0"/>
              <w:widowControl/>
              <w:suppressLineNumbers w:val="0"/>
              <w:jc w:val="center"/>
            </w:pPr>
            <w:r>
              <w:rPr>
                <w:rFonts w:hint="eastAsia" w:ascii="宋体" w:hAnsi="宋体" w:eastAsia="宋体" w:cs="宋体"/>
                <w:b w:val="0"/>
                <w:bCs/>
                <w:color w:val="000000"/>
                <w:sz w:val="21"/>
                <w:szCs w:val="21"/>
              </w:rPr>
              <w:t>课堂提问</w:t>
            </w:r>
          </w:p>
        </w:tc>
        <w:tc>
          <w:tcPr>
            <w:tcW w:w="655" w:type="dxa"/>
            <w:tcBorders>
              <w:left w:val="double" w:color="auto" w:sz="4" w:space="0"/>
              <w:bottom w:val="single" w:color="auto" w:sz="12" w:space="0"/>
            </w:tcBorders>
            <w:vAlign w:val="center"/>
          </w:tcPr>
          <w:p>
            <w:pPr>
              <w:pStyle w:val="17"/>
              <w:widowControl w:val="0"/>
            </w:pPr>
          </w:p>
        </w:tc>
        <w:tc>
          <w:tcPr>
            <w:tcW w:w="655" w:type="dxa"/>
            <w:tcBorders>
              <w:bottom w:val="single" w:color="auto" w:sz="12" w:space="0"/>
            </w:tcBorders>
            <w:vAlign w:val="center"/>
          </w:tcPr>
          <w:p>
            <w:pPr>
              <w:pStyle w:val="17"/>
              <w:widowControl w:val="0"/>
            </w:pPr>
          </w:p>
        </w:tc>
        <w:tc>
          <w:tcPr>
            <w:tcW w:w="655" w:type="dxa"/>
            <w:tcBorders>
              <w:bottom w:val="single" w:color="auto" w:sz="12" w:space="0"/>
            </w:tcBorders>
            <w:vAlign w:val="center"/>
          </w:tcPr>
          <w:p>
            <w:pPr>
              <w:pStyle w:val="17"/>
              <w:widowControl w:val="0"/>
            </w:pPr>
            <w:r>
              <w:t>30</w:t>
            </w:r>
          </w:p>
        </w:tc>
        <w:tc>
          <w:tcPr>
            <w:tcW w:w="655" w:type="dxa"/>
            <w:tcBorders>
              <w:bottom w:val="single" w:color="auto" w:sz="12" w:space="0"/>
            </w:tcBorders>
            <w:vAlign w:val="center"/>
          </w:tcPr>
          <w:p>
            <w:pPr>
              <w:pStyle w:val="17"/>
              <w:widowControl w:val="0"/>
            </w:pPr>
            <w:r>
              <w:t>30</w:t>
            </w:r>
          </w:p>
        </w:tc>
        <w:tc>
          <w:tcPr>
            <w:tcW w:w="655" w:type="dxa"/>
            <w:tcBorders>
              <w:bottom w:val="single" w:color="auto" w:sz="12" w:space="0"/>
            </w:tcBorders>
            <w:vAlign w:val="center"/>
          </w:tcPr>
          <w:p>
            <w:pPr>
              <w:pStyle w:val="17"/>
              <w:widowControl w:val="0"/>
            </w:pPr>
            <w:r>
              <w:t>40</w:t>
            </w:r>
          </w:p>
        </w:tc>
        <w:tc>
          <w:tcPr>
            <w:tcW w:w="755" w:type="dxa"/>
            <w:tcBorders>
              <w:bottom w:val="single" w:color="auto" w:sz="12" w:space="0"/>
              <w:right w:val="single" w:color="auto" w:sz="12" w:space="0"/>
            </w:tcBorders>
            <w:vAlign w:val="center"/>
          </w:tcPr>
          <w:p>
            <w:pPr>
              <w:pStyle w:val="17"/>
              <w:widowControl w:val="0"/>
            </w:pPr>
            <w:r>
              <w:rPr>
                <w:rFonts w:hint="eastAsia"/>
              </w:rPr>
              <w:t>1</w:t>
            </w:r>
            <w:r>
              <w:t>00</w:t>
            </w:r>
          </w:p>
        </w:tc>
      </w:tr>
      <w:bookmarkEnd w:id="2"/>
      <w:bookmarkEnd w:id="3"/>
    </w:tbl>
    <w:p>
      <w:pPr>
        <w:pStyle w:val="20"/>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9"/>
              <w:widowControl w:val="0"/>
              <w:jc w:val="both"/>
              <w:rPr>
                <w:rFonts w:ascii="黑体" w:hAnsi="黑体"/>
                <w:bCs/>
                <w:sz w:val="21"/>
                <w:szCs w:val="21"/>
              </w:rPr>
            </w:pPr>
          </w:p>
        </w:tc>
        <w:tc>
          <w:tcPr>
            <w:tcW w:w="1403" w:type="dxa"/>
            <w:vMerge w:val="continue"/>
          </w:tcPr>
          <w:p>
            <w:pPr>
              <w:pStyle w:val="19"/>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7"/>
              <w:widowControl w:val="0"/>
              <w:jc w:val="both"/>
            </w:pPr>
          </w:p>
        </w:tc>
        <w:tc>
          <w:tcPr>
            <w:tcW w:w="1403" w:type="dxa"/>
          </w:tcPr>
          <w:p>
            <w:pPr>
              <w:pStyle w:val="17"/>
              <w:widowControl w:val="0"/>
              <w:jc w:val="both"/>
            </w:pPr>
          </w:p>
        </w:tc>
        <w:tc>
          <w:tcPr>
            <w:tcW w:w="1403" w:type="dxa"/>
          </w:tcPr>
          <w:p>
            <w:pPr>
              <w:pStyle w:val="17"/>
              <w:widowControl w:val="0"/>
              <w:jc w:val="both"/>
            </w:pPr>
          </w:p>
        </w:tc>
        <w:tc>
          <w:tcPr>
            <w:tcW w:w="1403" w:type="dxa"/>
          </w:tcPr>
          <w:p>
            <w:pPr>
              <w:pStyle w:val="8"/>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9"/>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7"/>
              <w:widowControl w:val="0"/>
              <w:jc w:val="left"/>
              <w:rPr>
                <w:rFonts w:ascii="仿宋" w:hAnsi="仿宋" w:eastAsia="仿宋" w:cs="仿宋"/>
              </w:rPr>
            </w:pPr>
          </w:p>
          <w:p>
            <w:pPr>
              <w:pStyle w:val="17"/>
              <w:widowControl w:val="0"/>
              <w:jc w:val="left"/>
              <w:rPr>
                <w:rFonts w:hint="eastAsia" w:ascii="宋体" w:hAnsi="宋体" w:eastAsia="宋体"/>
                <w:bCs/>
                <w:lang w:val="en-US" w:eastAsia="zh-CN"/>
              </w:rPr>
            </w:pPr>
            <w:r>
              <w:rPr>
                <w:rFonts w:hint="eastAsia" w:ascii="宋体" w:hAnsi="宋体"/>
                <w:bCs/>
                <w:lang w:val="en-US" w:eastAsia="zh-CN"/>
              </w:rPr>
              <w:t>无</w:t>
            </w:r>
          </w:p>
          <w:p>
            <w:pPr>
              <w:pStyle w:val="17"/>
              <w:widowControl w:val="0"/>
              <w:jc w:val="left"/>
              <w:rPr>
                <w:rFonts w:ascii="黑体"/>
              </w:rPr>
            </w:pPr>
          </w:p>
        </w:tc>
      </w:tr>
    </w:tbl>
    <w:p>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915B9"/>
    <w:multiLevelType w:val="multilevel"/>
    <w:tmpl w:val="0D2915B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ZDY5N2E3ZDBhZjA4MGVkNjI5MWE1YjQzN2UwNDUifQ=="/>
  </w:docVars>
  <w:rsids>
    <w:rsidRoot w:val="00B7651F"/>
    <w:rsid w:val="000177B9"/>
    <w:rsid w:val="00017B8F"/>
    <w:rsid w:val="000203E0"/>
    <w:rsid w:val="000210E0"/>
    <w:rsid w:val="000244B1"/>
    <w:rsid w:val="00033082"/>
    <w:rsid w:val="00044088"/>
    <w:rsid w:val="00053590"/>
    <w:rsid w:val="0006001D"/>
    <w:rsid w:val="000644A3"/>
    <w:rsid w:val="00066041"/>
    <w:rsid w:val="000662F5"/>
    <w:rsid w:val="00076794"/>
    <w:rsid w:val="0008122A"/>
    <w:rsid w:val="00087488"/>
    <w:rsid w:val="0009050A"/>
    <w:rsid w:val="0009476E"/>
    <w:rsid w:val="0009721F"/>
    <w:rsid w:val="000A4E73"/>
    <w:rsid w:val="000B1BD2"/>
    <w:rsid w:val="000B5E44"/>
    <w:rsid w:val="000B62FF"/>
    <w:rsid w:val="000C0F0D"/>
    <w:rsid w:val="000C1233"/>
    <w:rsid w:val="000C13BC"/>
    <w:rsid w:val="000C1752"/>
    <w:rsid w:val="000D1A86"/>
    <w:rsid w:val="000D28E5"/>
    <w:rsid w:val="000D34D7"/>
    <w:rsid w:val="000D40E1"/>
    <w:rsid w:val="000E3403"/>
    <w:rsid w:val="000E3709"/>
    <w:rsid w:val="000F5A72"/>
    <w:rsid w:val="00100633"/>
    <w:rsid w:val="001072BC"/>
    <w:rsid w:val="00111250"/>
    <w:rsid w:val="00114BD6"/>
    <w:rsid w:val="00117076"/>
    <w:rsid w:val="0012259A"/>
    <w:rsid w:val="00122B14"/>
    <w:rsid w:val="0012396B"/>
    <w:rsid w:val="00125717"/>
    <w:rsid w:val="00130F6D"/>
    <w:rsid w:val="00133554"/>
    <w:rsid w:val="00134AAA"/>
    <w:rsid w:val="00144082"/>
    <w:rsid w:val="0015258E"/>
    <w:rsid w:val="0016381F"/>
    <w:rsid w:val="00163A48"/>
    <w:rsid w:val="00164E36"/>
    <w:rsid w:val="001678A2"/>
    <w:rsid w:val="00182AA6"/>
    <w:rsid w:val="00183AA1"/>
    <w:rsid w:val="0018767C"/>
    <w:rsid w:val="001930F2"/>
    <w:rsid w:val="001A135C"/>
    <w:rsid w:val="001A668C"/>
    <w:rsid w:val="001B0D49"/>
    <w:rsid w:val="001B546F"/>
    <w:rsid w:val="001C0F80"/>
    <w:rsid w:val="001C16FC"/>
    <w:rsid w:val="001C2E3E"/>
    <w:rsid w:val="001C388D"/>
    <w:rsid w:val="001D5E3D"/>
    <w:rsid w:val="001E0494"/>
    <w:rsid w:val="001E1D2D"/>
    <w:rsid w:val="001E5A17"/>
    <w:rsid w:val="001F284E"/>
    <w:rsid w:val="001F332E"/>
    <w:rsid w:val="0020688A"/>
    <w:rsid w:val="002104B4"/>
    <w:rsid w:val="0021393C"/>
    <w:rsid w:val="00217861"/>
    <w:rsid w:val="002204E4"/>
    <w:rsid w:val="002211BF"/>
    <w:rsid w:val="002319E2"/>
    <w:rsid w:val="00233F15"/>
    <w:rsid w:val="002420F1"/>
    <w:rsid w:val="00245CC1"/>
    <w:rsid w:val="00246816"/>
    <w:rsid w:val="002521FB"/>
    <w:rsid w:val="00253AC8"/>
    <w:rsid w:val="00253CCF"/>
    <w:rsid w:val="00256B39"/>
    <w:rsid w:val="0026033C"/>
    <w:rsid w:val="00262361"/>
    <w:rsid w:val="00264AE4"/>
    <w:rsid w:val="0027339A"/>
    <w:rsid w:val="00274E82"/>
    <w:rsid w:val="002757AB"/>
    <w:rsid w:val="0027777C"/>
    <w:rsid w:val="00277FE7"/>
    <w:rsid w:val="00285AA2"/>
    <w:rsid w:val="002877FA"/>
    <w:rsid w:val="00287C29"/>
    <w:rsid w:val="00290962"/>
    <w:rsid w:val="0029110B"/>
    <w:rsid w:val="0029259E"/>
    <w:rsid w:val="00294E36"/>
    <w:rsid w:val="002A3501"/>
    <w:rsid w:val="002A4649"/>
    <w:rsid w:val="002A5465"/>
    <w:rsid w:val="002A7227"/>
    <w:rsid w:val="002B0773"/>
    <w:rsid w:val="002B0C48"/>
    <w:rsid w:val="002B13CA"/>
    <w:rsid w:val="002B3650"/>
    <w:rsid w:val="002B7322"/>
    <w:rsid w:val="002C1676"/>
    <w:rsid w:val="002C58B6"/>
    <w:rsid w:val="002D0E86"/>
    <w:rsid w:val="002D3F7D"/>
    <w:rsid w:val="002D6899"/>
    <w:rsid w:val="002D7C47"/>
    <w:rsid w:val="002E33CE"/>
    <w:rsid w:val="002E3721"/>
    <w:rsid w:val="002E3FA4"/>
    <w:rsid w:val="002E6F95"/>
    <w:rsid w:val="002E764D"/>
    <w:rsid w:val="002E7A06"/>
    <w:rsid w:val="002F3157"/>
    <w:rsid w:val="002F6BD5"/>
    <w:rsid w:val="003025FD"/>
    <w:rsid w:val="00302C4E"/>
    <w:rsid w:val="00305F23"/>
    <w:rsid w:val="00313BBA"/>
    <w:rsid w:val="00317E29"/>
    <w:rsid w:val="00321515"/>
    <w:rsid w:val="0032602E"/>
    <w:rsid w:val="0032676F"/>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874"/>
    <w:rsid w:val="003B1258"/>
    <w:rsid w:val="003B4A81"/>
    <w:rsid w:val="003B732D"/>
    <w:rsid w:val="003C1F8D"/>
    <w:rsid w:val="003C61A5"/>
    <w:rsid w:val="003D1968"/>
    <w:rsid w:val="003D4994"/>
    <w:rsid w:val="003E10A5"/>
    <w:rsid w:val="003E26EF"/>
    <w:rsid w:val="003E67AE"/>
    <w:rsid w:val="003E72BC"/>
    <w:rsid w:val="003E7D72"/>
    <w:rsid w:val="003F2774"/>
    <w:rsid w:val="003F3923"/>
    <w:rsid w:val="003F43F6"/>
    <w:rsid w:val="003F4D30"/>
    <w:rsid w:val="003F7CF7"/>
    <w:rsid w:val="004019DB"/>
    <w:rsid w:val="00402B67"/>
    <w:rsid w:val="00403C91"/>
    <w:rsid w:val="0040433E"/>
    <w:rsid w:val="00404974"/>
    <w:rsid w:val="0040726A"/>
    <w:rsid w:val="004100B0"/>
    <w:rsid w:val="0041267F"/>
    <w:rsid w:val="00413AA0"/>
    <w:rsid w:val="00417636"/>
    <w:rsid w:val="00422579"/>
    <w:rsid w:val="00424BA5"/>
    <w:rsid w:val="00425431"/>
    <w:rsid w:val="00431829"/>
    <w:rsid w:val="00437B60"/>
    <w:rsid w:val="004405E6"/>
    <w:rsid w:val="00443C84"/>
    <w:rsid w:val="00443C89"/>
    <w:rsid w:val="004540AA"/>
    <w:rsid w:val="00456BD8"/>
    <w:rsid w:val="00456DC8"/>
    <w:rsid w:val="0046549D"/>
    <w:rsid w:val="00471668"/>
    <w:rsid w:val="004743C8"/>
    <w:rsid w:val="00476A70"/>
    <w:rsid w:val="00481F98"/>
    <w:rsid w:val="004852BF"/>
    <w:rsid w:val="00487A46"/>
    <w:rsid w:val="00493504"/>
    <w:rsid w:val="00494579"/>
    <w:rsid w:val="00496F07"/>
    <w:rsid w:val="00497334"/>
    <w:rsid w:val="004A4645"/>
    <w:rsid w:val="004A5DB5"/>
    <w:rsid w:val="004A6F3A"/>
    <w:rsid w:val="004B00F0"/>
    <w:rsid w:val="004B29AC"/>
    <w:rsid w:val="004B408D"/>
    <w:rsid w:val="004B40E2"/>
    <w:rsid w:val="004B5EC0"/>
    <w:rsid w:val="004B6F68"/>
    <w:rsid w:val="004B73F7"/>
    <w:rsid w:val="004C38D4"/>
    <w:rsid w:val="004C7073"/>
    <w:rsid w:val="004D03FB"/>
    <w:rsid w:val="004D28C9"/>
    <w:rsid w:val="004D4FB3"/>
    <w:rsid w:val="004D6A9A"/>
    <w:rsid w:val="004D75A6"/>
    <w:rsid w:val="004E3456"/>
    <w:rsid w:val="004F3DF0"/>
    <w:rsid w:val="00504DF9"/>
    <w:rsid w:val="00505EF5"/>
    <w:rsid w:val="005074E1"/>
    <w:rsid w:val="005126F1"/>
    <w:rsid w:val="00513F2F"/>
    <w:rsid w:val="0051612A"/>
    <w:rsid w:val="00517176"/>
    <w:rsid w:val="0052192E"/>
    <w:rsid w:val="00524300"/>
    <w:rsid w:val="00532FD6"/>
    <w:rsid w:val="0054115E"/>
    <w:rsid w:val="00541F72"/>
    <w:rsid w:val="00542388"/>
    <w:rsid w:val="00544523"/>
    <w:rsid w:val="005467DC"/>
    <w:rsid w:val="00546A82"/>
    <w:rsid w:val="00547C51"/>
    <w:rsid w:val="00551335"/>
    <w:rsid w:val="005519BB"/>
    <w:rsid w:val="005523FD"/>
    <w:rsid w:val="00553D03"/>
    <w:rsid w:val="00555BA0"/>
    <w:rsid w:val="00555E07"/>
    <w:rsid w:val="00556E41"/>
    <w:rsid w:val="0057496F"/>
    <w:rsid w:val="005770A6"/>
    <w:rsid w:val="0059045B"/>
    <w:rsid w:val="00592B66"/>
    <w:rsid w:val="00597EC2"/>
    <w:rsid w:val="005A13AB"/>
    <w:rsid w:val="005B1150"/>
    <w:rsid w:val="005B1FFC"/>
    <w:rsid w:val="005B2B6D"/>
    <w:rsid w:val="005B4B4E"/>
    <w:rsid w:val="005C3A76"/>
    <w:rsid w:val="005C6D52"/>
    <w:rsid w:val="005D391F"/>
    <w:rsid w:val="005D5B6F"/>
    <w:rsid w:val="005E38A5"/>
    <w:rsid w:val="005E5B1E"/>
    <w:rsid w:val="005F5185"/>
    <w:rsid w:val="0062115C"/>
    <w:rsid w:val="0062265B"/>
    <w:rsid w:val="00624B5C"/>
    <w:rsid w:val="00624FE1"/>
    <w:rsid w:val="0062577D"/>
    <w:rsid w:val="00630BE7"/>
    <w:rsid w:val="0063249D"/>
    <w:rsid w:val="006331EE"/>
    <w:rsid w:val="00633858"/>
    <w:rsid w:val="006355E6"/>
    <w:rsid w:val="00637E00"/>
    <w:rsid w:val="0064038A"/>
    <w:rsid w:val="0064580A"/>
    <w:rsid w:val="0065167D"/>
    <w:rsid w:val="00652D13"/>
    <w:rsid w:val="0066595A"/>
    <w:rsid w:val="00666206"/>
    <w:rsid w:val="00672788"/>
    <w:rsid w:val="00673845"/>
    <w:rsid w:val="00676183"/>
    <w:rsid w:val="0068060F"/>
    <w:rsid w:val="00680DA3"/>
    <w:rsid w:val="0068377F"/>
    <w:rsid w:val="00691B24"/>
    <w:rsid w:val="00695B93"/>
    <w:rsid w:val="00697C16"/>
    <w:rsid w:val="006A5A89"/>
    <w:rsid w:val="006B3BB9"/>
    <w:rsid w:val="006B4034"/>
    <w:rsid w:val="006B48AC"/>
    <w:rsid w:val="006B5977"/>
    <w:rsid w:val="006C243D"/>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3BC8"/>
    <w:rsid w:val="00714914"/>
    <w:rsid w:val="0071663B"/>
    <w:rsid w:val="007208D6"/>
    <w:rsid w:val="007252BA"/>
    <w:rsid w:val="0072584A"/>
    <w:rsid w:val="00726786"/>
    <w:rsid w:val="00732152"/>
    <w:rsid w:val="007428DF"/>
    <w:rsid w:val="00742BD1"/>
    <w:rsid w:val="00742E7A"/>
    <w:rsid w:val="0074424F"/>
    <w:rsid w:val="00755292"/>
    <w:rsid w:val="00755DB7"/>
    <w:rsid w:val="00764FD9"/>
    <w:rsid w:val="007740B2"/>
    <w:rsid w:val="00774C1F"/>
    <w:rsid w:val="0078194F"/>
    <w:rsid w:val="00790CDF"/>
    <w:rsid w:val="007934A4"/>
    <w:rsid w:val="007971F6"/>
    <w:rsid w:val="007A0AC9"/>
    <w:rsid w:val="007A1B70"/>
    <w:rsid w:val="007A57F6"/>
    <w:rsid w:val="007B4FFB"/>
    <w:rsid w:val="007C0BCE"/>
    <w:rsid w:val="007C1D1B"/>
    <w:rsid w:val="007C3566"/>
    <w:rsid w:val="007C4238"/>
    <w:rsid w:val="007C498F"/>
    <w:rsid w:val="007C794A"/>
    <w:rsid w:val="007C7F05"/>
    <w:rsid w:val="007D0840"/>
    <w:rsid w:val="007D5326"/>
    <w:rsid w:val="007D5A33"/>
    <w:rsid w:val="007E0CA2"/>
    <w:rsid w:val="007E4F3A"/>
    <w:rsid w:val="007E4F5A"/>
    <w:rsid w:val="007E620F"/>
    <w:rsid w:val="007E663C"/>
    <w:rsid w:val="007E7795"/>
    <w:rsid w:val="007F07EF"/>
    <w:rsid w:val="0080066B"/>
    <w:rsid w:val="00803578"/>
    <w:rsid w:val="00810588"/>
    <w:rsid w:val="00815B8D"/>
    <w:rsid w:val="00815B8E"/>
    <w:rsid w:val="00816D99"/>
    <w:rsid w:val="0082324C"/>
    <w:rsid w:val="00823D71"/>
    <w:rsid w:val="008245AF"/>
    <w:rsid w:val="008256B9"/>
    <w:rsid w:val="0083705D"/>
    <w:rsid w:val="0084242F"/>
    <w:rsid w:val="00845795"/>
    <w:rsid w:val="00847437"/>
    <w:rsid w:val="00857FA5"/>
    <w:rsid w:val="00882E15"/>
    <w:rsid w:val="00883C73"/>
    <w:rsid w:val="008901A2"/>
    <w:rsid w:val="008A0344"/>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157C4"/>
    <w:rsid w:val="00916256"/>
    <w:rsid w:val="00925F8C"/>
    <w:rsid w:val="00927324"/>
    <w:rsid w:val="00932E8B"/>
    <w:rsid w:val="00932ED7"/>
    <w:rsid w:val="00933990"/>
    <w:rsid w:val="009359F3"/>
    <w:rsid w:val="00941B89"/>
    <w:rsid w:val="00941DEA"/>
    <w:rsid w:val="0096414A"/>
    <w:rsid w:val="009656CC"/>
    <w:rsid w:val="00970E8C"/>
    <w:rsid w:val="00971671"/>
    <w:rsid w:val="00977128"/>
    <w:rsid w:val="00977738"/>
    <w:rsid w:val="00981A37"/>
    <w:rsid w:val="009830B2"/>
    <w:rsid w:val="0099063E"/>
    <w:rsid w:val="009912CF"/>
    <w:rsid w:val="00992356"/>
    <w:rsid w:val="00992674"/>
    <w:rsid w:val="00994793"/>
    <w:rsid w:val="00996AE3"/>
    <w:rsid w:val="00997841"/>
    <w:rsid w:val="009A0450"/>
    <w:rsid w:val="009A1446"/>
    <w:rsid w:val="009A1E27"/>
    <w:rsid w:val="009A307B"/>
    <w:rsid w:val="009A75FC"/>
    <w:rsid w:val="009B04E7"/>
    <w:rsid w:val="009B14E8"/>
    <w:rsid w:val="009B4D21"/>
    <w:rsid w:val="009B588E"/>
    <w:rsid w:val="009B5A73"/>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2C73"/>
    <w:rsid w:val="00A2337D"/>
    <w:rsid w:val="00A25A31"/>
    <w:rsid w:val="00A31BBE"/>
    <w:rsid w:val="00A31D34"/>
    <w:rsid w:val="00A33215"/>
    <w:rsid w:val="00A333EF"/>
    <w:rsid w:val="00A33F85"/>
    <w:rsid w:val="00A40645"/>
    <w:rsid w:val="00A41D41"/>
    <w:rsid w:val="00A44FF0"/>
    <w:rsid w:val="00A6016C"/>
    <w:rsid w:val="00A64D90"/>
    <w:rsid w:val="00A67BC0"/>
    <w:rsid w:val="00A769B1"/>
    <w:rsid w:val="00A77DA3"/>
    <w:rsid w:val="00A837D5"/>
    <w:rsid w:val="00A83E04"/>
    <w:rsid w:val="00A91091"/>
    <w:rsid w:val="00A91CF7"/>
    <w:rsid w:val="00A93EE3"/>
    <w:rsid w:val="00A94BA9"/>
    <w:rsid w:val="00A9535A"/>
    <w:rsid w:val="00AA3344"/>
    <w:rsid w:val="00AA4970"/>
    <w:rsid w:val="00AA536D"/>
    <w:rsid w:val="00AA7069"/>
    <w:rsid w:val="00AB22C0"/>
    <w:rsid w:val="00AB28FC"/>
    <w:rsid w:val="00AB49E4"/>
    <w:rsid w:val="00AC1479"/>
    <w:rsid w:val="00AC2AAC"/>
    <w:rsid w:val="00AC2E40"/>
    <w:rsid w:val="00AC40F1"/>
    <w:rsid w:val="00AC4C45"/>
    <w:rsid w:val="00AC4C74"/>
    <w:rsid w:val="00AD1085"/>
    <w:rsid w:val="00AD3DB7"/>
    <w:rsid w:val="00AD5B40"/>
    <w:rsid w:val="00AD69FB"/>
    <w:rsid w:val="00AF0DAC"/>
    <w:rsid w:val="00AF1D10"/>
    <w:rsid w:val="00AF289F"/>
    <w:rsid w:val="00AF30B9"/>
    <w:rsid w:val="00AF43DF"/>
    <w:rsid w:val="00AF67A4"/>
    <w:rsid w:val="00AF7510"/>
    <w:rsid w:val="00B063B5"/>
    <w:rsid w:val="00B12D31"/>
    <w:rsid w:val="00B15F6E"/>
    <w:rsid w:val="00B21BEE"/>
    <w:rsid w:val="00B23284"/>
    <w:rsid w:val="00B37D43"/>
    <w:rsid w:val="00B46F21"/>
    <w:rsid w:val="00B505F4"/>
    <w:rsid w:val="00B511A5"/>
    <w:rsid w:val="00B51CDE"/>
    <w:rsid w:val="00B56541"/>
    <w:rsid w:val="00B605ED"/>
    <w:rsid w:val="00B666F5"/>
    <w:rsid w:val="00B714CC"/>
    <w:rsid w:val="00B71F97"/>
    <w:rsid w:val="00B72538"/>
    <w:rsid w:val="00B736A7"/>
    <w:rsid w:val="00B7651F"/>
    <w:rsid w:val="00B76522"/>
    <w:rsid w:val="00B76730"/>
    <w:rsid w:val="00B919FA"/>
    <w:rsid w:val="00B94A16"/>
    <w:rsid w:val="00BA55AD"/>
    <w:rsid w:val="00BA6044"/>
    <w:rsid w:val="00BB13D9"/>
    <w:rsid w:val="00BB1A93"/>
    <w:rsid w:val="00BB5A2C"/>
    <w:rsid w:val="00BC14BF"/>
    <w:rsid w:val="00BC2625"/>
    <w:rsid w:val="00BC3200"/>
    <w:rsid w:val="00BC338A"/>
    <w:rsid w:val="00BC570C"/>
    <w:rsid w:val="00BD2B3A"/>
    <w:rsid w:val="00BD7AB0"/>
    <w:rsid w:val="00BE7B4A"/>
    <w:rsid w:val="00BF3C20"/>
    <w:rsid w:val="00C011BC"/>
    <w:rsid w:val="00C02423"/>
    <w:rsid w:val="00C03DBA"/>
    <w:rsid w:val="00C112E7"/>
    <w:rsid w:val="00C11C78"/>
    <w:rsid w:val="00C11CD4"/>
    <w:rsid w:val="00C15061"/>
    <w:rsid w:val="00C15AB4"/>
    <w:rsid w:val="00C1713D"/>
    <w:rsid w:val="00C20D9D"/>
    <w:rsid w:val="00C2134F"/>
    <w:rsid w:val="00C24718"/>
    <w:rsid w:val="00C24FC2"/>
    <w:rsid w:val="00C2675D"/>
    <w:rsid w:val="00C30AEE"/>
    <w:rsid w:val="00C33362"/>
    <w:rsid w:val="00C353AE"/>
    <w:rsid w:val="00C4194E"/>
    <w:rsid w:val="00C4578C"/>
    <w:rsid w:val="00C516B1"/>
    <w:rsid w:val="00C5350C"/>
    <w:rsid w:val="00C56E09"/>
    <w:rsid w:val="00C61B1B"/>
    <w:rsid w:val="00C63656"/>
    <w:rsid w:val="00C66AB7"/>
    <w:rsid w:val="00C673D1"/>
    <w:rsid w:val="00C716B3"/>
    <w:rsid w:val="00C7260D"/>
    <w:rsid w:val="00C746CB"/>
    <w:rsid w:val="00C77BBF"/>
    <w:rsid w:val="00C77D64"/>
    <w:rsid w:val="00C81564"/>
    <w:rsid w:val="00C9080C"/>
    <w:rsid w:val="00C94429"/>
    <w:rsid w:val="00CA18FD"/>
    <w:rsid w:val="00CA27E5"/>
    <w:rsid w:val="00CA4897"/>
    <w:rsid w:val="00CA6928"/>
    <w:rsid w:val="00CB3D3F"/>
    <w:rsid w:val="00CB5A1A"/>
    <w:rsid w:val="00CC59E6"/>
    <w:rsid w:val="00CD1888"/>
    <w:rsid w:val="00CD4F7E"/>
    <w:rsid w:val="00CD5BDD"/>
    <w:rsid w:val="00CE0D56"/>
    <w:rsid w:val="00CE41E7"/>
    <w:rsid w:val="00CF096B"/>
    <w:rsid w:val="00CF10F7"/>
    <w:rsid w:val="00CF443B"/>
    <w:rsid w:val="00CF5EE3"/>
    <w:rsid w:val="00CF691F"/>
    <w:rsid w:val="00D00D99"/>
    <w:rsid w:val="00D013A4"/>
    <w:rsid w:val="00D026DC"/>
    <w:rsid w:val="00D03E88"/>
    <w:rsid w:val="00D15595"/>
    <w:rsid w:val="00D30C32"/>
    <w:rsid w:val="00D343A8"/>
    <w:rsid w:val="00D37832"/>
    <w:rsid w:val="00D44860"/>
    <w:rsid w:val="00D47689"/>
    <w:rsid w:val="00D50656"/>
    <w:rsid w:val="00D50C42"/>
    <w:rsid w:val="00D57CF5"/>
    <w:rsid w:val="00D612BC"/>
    <w:rsid w:val="00D62F98"/>
    <w:rsid w:val="00D66FD6"/>
    <w:rsid w:val="00D8285B"/>
    <w:rsid w:val="00D862EB"/>
    <w:rsid w:val="00D86619"/>
    <w:rsid w:val="00D93E7C"/>
    <w:rsid w:val="00DB2BE6"/>
    <w:rsid w:val="00DB76B3"/>
    <w:rsid w:val="00DD1052"/>
    <w:rsid w:val="00DD167C"/>
    <w:rsid w:val="00DD2B26"/>
    <w:rsid w:val="00DD3C7B"/>
    <w:rsid w:val="00DD5966"/>
    <w:rsid w:val="00DE2B21"/>
    <w:rsid w:val="00DE48DE"/>
    <w:rsid w:val="00DF25F2"/>
    <w:rsid w:val="00DF3B32"/>
    <w:rsid w:val="00DF4166"/>
    <w:rsid w:val="00DF6484"/>
    <w:rsid w:val="00E000F4"/>
    <w:rsid w:val="00E01231"/>
    <w:rsid w:val="00E02313"/>
    <w:rsid w:val="00E04279"/>
    <w:rsid w:val="00E11393"/>
    <w:rsid w:val="00E125D9"/>
    <w:rsid w:val="00E16D30"/>
    <w:rsid w:val="00E20DE0"/>
    <w:rsid w:val="00E31E69"/>
    <w:rsid w:val="00E33169"/>
    <w:rsid w:val="00E34A7B"/>
    <w:rsid w:val="00E3751F"/>
    <w:rsid w:val="00E40973"/>
    <w:rsid w:val="00E45507"/>
    <w:rsid w:val="00E47CD1"/>
    <w:rsid w:val="00E5013C"/>
    <w:rsid w:val="00E545FF"/>
    <w:rsid w:val="00E555C8"/>
    <w:rsid w:val="00E6080E"/>
    <w:rsid w:val="00E64168"/>
    <w:rsid w:val="00E655B3"/>
    <w:rsid w:val="00E6769A"/>
    <w:rsid w:val="00E7081D"/>
    <w:rsid w:val="00E70904"/>
    <w:rsid w:val="00E71319"/>
    <w:rsid w:val="00E75171"/>
    <w:rsid w:val="00E804B0"/>
    <w:rsid w:val="00E81E6C"/>
    <w:rsid w:val="00E834AC"/>
    <w:rsid w:val="00E86772"/>
    <w:rsid w:val="00E879D2"/>
    <w:rsid w:val="00E90B8B"/>
    <w:rsid w:val="00E93ADD"/>
    <w:rsid w:val="00E952D8"/>
    <w:rsid w:val="00EB00E4"/>
    <w:rsid w:val="00EB28DA"/>
    <w:rsid w:val="00EB3812"/>
    <w:rsid w:val="00EB44EB"/>
    <w:rsid w:val="00EB4F3B"/>
    <w:rsid w:val="00EB66B8"/>
    <w:rsid w:val="00EB791E"/>
    <w:rsid w:val="00EC1FEA"/>
    <w:rsid w:val="00EC70A9"/>
    <w:rsid w:val="00ED4C3A"/>
    <w:rsid w:val="00ED6C27"/>
    <w:rsid w:val="00EE1C85"/>
    <w:rsid w:val="00EE4D83"/>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202D1"/>
    <w:rsid w:val="00F323FE"/>
    <w:rsid w:val="00F35AA0"/>
    <w:rsid w:val="00F418D2"/>
    <w:rsid w:val="00F43C49"/>
    <w:rsid w:val="00F454B9"/>
    <w:rsid w:val="00F45C12"/>
    <w:rsid w:val="00F53DD4"/>
    <w:rsid w:val="00F544A2"/>
    <w:rsid w:val="00F73D03"/>
    <w:rsid w:val="00F76CB9"/>
    <w:rsid w:val="00F77A73"/>
    <w:rsid w:val="00F80E46"/>
    <w:rsid w:val="00F875E8"/>
    <w:rsid w:val="00F96236"/>
    <w:rsid w:val="00F972B3"/>
    <w:rsid w:val="00FA10CE"/>
    <w:rsid w:val="00FA222F"/>
    <w:rsid w:val="00FA26A4"/>
    <w:rsid w:val="00FA2891"/>
    <w:rsid w:val="00FB693D"/>
    <w:rsid w:val="00FB7768"/>
    <w:rsid w:val="00FC6823"/>
    <w:rsid w:val="00FC7489"/>
    <w:rsid w:val="00FD1BA8"/>
    <w:rsid w:val="00FD218F"/>
    <w:rsid w:val="00FD5663"/>
    <w:rsid w:val="00FD56C6"/>
    <w:rsid w:val="00FE1921"/>
    <w:rsid w:val="00FE3070"/>
    <w:rsid w:val="00FE3221"/>
    <w:rsid w:val="00FE48EA"/>
    <w:rsid w:val="00FE571F"/>
    <w:rsid w:val="00FF47F6"/>
    <w:rsid w:val="016E63C2"/>
    <w:rsid w:val="024B0C39"/>
    <w:rsid w:val="02712044"/>
    <w:rsid w:val="077B17B9"/>
    <w:rsid w:val="09C564E8"/>
    <w:rsid w:val="0A365E52"/>
    <w:rsid w:val="0A8128A6"/>
    <w:rsid w:val="0B5A4D08"/>
    <w:rsid w:val="0BF32A1B"/>
    <w:rsid w:val="10BD2C22"/>
    <w:rsid w:val="128A2423"/>
    <w:rsid w:val="163E5B85"/>
    <w:rsid w:val="1B794CC0"/>
    <w:rsid w:val="22987C80"/>
    <w:rsid w:val="24192CCC"/>
    <w:rsid w:val="2B852ADC"/>
    <w:rsid w:val="34027A62"/>
    <w:rsid w:val="39A66CD4"/>
    <w:rsid w:val="3A9E71DE"/>
    <w:rsid w:val="3CD52CE1"/>
    <w:rsid w:val="410F2E6A"/>
    <w:rsid w:val="4430136C"/>
    <w:rsid w:val="49793828"/>
    <w:rsid w:val="4AB0382B"/>
    <w:rsid w:val="569868B5"/>
    <w:rsid w:val="611F6817"/>
    <w:rsid w:val="66CA1754"/>
    <w:rsid w:val="674457BB"/>
    <w:rsid w:val="6F1E65D4"/>
    <w:rsid w:val="6F266C86"/>
    <w:rsid w:val="6F5042C2"/>
    <w:rsid w:val="73413256"/>
    <w:rsid w:val="74316312"/>
    <w:rsid w:val="780F13C8"/>
    <w:rsid w:val="795A5FDB"/>
    <w:rsid w:val="7B235CB7"/>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2"/>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3"/>
    <w:autoRedefine/>
    <w:qFormat/>
    <w:uiPriority w:val="99"/>
    <w:pPr>
      <w:widowControl w:val="0"/>
    </w:pPr>
    <w:rPr>
      <w:rFonts w:ascii="Times New Roman" w:hAnsi="Times New Roman" w:cs="Times New Roman"/>
      <w:kern w:val="2"/>
      <w:sz w:val="21"/>
    </w:rPr>
  </w:style>
  <w:style w:type="paragraph" w:styleId="4">
    <w:name w:val="Body Text Indent"/>
    <w:basedOn w:val="1"/>
    <w:link w:val="26"/>
    <w:autoRedefine/>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autoRedefine/>
    <w:semiHidden/>
    <w:qFormat/>
    <w:uiPriority w:val="99"/>
    <w:rPr>
      <w:rFonts w:asciiTheme="minorHAnsi" w:hAnsiTheme="minorHAnsi" w:eastAsiaTheme="minorEastAsia" w:cstheme="minorBidi"/>
      <w:sz w:val="2"/>
      <w:szCs w:val="20"/>
    </w:rPr>
  </w:style>
  <w:style w:type="paragraph" w:styleId="6">
    <w:name w:val="footer"/>
    <w:basedOn w:val="1"/>
    <w:link w:val="15"/>
    <w:autoRedefine/>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0"/>
    <w:pPr>
      <w:spacing w:before="100" w:beforeAutospacing="1" w:after="100" w:afterAutospacing="1"/>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Emphasis"/>
    <w:autoRedefine/>
    <w:qFormat/>
    <w:uiPriority w:val="0"/>
    <w:rPr>
      <w:color w:val="C60A00"/>
    </w:rPr>
  </w:style>
  <w:style w:type="character" w:customStyle="1" w:styleId="14">
    <w:name w:val="页眉 字符"/>
    <w:basedOn w:val="11"/>
    <w:link w:val="7"/>
    <w:autoRedefine/>
    <w:semiHidden/>
    <w:qFormat/>
    <w:uiPriority w:val="99"/>
    <w:rPr>
      <w:sz w:val="18"/>
      <w:szCs w:val="18"/>
    </w:rPr>
  </w:style>
  <w:style w:type="character" w:customStyle="1" w:styleId="15">
    <w:name w:val="页脚 字符"/>
    <w:basedOn w:val="11"/>
    <w:link w:val="6"/>
    <w:autoRedefine/>
    <w:semiHidden/>
    <w:qFormat/>
    <w:uiPriority w:val="99"/>
    <w:rPr>
      <w:sz w:val="18"/>
      <w:szCs w:val="18"/>
    </w:rPr>
  </w:style>
  <w:style w:type="paragraph" w:customStyle="1" w:styleId="16">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7">
    <w:name w:val="表格正文DG"/>
    <w:basedOn w:val="1"/>
    <w:autoRedefine/>
    <w:qFormat/>
    <w:uiPriority w:val="0"/>
    <w:pPr>
      <w:jc w:val="center"/>
    </w:pPr>
    <w:rPr>
      <w:rFonts w:ascii="Times New Roman" w:hAnsi="Times New Roman"/>
      <w:color w:val="000000"/>
      <w:sz w:val="21"/>
      <w:szCs w:val="21"/>
    </w:rPr>
  </w:style>
  <w:style w:type="paragraph" w:styleId="18">
    <w:name w:val="List Paragraph"/>
    <w:basedOn w:val="1"/>
    <w:autoRedefine/>
    <w:unhideWhenUsed/>
    <w:qFormat/>
    <w:uiPriority w:val="99"/>
    <w:pPr>
      <w:ind w:firstLine="420" w:firstLineChars="200"/>
    </w:pPr>
  </w:style>
  <w:style w:type="paragraph" w:customStyle="1" w:styleId="19">
    <w:name w:val="一级标题DG"/>
    <w:basedOn w:val="1"/>
    <w:autoRedefine/>
    <w:qFormat/>
    <w:uiPriority w:val="0"/>
    <w:pPr>
      <w:spacing w:line="480" w:lineRule="auto"/>
      <w:outlineLvl w:val="0"/>
    </w:pPr>
    <w:rPr>
      <w:rFonts w:ascii="Arial" w:hAnsi="Arial" w:eastAsia="黑体"/>
      <w:sz w:val="28"/>
    </w:rPr>
  </w:style>
  <w:style w:type="paragraph" w:customStyle="1" w:styleId="20">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1"/>
    <w:link w:val="2"/>
    <w:autoRedefine/>
    <w:qFormat/>
    <w:uiPriority w:val="9"/>
    <w:rPr>
      <w:rFonts w:ascii="Calibri" w:hAnsi="Calibri" w:eastAsia="宋体" w:cs="Times New Roman"/>
      <w:b/>
      <w:bCs/>
      <w:kern w:val="44"/>
      <w:sz w:val="44"/>
      <w:szCs w:val="44"/>
    </w:rPr>
  </w:style>
  <w:style w:type="character" w:customStyle="1" w:styleId="23">
    <w:name w:val="批注文字 字符"/>
    <w:basedOn w:val="11"/>
    <w:link w:val="3"/>
    <w:autoRedefine/>
    <w:qFormat/>
    <w:uiPriority w:val="99"/>
    <w:rPr>
      <w:rFonts w:ascii="Times New Roman" w:hAnsi="Times New Roman" w:eastAsia="宋体" w:cs="Times New Roman"/>
      <w:kern w:val="2"/>
      <w:sz w:val="21"/>
      <w:szCs w:val="24"/>
    </w:rPr>
  </w:style>
  <w:style w:type="character" w:customStyle="1" w:styleId="24">
    <w:name w:val="editor-text-node"/>
    <w:basedOn w:val="11"/>
    <w:autoRedefine/>
    <w:qFormat/>
    <w:uiPriority w:val="0"/>
  </w:style>
  <w:style w:type="character" w:styleId="25">
    <w:name w:val="Placeholder Text"/>
    <w:basedOn w:val="11"/>
    <w:autoRedefine/>
    <w:unhideWhenUsed/>
    <w:qFormat/>
    <w:uiPriority w:val="99"/>
    <w:rPr>
      <w:color w:val="808080"/>
    </w:rPr>
  </w:style>
  <w:style w:type="character" w:customStyle="1" w:styleId="26">
    <w:name w:val="正文文本缩进 字符1"/>
    <w:link w:val="4"/>
    <w:autoRedefine/>
    <w:qFormat/>
    <w:locked/>
    <w:uiPriority w:val="0"/>
    <w:rPr>
      <w:rFonts w:ascii="Calibri" w:hAnsi="Calibri" w:eastAsia="宋体" w:cs="Times New Roman"/>
      <w:kern w:val="2"/>
      <w:sz w:val="21"/>
    </w:rPr>
  </w:style>
  <w:style w:type="character" w:customStyle="1" w:styleId="27">
    <w:name w:val="正文文本缩进 字符"/>
    <w:basedOn w:val="11"/>
    <w:autoRedefine/>
    <w:semiHidden/>
    <w:qFormat/>
    <w:uiPriority w:val="0"/>
    <w:rPr>
      <w:rFonts w:ascii="宋体" w:hAnsi="宋体" w:eastAsia="宋体" w:cs="宋体"/>
      <w:sz w:val="24"/>
      <w:szCs w:val="24"/>
    </w:rPr>
  </w:style>
  <w:style w:type="character" w:customStyle="1" w:styleId="28">
    <w:name w:val="页眉 Char"/>
    <w:autoRedefine/>
    <w:qFormat/>
    <w:locked/>
    <w:uiPriority w:val="0"/>
    <w:rPr>
      <w:sz w:val="18"/>
    </w:rPr>
  </w:style>
  <w:style w:type="character" w:customStyle="1" w:styleId="29">
    <w:name w:val="页脚 Char"/>
    <w:autoRedefine/>
    <w:qFormat/>
    <w:locked/>
    <w:uiPriority w:val="0"/>
    <w:rPr>
      <w:sz w:val="18"/>
    </w:rPr>
  </w:style>
  <w:style w:type="character" w:customStyle="1" w:styleId="30">
    <w:name w:val="正文文本缩进 Char"/>
    <w:autoRedefine/>
    <w:qFormat/>
    <w:locked/>
    <w:uiPriority w:val="0"/>
    <w:rPr>
      <w:kern w:val="2"/>
      <w:sz w:val="21"/>
    </w:rPr>
  </w:style>
  <w:style w:type="character" w:customStyle="1" w:styleId="31">
    <w:name w:val="批注框文本 字符1"/>
    <w:link w:val="5"/>
    <w:autoRedefine/>
    <w:semiHidden/>
    <w:qFormat/>
    <w:locked/>
    <w:uiPriority w:val="0"/>
    <w:rPr>
      <w:sz w:val="2"/>
    </w:rPr>
  </w:style>
  <w:style w:type="paragraph" w:customStyle="1" w:styleId="32">
    <w:name w:val="样式1"/>
    <w:basedOn w:val="1"/>
    <w:autoRedefine/>
    <w:qFormat/>
    <w:uiPriority w:val="0"/>
    <w:rPr>
      <w:rFonts w:ascii="Times New Roman" w:hAnsi="Times New Roman" w:cs="Times New Roman"/>
      <w:sz w:val="20"/>
      <w:szCs w:val="20"/>
    </w:rPr>
  </w:style>
  <w:style w:type="character" w:customStyle="1" w:styleId="33">
    <w:name w:val="批注框文本 字符"/>
    <w:basedOn w:val="11"/>
    <w:autoRedefine/>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9</Pages>
  <Words>795</Words>
  <Characters>4536</Characters>
  <Lines>37</Lines>
  <Paragraphs>10</Paragraphs>
  <TotalTime>10</TotalTime>
  <ScaleCrop>false</ScaleCrop>
  <LinksUpToDate>false</LinksUpToDate>
  <CharactersWithSpaces>5321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Administrator</cp:lastModifiedBy>
  <cp:lastPrinted>2023-11-21T00:52:00Z</cp:lastPrinted>
  <dcterms:modified xsi:type="dcterms:W3CDTF">2024-03-10T09:07:42Z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5E7F04387C1E469899E70F782A16DB30_12</vt:lpwstr>
  </property>
</Properties>
</file>