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《急危重症护理》专科课程教学大纲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急危重症护理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Emergency and critical Care nursing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0010062</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3</w:t>
            </w:r>
            <w:r>
              <w:rPr>
                <w:rFonts w:asciiTheme="minorEastAsia" w:hAnsiTheme="minorEastAsia" w:eastAsiaTheme="minorEastAsia"/>
                <w:color w:val="000000" w:themeColor="text1"/>
                <w:sz w:val="21"/>
                <w:szCs w:val="21"/>
                <w14:textFill>
                  <w14:solidFill>
                    <w14:schemeClr w14:val="tx1"/>
                  </w14:solidFill>
                </w14:textFill>
              </w:rPr>
              <w:t>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《急危重症护理学》</w:t>
            </w:r>
            <w:r>
              <w:rPr>
                <w:rFonts w:ascii="Times New Roman" w:hAnsi="Times New Roman"/>
                <w:color w:val="000000" w:themeColor="text1"/>
                <w:sz w:val="21"/>
                <w:szCs w:val="21"/>
                <w14:textFill>
                  <w14:solidFill>
                    <w14:schemeClr w14:val="tx1"/>
                  </w14:solidFill>
                </w14:textFill>
              </w:rPr>
              <w:t>主编：胡爱招</w:t>
            </w:r>
            <w:r>
              <w:rPr>
                <w:rFonts w:hint="eastAsia" w:ascii="Times New Roman" w:hAnsi="Times New Roman"/>
                <w:color w:val="000000" w:themeColor="text1"/>
                <w:sz w:val="21"/>
                <w:szCs w:val="21"/>
                <w14:textFill>
                  <w14:solidFill>
                    <w14:schemeClr w14:val="tx1"/>
                  </w14:solidFill>
                </w14:textFill>
              </w:rPr>
              <w:t xml:space="preserve"> 王明弘</w:t>
            </w:r>
          </w:p>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I</w:t>
            </w:r>
            <w:r>
              <w:rPr>
                <w:rFonts w:ascii="Times New Roman" w:hAnsi="Times New Roman"/>
                <w:color w:val="000000" w:themeColor="text1"/>
                <w:sz w:val="21"/>
                <w:szCs w:val="21"/>
                <w14:textFill>
                  <w14:solidFill>
                    <w14:schemeClr w14:val="tx1"/>
                  </w14:solidFill>
                </w14:textFill>
              </w:rPr>
              <w:t>SBN</w:t>
            </w:r>
            <w:r>
              <w:rPr>
                <w:rFonts w:hint="eastAsia" w:ascii="Times New Roman" w:hAnsi="Times New Roman"/>
                <w:color w:val="000000" w:themeColor="text1"/>
                <w:sz w:val="21"/>
                <w:szCs w:val="21"/>
                <w14:textFill>
                  <w14:solidFill>
                    <w14:schemeClr w14:val="tx1"/>
                  </w14:solidFill>
                </w14:textFill>
              </w:rPr>
              <w:t>9</w:t>
            </w:r>
            <w:r>
              <w:rPr>
                <w:rFonts w:ascii="Times New Roman" w:hAnsi="Times New Roman"/>
                <w:color w:val="000000" w:themeColor="text1"/>
                <w:sz w:val="21"/>
                <w:szCs w:val="21"/>
                <w14:textFill>
                  <w14:solidFill>
                    <w14:schemeClr w14:val="tx1"/>
                  </w14:solidFill>
                </w14:textFill>
              </w:rPr>
              <w:t>787117271929</w:t>
            </w:r>
            <w:r>
              <w:rPr>
                <w:rFonts w:hint="eastAsia" w:ascii="Times New Roman" w:hAnsi="Times New Roman"/>
                <w:color w:val="000000" w:themeColor="text1"/>
                <w:sz w:val="21"/>
                <w:szCs w:val="21"/>
                <w:lang w:val="en-US" w:eastAsia="zh-CN"/>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人民卫生出版社</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rPr>
                <w:rFonts w:hint="default" w:eastAsia="宋体"/>
                <w:lang w:val="en-US" w:eastAsia="zh-CN"/>
              </w:rPr>
            </w:pPr>
            <w:r>
              <w:rPr>
                <w:rFonts w:hint="eastAsia"/>
              </w:rPr>
              <w:t>正常人体学基础</w:t>
            </w:r>
            <w:r>
              <w:t>1</w:t>
            </w:r>
            <w:r>
              <w:rPr>
                <w:rFonts w:hint="eastAsia"/>
                <w:lang w:val="en-US" w:eastAsia="zh-CN"/>
              </w:rPr>
              <w:t xml:space="preserve"> 0070038（6）</w:t>
            </w:r>
            <w:r>
              <w:rPr>
                <w:rFonts w:hint="eastAsia"/>
              </w:rPr>
              <w:t>、正常人体学基础</w:t>
            </w:r>
            <w:r>
              <w:t>2</w:t>
            </w:r>
            <w:r>
              <w:rPr>
                <w:rFonts w:hint="eastAsia"/>
                <w:lang w:val="en-US" w:eastAsia="zh-CN"/>
              </w:rPr>
              <w:t xml:space="preserve"> 0070039（4）</w:t>
            </w:r>
            <w:r>
              <w:rPr>
                <w:rFonts w:hint="eastAsia"/>
              </w:rPr>
              <w:t>、护理学基础</w:t>
            </w:r>
            <w:r>
              <w:t>1</w:t>
            </w:r>
            <w:r>
              <w:rPr>
                <w:rFonts w:hint="eastAsia"/>
                <w:lang w:val="en-US" w:eastAsia="zh-CN"/>
              </w:rPr>
              <w:t xml:space="preserve"> 0070012（4）</w:t>
            </w:r>
            <w:r>
              <w:rPr>
                <w:rFonts w:hint="eastAsia"/>
              </w:rPr>
              <w:t>、护理学基础2</w:t>
            </w:r>
            <w:r>
              <w:rPr>
                <w:rFonts w:hint="eastAsia"/>
                <w:lang w:val="en-US" w:eastAsia="zh-CN"/>
              </w:rPr>
              <w:t xml:space="preserve"> 0010017（4）</w:t>
            </w:r>
            <w:r>
              <w:rPr>
                <w:rFonts w:hint="eastAsia"/>
              </w:rPr>
              <w:t>、病理学与病理生理学</w:t>
            </w:r>
            <w:r>
              <w:rPr>
                <w:rFonts w:hint="eastAsia"/>
                <w:lang w:val="en-US" w:eastAsia="zh-CN"/>
              </w:rPr>
              <w:t>0010041（3）</w:t>
            </w:r>
            <w:r>
              <w:rPr>
                <w:rFonts w:hint="eastAsia"/>
              </w:rPr>
              <w:t>、护用药理学</w:t>
            </w:r>
            <w:r>
              <w:rPr>
                <w:rFonts w:hint="eastAsia"/>
                <w:lang w:val="en-US" w:eastAsia="zh-CN"/>
              </w:rPr>
              <w:t>0010043（3）</w:t>
            </w:r>
            <w:r>
              <w:rPr>
                <w:rFonts w:hint="eastAsia"/>
              </w:rPr>
              <w:t>、健康评估</w:t>
            </w:r>
            <w:r>
              <w:rPr>
                <w:rFonts w:hint="eastAsia"/>
                <w:lang w:val="en-US" w:eastAsia="zh-CN"/>
              </w:rPr>
              <w:t>0070013（3）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99"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急危重症护理》是护理学重要的组成部分。它以研究各类急危重症病人的抢救、监视、护理为主要内容的一门新兴的护理临床学科。护士在面对急危重患者时，能否及时无误的对患者作出判断和救护，直接关系到患者的安危和抢救的成败。本课程可分为院外急救和院内急救两大部分。</w:t>
            </w:r>
            <w:r>
              <w:rPr>
                <w:rFonts w:hint="eastAsia"/>
                <w:sz w:val="20"/>
                <w:szCs w:val="20"/>
              </w:rPr>
              <w:t>通过本课程的学习，明确急危重症护理学的概念、范畴，了解急诊科的设置与管理。熟悉临床常见急危重疾病如心搏骤停与心肺脑复苏、创伤、多器官功能障碍综合征、急性中毒、昏迷等的病因、诱因、发病机制。掌握其病情评估、急救原则及护理措施。掌握常用的急救和监护器材的使用技术，增强急救意识，提高应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jc w:val="both"/>
            </w:pPr>
            <w:r>
              <w:rPr>
                <w:rFonts w:hint="eastAsia"/>
              </w:rPr>
              <w:t>本课程适用于护理专业，以正常人体学基础</w:t>
            </w:r>
            <w:r>
              <w:t>1（人体结构学）、正常人体学基础2（人体功能学）</w:t>
            </w:r>
            <w:r>
              <w:rPr>
                <w:rFonts w:hint="eastAsia"/>
              </w:rPr>
              <w:t>、病理学与病理生理学、护用药理学</w:t>
            </w:r>
            <w:r>
              <w:t>等医学基础课程和</w:t>
            </w:r>
            <w:r>
              <w:rPr>
                <w:rFonts w:hint="eastAsia"/>
              </w:rPr>
              <w:t>护理学基础</w:t>
            </w:r>
            <w:r>
              <w:t>1</w:t>
            </w:r>
            <w:r>
              <w:rPr>
                <w:rFonts w:hint="eastAsia"/>
              </w:rPr>
              <w:t>、护理学基础2、健康评估</w:t>
            </w:r>
            <w:r>
              <w:t>护理专业课程为基础，</w:t>
            </w:r>
            <w:r>
              <w:rPr>
                <w:rFonts w:hint="eastAsia"/>
              </w:rPr>
              <w:t>同时</w:t>
            </w:r>
            <w:r>
              <w:t>学习的课程有</w:t>
            </w:r>
            <w:r>
              <w:rPr>
                <w:rFonts w:hint="eastAsia"/>
              </w:rPr>
              <w:t>内、外、妇、儿</w:t>
            </w:r>
            <w:r>
              <w:t>等护理专科课程。</w:t>
            </w:r>
            <w:r>
              <w:rPr>
                <w:rFonts w:hint="eastAsia"/>
              </w:rPr>
              <w:t>本课程为专科护理类课程，适合护理专业二年级、具有基础护理学基础的学生学习。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61670" cy="252095"/>
                  <wp:effectExtent l="0" t="0" r="5080" b="0"/>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.1.</w:t>
            </w:r>
            <w:r>
              <w:rPr>
                <w:rFonts w:ascii="Times New Roman" w:hAnsi="Times New Roman"/>
                <w:color w:val="000000"/>
                <w:sz w:val="21"/>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tabs>
          <w:tab w:val="right" w:pos="8306"/>
        </w:tabs>
        <w:spacing w:before="326" w:beforeLines="100" w:line="360" w:lineRule="auto"/>
        <w:rPr>
          <w:rFonts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ascii="宋体" w:hAnsi="宋体"/>
                <w:bCs/>
              </w:rPr>
              <w:t>能阐述急危重症护理基本理论、常用急救知识及急救护理知识。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具备基本的病情判断和分诊能力、进行现场救护的能力及正确转运、护送病人的能力。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能熟练进行常用急救技术的操作、正确使用常用急救和监护设备器材等。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培养救死扶伤、爱岗敬业的职业道德素质；树立时间就是生命的观念，具备较强的团队合作精神；培养反应敏捷、严谨、细致的工作作风，争分夺秒的抢救意识。</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
              </w:rPr>
            </w:pPr>
            <w:bookmarkStart w:id="0" w:name="OLE_LINK6"/>
            <w:bookmarkStart w:id="1" w:name="OLE_LINK5"/>
            <w:r>
              <w:rPr>
                <w:rFonts w:hint="eastAsia" w:ascii="宋体" w:hAnsi="宋体"/>
                <w:b/>
              </w:rPr>
              <w:t>1</w:t>
            </w:r>
            <w:r>
              <w:rPr>
                <w:rFonts w:ascii="宋体" w:hAnsi="宋体"/>
                <w:b/>
              </w:rPr>
              <w:t>.</w:t>
            </w:r>
            <w:r>
              <w:rPr>
                <w:rFonts w:hint="eastAsia" w:ascii="宋体" w:hAnsi="宋体"/>
                <w:b/>
              </w:rPr>
              <w:t>绪论</w:t>
            </w:r>
          </w:p>
          <w:p>
            <w:pPr>
              <w:pStyle w:val="14"/>
              <w:widowControl w:val="0"/>
              <w:jc w:val="left"/>
              <w:rPr>
                <w:rFonts w:ascii="宋体" w:hAnsi="宋体"/>
                <w:bCs/>
              </w:rPr>
            </w:pPr>
            <w:r>
              <w:rPr>
                <w:rFonts w:hint="eastAsia" w:ascii="宋体" w:hAnsi="宋体"/>
                <w:b/>
              </w:rPr>
              <w:t>知识点：</w:t>
            </w:r>
            <w:r>
              <w:rPr>
                <w:rFonts w:hint="eastAsia" w:ascii="宋体" w:hAnsi="宋体"/>
                <w:bCs/>
              </w:rPr>
              <w:t>知道</w:t>
            </w:r>
            <w:r>
              <w:rPr>
                <w:rFonts w:hint="eastAsia" w:ascii="宋体" w:hAnsi="宋体"/>
              </w:rPr>
              <w:t>急危重症护理学发展简史，急危重症护士应具备的素质；明确急危重症护理学的概念、急诊医疗服务体系的管理；理解急危重症护理学的范畴、急诊医疗服务体系的概念。</w:t>
            </w:r>
          </w:p>
          <w:p>
            <w:pPr>
              <w:pStyle w:val="14"/>
              <w:widowControl w:val="0"/>
              <w:jc w:val="left"/>
              <w:rPr>
                <w:rFonts w:ascii="宋体" w:hAnsi="宋体"/>
                <w:b/>
              </w:rPr>
            </w:pPr>
            <w:r>
              <w:rPr>
                <w:rFonts w:hint="eastAsia" w:ascii="宋体" w:hAnsi="宋体"/>
                <w:b/>
              </w:rPr>
              <w:t>能力要求：</w:t>
            </w:r>
            <w:r>
              <w:rPr>
                <w:rFonts w:hint="eastAsia" w:ascii="宋体" w:hAnsi="宋体"/>
              </w:rPr>
              <w:t>能够解释急救医疗服务体系的概念；能够阐述急危重症护理学的范畴；</w:t>
            </w:r>
            <w:r>
              <w:rPr>
                <w:rFonts w:hint="eastAsia" w:ascii="宋体" w:hAnsi="宋体"/>
                <w:sz w:val="20"/>
                <w:szCs w:val="20"/>
              </w:rPr>
              <w:t>具有救死扶伤的态度。</w:t>
            </w:r>
          </w:p>
          <w:p>
            <w:pPr>
              <w:pStyle w:val="14"/>
              <w:widowControl w:val="0"/>
              <w:jc w:val="left"/>
              <w:rPr>
                <w:rFonts w:ascii="仿宋" w:hAnsi="仿宋" w:eastAsia="仿宋" w:cs="仿宋"/>
              </w:rPr>
            </w:pPr>
            <w:r>
              <w:rPr>
                <w:rFonts w:hint="eastAsia" w:ascii="宋体" w:hAnsi="宋体"/>
                <w:b/>
              </w:rPr>
              <w:t>教学难点：</w:t>
            </w:r>
            <w:r>
              <w:rPr>
                <w:rFonts w:hint="eastAsia" w:ascii="宋体" w:hAnsi="宋体"/>
                <w:bCs/>
              </w:rPr>
              <w:t>急危重症护理学的概念、范畴；急诊医疗服务体系的概念。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
              </w:rPr>
            </w:pPr>
            <w:r>
              <w:rPr>
                <w:rFonts w:ascii="宋体" w:hAnsi="宋体"/>
                <w:b/>
              </w:rPr>
              <w:t>2.</w:t>
            </w:r>
            <w:r>
              <w:rPr>
                <w:rFonts w:hint="eastAsia" w:ascii="宋体" w:hAnsi="宋体"/>
                <w:b/>
              </w:rPr>
              <w:t>院前急救</w:t>
            </w:r>
          </w:p>
          <w:p>
            <w:pPr>
              <w:pStyle w:val="14"/>
              <w:widowControl w:val="0"/>
              <w:jc w:val="left"/>
              <w:rPr>
                <w:rFonts w:ascii="宋体" w:hAnsi="宋体"/>
                <w:bCs/>
              </w:rPr>
            </w:pPr>
            <w:r>
              <w:rPr>
                <w:rFonts w:hint="eastAsia" w:ascii="宋体" w:hAnsi="宋体"/>
                <w:b/>
              </w:rPr>
              <w:t>知识点：</w:t>
            </w:r>
            <w:r>
              <w:rPr>
                <w:rFonts w:hint="eastAsia" w:ascii="宋体" w:hAnsi="宋体"/>
                <w:bCs/>
              </w:rPr>
              <w:t>知道院前急救的工作模式；明确院前急救的原则和特点，简单检伤分类与快速急救系统的流程和方法，淹溺、电击伤和中暑的病理变化，院前急救的工作程序及救护要点；运用现场心肺复苏操作和A</w:t>
            </w:r>
            <w:r>
              <w:rPr>
                <w:rFonts w:ascii="宋体" w:hAnsi="宋体"/>
                <w:bCs/>
              </w:rPr>
              <w:t>ED</w:t>
            </w:r>
            <w:r>
              <w:rPr>
                <w:rFonts w:hint="eastAsia" w:ascii="宋体" w:hAnsi="宋体"/>
                <w:bCs/>
              </w:rPr>
              <w:t>器材，气道异物梗阻的病情判断和急救知识，现场止血、包扎、固定和搬运的方法，淹溺、电击伤和中暑的现场急救方法，犬咬伤和毒蛇咬伤的现场急救方法。</w:t>
            </w:r>
          </w:p>
          <w:p>
            <w:pPr>
              <w:pStyle w:val="14"/>
              <w:widowControl w:val="0"/>
              <w:jc w:val="left"/>
              <w:rPr>
                <w:rFonts w:ascii="宋体" w:hAnsi="宋体"/>
                <w:bCs/>
              </w:rPr>
            </w:pPr>
            <w:r>
              <w:rPr>
                <w:rFonts w:hint="eastAsia" w:ascii="宋体" w:hAnsi="宋体"/>
                <w:b/>
              </w:rPr>
              <w:t>能力要求：</w:t>
            </w:r>
            <w:r>
              <w:rPr>
                <w:rFonts w:hint="eastAsia" w:ascii="宋体" w:hAnsi="宋体"/>
                <w:bCs/>
              </w:rPr>
              <w:t>能够正确施行现场心肺复苏和使用A</w:t>
            </w:r>
            <w:r>
              <w:rPr>
                <w:rFonts w:ascii="宋体" w:hAnsi="宋体"/>
                <w:bCs/>
              </w:rPr>
              <w:t>ED</w:t>
            </w:r>
            <w:r>
              <w:rPr>
                <w:rFonts w:hint="eastAsia" w:ascii="宋体" w:hAnsi="宋体"/>
                <w:bCs/>
              </w:rPr>
              <w:t>；能进行气道异物梗阻的病情判断和急救，现场止血、包扎、固定和搬运；能对淹溺、电击伤和中暑的病人进行现场急救；能对犬咬伤和毒蛇咬伤的病人进行现场急救；能够树立以人为本、时间就是生命的急救意识。</w:t>
            </w:r>
          </w:p>
          <w:p>
            <w:pPr>
              <w:pStyle w:val="14"/>
              <w:widowControl w:val="0"/>
              <w:jc w:val="left"/>
              <w:rPr>
                <w:rFonts w:ascii="宋体" w:hAnsi="宋体"/>
                <w:b/>
              </w:rPr>
            </w:pPr>
            <w:r>
              <w:rPr>
                <w:rFonts w:hint="eastAsia" w:ascii="宋体" w:hAnsi="宋体"/>
                <w:b/>
              </w:rPr>
              <w:t>教学难点：</w:t>
            </w:r>
            <w:r>
              <w:rPr>
                <w:rFonts w:hint="eastAsia" w:ascii="宋体" w:hAnsi="宋体"/>
                <w:bCs/>
              </w:rPr>
              <w:t>院前急救的工作程序及救护要点，现场心肺复苏的操作和A</w:t>
            </w:r>
            <w:r>
              <w:rPr>
                <w:rFonts w:ascii="宋体" w:hAnsi="宋体"/>
                <w:bCs/>
              </w:rPr>
              <w:t>ED</w:t>
            </w:r>
            <w:r>
              <w:rPr>
                <w:rFonts w:hint="eastAsia" w:ascii="宋体" w:hAnsi="宋体"/>
                <w:bCs/>
              </w:rPr>
              <w:t>的使用，气道异物梗阻的病情判断和急救，现场止血、包扎、固定和搬运的方法。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
              </w:rPr>
            </w:pPr>
            <w:r>
              <w:rPr>
                <w:rFonts w:ascii="宋体" w:hAnsi="宋体"/>
                <w:b/>
              </w:rPr>
              <w:t>3.</w:t>
            </w:r>
            <w:r>
              <w:rPr>
                <w:rFonts w:hint="eastAsia" w:ascii="宋体" w:hAnsi="宋体"/>
                <w:b/>
              </w:rPr>
              <w:t>急诊科救护</w:t>
            </w:r>
          </w:p>
          <w:p>
            <w:pPr>
              <w:pStyle w:val="14"/>
              <w:widowControl w:val="0"/>
              <w:jc w:val="left"/>
              <w:rPr>
                <w:rFonts w:ascii="宋体" w:hAnsi="宋体"/>
                <w:bCs/>
              </w:rPr>
            </w:pPr>
            <w:r>
              <w:rPr>
                <w:rFonts w:hint="eastAsia" w:ascii="宋体" w:hAnsi="宋体"/>
                <w:b/>
              </w:rPr>
              <w:t>知识点：</w:t>
            </w:r>
            <w:r>
              <w:rPr>
                <w:rFonts w:hint="eastAsia" w:ascii="宋体" w:hAnsi="宋体"/>
                <w:bCs/>
              </w:rPr>
              <w:t>知道呼吸支持和循环支持各种方法的工作原理以及常见中毒的发病机制；明确急诊室的布局和管理，常见急症的分诊思路，常见急性中毒的临床表现；运用急诊分诊的各种方法和多功能监护仪等器材，维持气道畅通的各种方法，呼吸支持和循环支持的各种方法，常见急性中毒的急诊救护，常见急症的处理方法。</w:t>
            </w:r>
          </w:p>
          <w:p>
            <w:pPr>
              <w:pStyle w:val="14"/>
              <w:widowControl w:val="0"/>
              <w:jc w:val="left"/>
              <w:rPr>
                <w:rFonts w:ascii="宋体" w:hAnsi="宋体"/>
                <w:bCs/>
              </w:rPr>
            </w:pPr>
            <w:r>
              <w:rPr>
                <w:rFonts w:hint="eastAsia" w:ascii="宋体" w:hAnsi="宋体"/>
                <w:b/>
              </w:rPr>
              <w:t>能力要求：</w:t>
            </w:r>
            <w:r>
              <w:rPr>
                <w:rFonts w:hint="eastAsia" w:ascii="宋体" w:hAnsi="宋体"/>
                <w:bCs/>
              </w:rPr>
              <w:t>能够熟练掌握分诊的各种方法和使用多功能监护仪，能够正确运用维持气道畅通的各种方法，能够熟练掌握呼吸支持和循环支持的各种方法，能够对常见急性中毒的病人进行急诊救护，能够正确处理常见急症；能够树立“生命第一、时效为先”的急救意识，建立良好的团队合作意识。</w:t>
            </w:r>
          </w:p>
          <w:p>
            <w:pPr>
              <w:pStyle w:val="14"/>
              <w:widowControl w:val="0"/>
              <w:jc w:val="left"/>
              <w:rPr>
                <w:rFonts w:ascii="宋体" w:hAnsi="宋体"/>
                <w:b/>
              </w:rPr>
            </w:pPr>
            <w:r>
              <w:rPr>
                <w:rFonts w:hint="eastAsia" w:ascii="宋体" w:hAnsi="宋体"/>
                <w:b/>
              </w:rPr>
              <w:t>教学难点：</w:t>
            </w:r>
            <w:r>
              <w:rPr>
                <w:rFonts w:hint="eastAsia" w:ascii="宋体" w:hAnsi="宋体"/>
                <w:bCs/>
              </w:rPr>
              <w:t>急诊病人的护理工作，分诊的各种方法和多功能监护仪的使用，维持气道畅通的各种方法，呼吸支持和循环支持的各种方法，常见急性中毒的急诊救护，常见急症的处理。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
              </w:rPr>
            </w:pPr>
            <w:r>
              <w:rPr>
                <w:rFonts w:ascii="宋体" w:hAnsi="宋体"/>
                <w:b/>
              </w:rPr>
              <w:t>4.</w:t>
            </w:r>
            <w:r>
              <w:rPr>
                <w:rFonts w:hint="eastAsia" w:ascii="宋体" w:hAnsi="宋体"/>
                <w:b/>
              </w:rPr>
              <w:t>重症监护</w:t>
            </w:r>
          </w:p>
          <w:p>
            <w:pPr>
              <w:pStyle w:val="14"/>
              <w:widowControl w:val="0"/>
              <w:jc w:val="left"/>
              <w:rPr>
                <w:rFonts w:ascii="宋体" w:hAnsi="宋体"/>
                <w:bCs/>
              </w:rPr>
            </w:pPr>
            <w:r>
              <w:rPr>
                <w:rFonts w:hint="eastAsia" w:ascii="宋体" w:hAnsi="宋体"/>
                <w:b/>
              </w:rPr>
              <w:t>知识点：</w:t>
            </w:r>
            <w:r>
              <w:rPr>
                <w:rFonts w:hint="eastAsia" w:ascii="宋体" w:hAnsi="宋体"/>
                <w:bCs/>
              </w:rPr>
              <w:t>知道各系统功能监测的基本原理及监测配合要点；明确心血管、呼吸、神经肾脏、消化、内分泌系统功能监测的目的与临床意义；运用各系统功能监测的方法；分析指标值的临床意义与护理监测重点。</w:t>
            </w:r>
          </w:p>
          <w:p>
            <w:pPr>
              <w:pStyle w:val="14"/>
              <w:widowControl w:val="0"/>
              <w:jc w:val="left"/>
              <w:rPr>
                <w:rFonts w:ascii="宋体" w:hAnsi="宋体"/>
                <w:bCs/>
              </w:rPr>
            </w:pPr>
            <w:r>
              <w:rPr>
                <w:rFonts w:hint="eastAsia" w:ascii="宋体" w:hAnsi="宋体"/>
                <w:b/>
              </w:rPr>
              <w:t>能力要求：</w:t>
            </w:r>
            <w:r>
              <w:rPr>
                <w:rFonts w:hint="eastAsia" w:ascii="宋体" w:hAnsi="宋体"/>
                <w:bCs/>
              </w:rPr>
              <w:t>能够掌握重症监护器材的使用方法；能够掌握各系统功能监测的方法、指标值的临床意义与护理监测重点；具备运用系统功能监测指标综合分析评估病人的脏器功能的能力。</w:t>
            </w:r>
          </w:p>
          <w:p>
            <w:pPr>
              <w:pStyle w:val="14"/>
              <w:widowControl w:val="0"/>
              <w:jc w:val="left"/>
              <w:rPr>
                <w:rFonts w:ascii="宋体" w:hAnsi="宋体"/>
                <w:bCs/>
              </w:rPr>
            </w:pPr>
            <w:r>
              <w:rPr>
                <w:rFonts w:hint="eastAsia" w:ascii="宋体" w:hAnsi="宋体"/>
                <w:b/>
              </w:rPr>
              <w:t>教学难点：</w:t>
            </w:r>
            <w:r>
              <w:rPr>
                <w:rFonts w:hint="eastAsia" w:ascii="宋体" w:hAnsi="宋体"/>
                <w:bCs/>
              </w:rPr>
              <w:t>各系统功能监测的方法、指标值的临床意义与护理监测重点。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
              </w:rPr>
            </w:pPr>
            <w:r>
              <w:rPr>
                <w:rFonts w:ascii="宋体" w:hAnsi="宋体"/>
                <w:b/>
              </w:rPr>
              <w:t>5.</w:t>
            </w:r>
            <w:r>
              <w:rPr>
                <w:rFonts w:hint="eastAsia" w:ascii="宋体" w:hAnsi="宋体"/>
                <w:b/>
              </w:rPr>
              <w:t>灾难救护</w:t>
            </w:r>
          </w:p>
          <w:p>
            <w:pPr>
              <w:pStyle w:val="14"/>
              <w:widowControl w:val="0"/>
              <w:jc w:val="left"/>
              <w:rPr>
                <w:rFonts w:ascii="宋体" w:hAnsi="宋体"/>
                <w:bCs/>
              </w:rPr>
            </w:pPr>
            <w:r>
              <w:rPr>
                <w:rFonts w:hint="eastAsia" w:ascii="宋体" w:hAnsi="宋体"/>
                <w:b/>
              </w:rPr>
              <w:t>知识点：</w:t>
            </w:r>
            <w:r>
              <w:rPr>
                <w:rFonts w:hint="eastAsia" w:ascii="宋体" w:hAnsi="宋体"/>
                <w:bCs/>
              </w:rPr>
              <w:t>知道灾难医学的定义和灾难护理的概念、灾难现场检伤分类标志；明确各种不同灾难类型的特点和灾难伤员的转送原则，灾难现场检伤分类的原则和方法以及灾难现场的救护原则。</w:t>
            </w:r>
          </w:p>
          <w:p>
            <w:pPr>
              <w:pStyle w:val="14"/>
              <w:widowControl w:val="0"/>
              <w:jc w:val="left"/>
              <w:rPr>
                <w:rFonts w:ascii="宋体" w:hAnsi="宋体"/>
                <w:bCs/>
              </w:rPr>
            </w:pPr>
            <w:r>
              <w:rPr>
                <w:rFonts w:hint="eastAsia" w:ascii="宋体" w:hAnsi="宋体"/>
                <w:b/>
              </w:rPr>
              <w:t>能力要求：</w:t>
            </w:r>
            <w:r>
              <w:rPr>
                <w:rFonts w:hint="eastAsia" w:ascii="宋体" w:hAnsi="宋体"/>
                <w:bCs/>
              </w:rPr>
              <w:t>能够熟练掌握灾难现场检伤分类的原则和方法以及灾难现场的救护原则；能够培养良好的团队合作和沟通能力，树立以人为本、生命至上的理念。</w:t>
            </w:r>
          </w:p>
          <w:p>
            <w:pPr>
              <w:pStyle w:val="14"/>
              <w:widowControl w:val="0"/>
              <w:jc w:val="left"/>
              <w:rPr>
                <w:rFonts w:ascii="宋体" w:hAnsi="宋体"/>
                <w:bCs/>
              </w:rPr>
            </w:pPr>
            <w:r>
              <w:rPr>
                <w:rFonts w:hint="eastAsia" w:ascii="宋体" w:hAnsi="宋体"/>
                <w:b/>
              </w:rPr>
              <w:t>教学难点：</w:t>
            </w:r>
            <w:r>
              <w:rPr>
                <w:rFonts w:hint="eastAsia" w:ascii="宋体" w:hAnsi="宋体"/>
                <w:bCs/>
              </w:rPr>
              <w:t>灾难现场检伤分类的原则和方法以及灾难现场的救护原则。</w:t>
            </w:r>
          </w:p>
        </w:tc>
      </w:tr>
      <w:bookmarkEnd w:id="0"/>
      <w:bookmarkEnd w:id="1"/>
    </w:tbl>
    <w:p>
      <w:pPr>
        <w:pStyle w:val="17"/>
        <w:spacing w:before="81" w:after="163"/>
      </w:pPr>
      <w:r>
        <w:rPr>
          <w:rFonts w:hint="eastAsia"/>
        </w:rPr>
        <w:t>（二）教学单元对课程目标的支撑关系</w:t>
      </w:r>
    </w:p>
    <w:tbl>
      <w:tblPr>
        <w:tblStyle w:val="7"/>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357"/>
        <w:gridCol w:w="1516"/>
        <w:gridCol w:w="1516"/>
        <w:gridCol w:w="1516"/>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301"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480" w:type="dxa"/>
            <w:tcBorders>
              <w:top w:val="single" w:color="auto" w:sz="12" w:space="0"/>
            </w:tcBorders>
            <w:vAlign w:val="center"/>
          </w:tcPr>
          <w:p>
            <w:pPr>
              <w:pStyle w:val="13"/>
              <w:rPr>
                <w:szCs w:val="16"/>
              </w:rPr>
            </w:pPr>
            <w:r>
              <w:rPr>
                <w:rFonts w:hint="eastAsia"/>
                <w:szCs w:val="16"/>
              </w:rPr>
              <w:t>1</w:t>
            </w:r>
          </w:p>
        </w:tc>
        <w:tc>
          <w:tcPr>
            <w:tcW w:w="1480" w:type="dxa"/>
            <w:tcBorders>
              <w:top w:val="single" w:color="auto" w:sz="12" w:space="0"/>
            </w:tcBorders>
            <w:vAlign w:val="center"/>
          </w:tcPr>
          <w:p>
            <w:pPr>
              <w:pStyle w:val="13"/>
              <w:rPr>
                <w:szCs w:val="16"/>
              </w:rPr>
            </w:pPr>
            <w:r>
              <w:rPr>
                <w:rFonts w:hint="eastAsia"/>
                <w:szCs w:val="16"/>
              </w:rPr>
              <w:t>2</w:t>
            </w:r>
          </w:p>
        </w:tc>
        <w:tc>
          <w:tcPr>
            <w:tcW w:w="1480" w:type="dxa"/>
            <w:tcBorders>
              <w:top w:val="single" w:color="auto" w:sz="12" w:space="0"/>
            </w:tcBorders>
            <w:vAlign w:val="center"/>
          </w:tcPr>
          <w:p>
            <w:pPr>
              <w:pStyle w:val="13"/>
              <w:rPr>
                <w:szCs w:val="16"/>
              </w:rPr>
            </w:pPr>
            <w:r>
              <w:rPr>
                <w:rFonts w:hint="eastAsia"/>
                <w:szCs w:val="16"/>
              </w:rPr>
              <w:t>3</w:t>
            </w:r>
          </w:p>
        </w:tc>
        <w:tc>
          <w:tcPr>
            <w:tcW w:w="1480" w:type="dxa"/>
            <w:tcBorders>
              <w:top w:val="single" w:color="auto" w:sz="12" w:space="0"/>
              <w:right w:val="single" w:color="auto" w:sz="12" w:space="0"/>
            </w:tcBorders>
            <w:vAlign w:val="center"/>
          </w:tcPr>
          <w:p>
            <w:pPr>
              <w:pStyle w:val="13"/>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01" w:type="dxa"/>
            <w:tcBorders>
              <w:left w:val="single" w:color="auto" w:sz="12" w:space="0"/>
            </w:tcBorders>
          </w:tcPr>
          <w:p>
            <w:pPr>
              <w:pStyle w:val="14"/>
              <w:jc w:val="left"/>
            </w:pPr>
            <w:r>
              <w:rPr>
                <w:rFonts w:hint="eastAsia"/>
              </w:rPr>
              <w:t>1</w:t>
            </w:r>
            <w:r>
              <w:t>.</w:t>
            </w:r>
            <w:r>
              <w:rPr>
                <w:rFonts w:hint="eastAsia"/>
              </w:rPr>
              <w:t>绪论</w:t>
            </w:r>
          </w:p>
        </w:tc>
        <w:tc>
          <w:tcPr>
            <w:tcW w:w="1480" w:type="dxa"/>
            <w:vAlign w:val="center"/>
          </w:tcPr>
          <w:p>
            <w:pPr>
              <w:pStyle w:val="14"/>
            </w:pPr>
            <w:r>
              <w:rPr>
                <w:rFonts w:ascii="Lucida Console" w:hAnsi="Lucida Console"/>
              </w:rPr>
              <w:t>√</w:t>
            </w:r>
          </w:p>
        </w:tc>
        <w:tc>
          <w:tcPr>
            <w:tcW w:w="1480" w:type="dxa"/>
            <w:vAlign w:val="center"/>
          </w:tcPr>
          <w:p>
            <w:pPr>
              <w:pStyle w:val="14"/>
            </w:pPr>
          </w:p>
        </w:tc>
        <w:tc>
          <w:tcPr>
            <w:tcW w:w="1480" w:type="dxa"/>
            <w:vAlign w:val="center"/>
          </w:tcPr>
          <w:p>
            <w:pPr>
              <w:pStyle w:val="14"/>
            </w:pPr>
          </w:p>
        </w:tc>
        <w:tc>
          <w:tcPr>
            <w:tcW w:w="1480"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01" w:type="dxa"/>
            <w:tcBorders>
              <w:left w:val="single" w:color="auto" w:sz="12" w:space="0"/>
            </w:tcBorders>
          </w:tcPr>
          <w:p>
            <w:pPr>
              <w:pStyle w:val="14"/>
              <w:jc w:val="left"/>
            </w:pPr>
            <w:r>
              <w:rPr>
                <w:rFonts w:hint="eastAsia"/>
              </w:rPr>
              <w:t>2</w:t>
            </w:r>
            <w:r>
              <w:t>.</w:t>
            </w:r>
            <w:r>
              <w:rPr>
                <w:rFonts w:hint="eastAsia"/>
              </w:rPr>
              <w:t>院前急救</w:t>
            </w:r>
          </w:p>
        </w:tc>
        <w:tc>
          <w:tcPr>
            <w:tcW w:w="1480" w:type="dxa"/>
            <w:vAlign w:val="center"/>
          </w:tcPr>
          <w:p>
            <w:pPr>
              <w:pStyle w:val="14"/>
            </w:pPr>
            <w:r>
              <w:rPr>
                <w:rFonts w:ascii="Lucida Console" w:hAnsi="Lucida Console"/>
              </w:rPr>
              <w:t>√</w:t>
            </w:r>
          </w:p>
        </w:tc>
        <w:tc>
          <w:tcPr>
            <w:tcW w:w="1480" w:type="dxa"/>
            <w:vAlign w:val="center"/>
          </w:tcPr>
          <w:p>
            <w:pPr>
              <w:pStyle w:val="14"/>
            </w:pPr>
            <w:r>
              <w:rPr>
                <w:rFonts w:ascii="Lucida Console" w:hAnsi="Lucida Console"/>
              </w:rPr>
              <w:t>√</w:t>
            </w:r>
          </w:p>
        </w:tc>
        <w:tc>
          <w:tcPr>
            <w:tcW w:w="1480" w:type="dxa"/>
            <w:vAlign w:val="center"/>
          </w:tcPr>
          <w:p>
            <w:pPr>
              <w:pStyle w:val="14"/>
            </w:pPr>
            <w:r>
              <w:rPr>
                <w:rFonts w:ascii="Lucida Console" w:hAnsi="Lucida Console"/>
              </w:rPr>
              <w:t>√</w:t>
            </w:r>
          </w:p>
        </w:tc>
        <w:tc>
          <w:tcPr>
            <w:tcW w:w="1480"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01" w:type="dxa"/>
            <w:tcBorders>
              <w:left w:val="single" w:color="auto" w:sz="12" w:space="0"/>
            </w:tcBorders>
          </w:tcPr>
          <w:p>
            <w:pPr>
              <w:pStyle w:val="14"/>
              <w:jc w:val="left"/>
            </w:pPr>
            <w:r>
              <w:rPr>
                <w:rFonts w:hint="eastAsia"/>
              </w:rPr>
              <w:t>3</w:t>
            </w:r>
            <w:r>
              <w:t>.</w:t>
            </w:r>
            <w:r>
              <w:rPr>
                <w:rFonts w:hint="eastAsia"/>
              </w:rPr>
              <w:t>急诊科救护</w:t>
            </w:r>
          </w:p>
        </w:tc>
        <w:tc>
          <w:tcPr>
            <w:tcW w:w="1480" w:type="dxa"/>
            <w:vAlign w:val="center"/>
          </w:tcPr>
          <w:p>
            <w:pPr>
              <w:pStyle w:val="14"/>
            </w:pPr>
            <w:r>
              <w:rPr>
                <w:rFonts w:ascii="Lucida Console" w:hAnsi="Lucida Console"/>
              </w:rPr>
              <w:t>√</w:t>
            </w:r>
          </w:p>
        </w:tc>
        <w:tc>
          <w:tcPr>
            <w:tcW w:w="1480" w:type="dxa"/>
            <w:vAlign w:val="center"/>
          </w:tcPr>
          <w:p>
            <w:pPr>
              <w:pStyle w:val="14"/>
            </w:pPr>
            <w:r>
              <w:rPr>
                <w:rFonts w:ascii="Lucida Console" w:hAnsi="Lucida Console"/>
              </w:rPr>
              <w:t>√</w:t>
            </w:r>
          </w:p>
        </w:tc>
        <w:tc>
          <w:tcPr>
            <w:tcW w:w="1480" w:type="dxa"/>
            <w:vAlign w:val="center"/>
          </w:tcPr>
          <w:p>
            <w:pPr>
              <w:pStyle w:val="14"/>
            </w:pPr>
            <w:r>
              <w:rPr>
                <w:rFonts w:ascii="Lucida Console" w:hAnsi="Lucida Console"/>
              </w:rPr>
              <w:t>√</w:t>
            </w:r>
          </w:p>
        </w:tc>
        <w:tc>
          <w:tcPr>
            <w:tcW w:w="1480"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01" w:type="dxa"/>
            <w:tcBorders>
              <w:left w:val="single" w:color="auto" w:sz="12" w:space="0"/>
            </w:tcBorders>
          </w:tcPr>
          <w:p>
            <w:pPr>
              <w:pStyle w:val="14"/>
              <w:jc w:val="left"/>
            </w:pPr>
            <w:r>
              <w:t>4.</w:t>
            </w:r>
            <w:r>
              <w:rPr>
                <w:rFonts w:hint="eastAsia"/>
              </w:rPr>
              <w:t>重症监护</w:t>
            </w:r>
          </w:p>
        </w:tc>
        <w:tc>
          <w:tcPr>
            <w:tcW w:w="1480" w:type="dxa"/>
            <w:vAlign w:val="center"/>
          </w:tcPr>
          <w:p>
            <w:pPr>
              <w:pStyle w:val="14"/>
            </w:pPr>
            <w:r>
              <w:rPr>
                <w:rFonts w:ascii="Lucida Console" w:hAnsi="Lucida Console"/>
              </w:rPr>
              <w:t>√</w:t>
            </w:r>
          </w:p>
        </w:tc>
        <w:tc>
          <w:tcPr>
            <w:tcW w:w="1480" w:type="dxa"/>
            <w:vAlign w:val="center"/>
          </w:tcPr>
          <w:p>
            <w:pPr>
              <w:pStyle w:val="14"/>
            </w:pPr>
            <w:r>
              <w:rPr>
                <w:rFonts w:ascii="Lucida Console" w:hAnsi="Lucida Console"/>
              </w:rPr>
              <w:t>√</w:t>
            </w:r>
          </w:p>
        </w:tc>
        <w:tc>
          <w:tcPr>
            <w:tcW w:w="1480" w:type="dxa"/>
            <w:vAlign w:val="center"/>
          </w:tcPr>
          <w:p>
            <w:pPr>
              <w:pStyle w:val="14"/>
            </w:pPr>
            <w:r>
              <w:rPr>
                <w:rFonts w:ascii="Lucida Console" w:hAnsi="Lucida Console"/>
              </w:rPr>
              <w:t>√</w:t>
            </w:r>
          </w:p>
        </w:tc>
        <w:tc>
          <w:tcPr>
            <w:tcW w:w="1480" w:type="dxa"/>
            <w:tcBorders>
              <w:right w:val="single" w:color="auto" w:sz="12" w:space="0"/>
            </w:tcBorders>
            <w:vAlign w:val="center"/>
          </w:tcPr>
          <w:p>
            <w:pPr>
              <w:pStyle w:val="14"/>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301" w:type="dxa"/>
            <w:tcBorders>
              <w:left w:val="single" w:color="auto" w:sz="12" w:space="0"/>
              <w:bottom w:val="single" w:color="auto" w:sz="12" w:space="0"/>
            </w:tcBorders>
          </w:tcPr>
          <w:p>
            <w:pPr>
              <w:pStyle w:val="14"/>
              <w:jc w:val="left"/>
            </w:pPr>
            <w:r>
              <w:rPr>
                <w:rFonts w:hint="eastAsia"/>
              </w:rPr>
              <w:t>5</w:t>
            </w:r>
            <w:r>
              <w:t>.</w:t>
            </w:r>
            <w:r>
              <w:rPr>
                <w:rFonts w:hint="eastAsia"/>
              </w:rPr>
              <w:t>灾难救护</w:t>
            </w:r>
          </w:p>
        </w:tc>
        <w:tc>
          <w:tcPr>
            <w:tcW w:w="1480" w:type="dxa"/>
            <w:tcBorders>
              <w:bottom w:val="single" w:color="auto" w:sz="12" w:space="0"/>
            </w:tcBorders>
            <w:vAlign w:val="center"/>
          </w:tcPr>
          <w:p>
            <w:pPr>
              <w:pStyle w:val="14"/>
            </w:pPr>
            <w:r>
              <w:rPr>
                <w:rFonts w:ascii="Lucida Console" w:hAnsi="Lucida Console"/>
              </w:rPr>
              <w:t>√</w:t>
            </w:r>
          </w:p>
        </w:tc>
        <w:tc>
          <w:tcPr>
            <w:tcW w:w="1480" w:type="dxa"/>
            <w:tcBorders>
              <w:bottom w:val="single" w:color="auto" w:sz="12" w:space="0"/>
            </w:tcBorders>
            <w:vAlign w:val="center"/>
          </w:tcPr>
          <w:p>
            <w:pPr>
              <w:pStyle w:val="14"/>
            </w:pPr>
            <w:r>
              <w:rPr>
                <w:rFonts w:ascii="Lucida Console" w:hAnsi="Lucida Console"/>
              </w:rPr>
              <w:t>√</w:t>
            </w:r>
          </w:p>
        </w:tc>
        <w:tc>
          <w:tcPr>
            <w:tcW w:w="1480" w:type="dxa"/>
            <w:tcBorders>
              <w:bottom w:val="single" w:color="auto" w:sz="12" w:space="0"/>
            </w:tcBorders>
            <w:vAlign w:val="center"/>
          </w:tcPr>
          <w:p>
            <w:pPr>
              <w:pStyle w:val="14"/>
            </w:pPr>
            <w:r>
              <w:rPr>
                <w:rFonts w:ascii="Lucida Console" w:hAnsi="Lucida Console"/>
              </w:rPr>
              <w:t>√</w:t>
            </w:r>
          </w:p>
        </w:tc>
        <w:tc>
          <w:tcPr>
            <w:tcW w:w="1480" w:type="dxa"/>
            <w:tcBorders>
              <w:bottom w:val="single" w:color="auto" w:sz="12" w:space="0"/>
              <w:right w:val="single" w:color="auto" w:sz="12" w:space="0"/>
            </w:tcBorders>
            <w:vAlign w:val="center"/>
          </w:tcPr>
          <w:p>
            <w:pPr>
              <w:pStyle w:val="14"/>
            </w:pPr>
            <w:r>
              <w:rPr>
                <w:rFonts w:ascii="Lucida Console" w:hAnsi="Lucida Console"/>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9"/>
        <w:gridCol w:w="3041"/>
        <w:gridCol w:w="1738"/>
        <w:gridCol w:w="724"/>
        <w:gridCol w:w="66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5"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76"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01"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4"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5"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976" w:type="dxa"/>
            <w:vMerge w:val="continue"/>
          </w:tcPr>
          <w:p>
            <w:pPr>
              <w:widowControl w:val="0"/>
              <w:snapToGrid w:val="0"/>
              <w:jc w:val="center"/>
              <w:rPr>
                <w:rFonts w:ascii="黑体" w:hAnsi="黑体" w:eastAsia="黑体"/>
                <w:bCs/>
                <w:sz w:val="21"/>
                <w:szCs w:val="21"/>
              </w:rPr>
            </w:pPr>
          </w:p>
        </w:tc>
        <w:tc>
          <w:tcPr>
            <w:tcW w:w="1701" w:type="dxa"/>
            <w:vMerge w:val="continue"/>
          </w:tcPr>
          <w:p>
            <w:pPr>
              <w:widowControl w:val="0"/>
              <w:snapToGrid w:val="0"/>
              <w:jc w:val="center"/>
              <w:rPr>
                <w:rFonts w:ascii="黑体" w:hAnsi="黑体" w:eastAsia="黑体"/>
                <w:bCs/>
                <w:sz w:val="21"/>
                <w:szCs w:val="21"/>
              </w:rPr>
            </w:pPr>
          </w:p>
        </w:tc>
        <w:tc>
          <w:tcPr>
            <w:tcW w:w="70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4"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1"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5" w:type="dxa"/>
            <w:tcBorders>
              <w:left w:val="single" w:color="auto" w:sz="12" w:space="0"/>
            </w:tcBorders>
            <w:vAlign w:val="center"/>
          </w:tcPr>
          <w:p>
            <w:pPr>
              <w:widowControl w:val="0"/>
              <w:snapToGrid w:val="0"/>
              <w:jc w:val="left"/>
              <w:rPr>
                <w:rFonts w:ascii="Times New Roman" w:hAnsi="Times New Roman"/>
                <w:bCs/>
                <w:sz w:val="21"/>
                <w:szCs w:val="21"/>
              </w:rPr>
            </w:pPr>
            <w:r>
              <w:rPr>
                <w:rFonts w:hint="eastAsia"/>
                <w:sz w:val="21"/>
                <w:szCs w:val="21"/>
              </w:rPr>
              <w:t>1</w:t>
            </w:r>
            <w:r>
              <w:rPr>
                <w:sz w:val="21"/>
                <w:szCs w:val="21"/>
              </w:rPr>
              <w:t>.</w:t>
            </w:r>
            <w:r>
              <w:rPr>
                <w:rFonts w:hint="eastAsia"/>
                <w:sz w:val="21"/>
                <w:szCs w:val="21"/>
              </w:rPr>
              <w:t>绪论</w:t>
            </w:r>
          </w:p>
        </w:tc>
        <w:tc>
          <w:tcPr>
            <w:tcW w:w="297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w:t>
            </w:r>
          </w:p>
        </w:tc>
        <w:tc>
          <w:tcPr>
            <w:tcW w:w="170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c>
          <w:tcPr>
            <w:tcW w:w="65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1"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5" w:type="dxa"/>
            <w:tcBorders>
              <w:left w:val="single" w:color="auto" w:sz="12" w:space="0"/>
            </w:tcBorders>
            <w:vAlign w:val="center"/>
          </w:tcPr>
          <w:p>
            <w:pPr>
              <w:widowControl w:val="0"/>
              <w:snapToGrid w:val="0"/>
              <w:jc w:val="left"/>
              <w:rPr>
                <w:rFonts w:ascii="Times New Roman" w:hAnsi="Times New Roman"/>
                <w:bCs/>
                <w:sz w:val="21"/>
                <w:szCs w:val="21"/>
              </w:rPr>
            </w:pPr>
            <w:r>
              <w:rPr>
                <w:rFonts w:hint="eastAsia"/>
                <w:sz w:val="21"/>
                <w:szCs w:val="21"/>
              </w:rPr>
              <w:t>2</w:t>
            </w:r>
            <w:r>
              <w:rPr>
                <w:sz w:val="21"/>
                <w:szCs w:val="21"/>
              </w:rPr>
              <w:t>.</w:t>
            </w:r>
            <w:r>
              <w:rPr>
                <w:rFonts w:hint="eastAsia"/>
                <w:sz w:val="21"/>
                <w:szCs w:val="21"/>
              </w:rPr>
              <w:t>院前急救</w:t>
            </w:r>
          </w:p>
        </w:tc>
        <w:tc>
          <w:tcPr>
            <w:tcW w:w="297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讲授法，示教法，实验法</w:t>
            </w:r>
          </w:p>
        </w:tc>
        <w:tc>
          <w:tcPr>
            <w:tcW w:w="170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操作考核</w:t>
            </w:r>
          </w:p>
          <w:p>
            <w:pPr>
              <w:widowControl w:val="0"/>
              <w:snapToGrid w:val="0"/>
              <w:jc w:val="center"/>
              <w:rPr>
                <w:rFonts w:ascii="Times New Roman" w:hAnsi="Times New Roman"/>
                <w:bCs/>
                <w:sz w:val="21"/>
                <w:szCs w:val="21"/>
              </w:rPr>
            </w:pPr>
            <w:r>
              <w:rPr>
                <w:rFonts w:hint="eastAsia" w:ascii="Times New Roman" w:hAnsi="Times New Roman"/>
                <w:bCs/>
                <w:sz w:val="21"/>
                <w:szCs w:val="21"/>
              </w:rPr>
              <w:t>实训报告</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9" w:type="dxa"/>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6</w:t>
            </w:r>
          </w:p>
        </w:tc>
        <w:tc>
          <w:tcPr>
            <w:tcW w:w="654" w:type="dxa"/>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2</w:t>
            </w:r>
          </w:p>
        </w:tc>
        <w:tc>
          <w:tcPr>
            <w:tcW w:w="701"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5" w:type="dxa"/>
            <w:tcBorders>
              <w:left w:val="single" w:color="auto" w:sz="12" w:space="0"/>
            </w:tcBorders>
            <w:vAlign w:val="center"/>
          </w:tcPr>
          <w:p>
            <w:pPr>
              <w:widowControl w:val="0"/>
              <w:snapToGrid w:val="0"/>
              <w:jc w:val="left"/>
              <w:rPr>
                <w:rFonts w:ascii="Times New Roman" w:hAnsi="Times New Roman"/>
                <w:bCs/>
                <w:sz w:val="21"/>
                <w:szCs w:val="21"/>
              </w:rPr>
            </w:pPr>
            <w:r>
              <w:rPr>
                <w:rFonts w:hint="eastAsia"/>
                <w:sz w:val="21"/>
                <w:szCs w:val="21"/>
              </w:rPr>
              <w:t>3</w:t>
            </w:r>
            <w:r>
              <w:rPr>
                <w:sz w:val="21"/>
                <w:szCs w:val="21"/>
              </w:rPr>
              <w:t>.</w:t>
            </w:r>
            <w:r>
              <w:rPr>
                <w:rFonts w:hint="eastAsia"/>
                <w:sz w:val="21"/>
                <w:szCs w:val="21"/>
              </w:rPr>
              <w:t>急诊科救护</w:t>
            </w:r>
          </w:p>
        </w:tc>
        <w:tc>
          <w:tcPr>
            <w:tcW w:w="297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讲授法，示教法，实验法</w:t>
            </w:r>
          </w:p>
        </w:tc>
        <w:tc>
          <w:tcPr>
            <w:tcW w:w="170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实训报告</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9" w:type="dxa"/>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7</w:t>
            </w:r>
          </w:p>
        </w:tc>
        <w:tc>
          <w:tcPr>
            <w:tcW w:w="654" w:type="dxa"/>
            <w:vAlign w:val="center"/>
          </w:tcPr>
          <w:p>
            <w:pPr>
              <w:widowControl w:val="0"/>
              <w:jc w:val="center"/>
              <w:rPr>
                <w:rFonts w:ascii="Times New Roman" w:hAnsi="Times New Roman"/>
                <w:sz w:val="21"/>
                <w:szCs w:val="21"/>
              </w:rPr>
            </w:pPr>
            <w:r>
              <w:rPr>
                <w:rFonts w:hint="eastAsia" w:ascii="Times New Roman" w:hAnsi="Times New Roman"/>
                <w:sz w:val="21"/>
                <w:szCs w:val="21"/>
              </w:rPr>
              <w:t>0</w:t>
            </w:r>
          </w:p>
        </w:tc>
        <w:tc>
          <w:tcPr>
            <w:tcW w:w="701"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5" w:type="dxa"/>
            <w:tcBorders>
              <w:left w:val="single" w:color="auto" w:sz="12" w:space="0"/>
            </w:tcBorders>
            <w:vAlign w:val="center"/>
          </w:tcPr>
          <w:p>
            <w:pPr>
              <w:widowControl w:val="0"/>
              <w:snapToGrid w:val="0"/>
              <w:jc w:val="left"/>
              <w:rPr>
                <w:rFonts w:ascii="Times New Roman" w:hAnsi="Times New Roman"/>
                <w:bCs/>
                <w:sz w:val="21"/>
                <w:szCs w:val="21"/>
              </w:rPr>
            </w:pPr>
            <w:r>
              <w:rPr>
                <w:sz w:val="21"/>
                <w:szCs w:val="21"/>
              </w:rPr>
              <w:t>4.</w:t>
            </w:r>
            <w:r>
              <w:rPr>
                <w:rFonts w:hint="eastAsia"/>
                <w:sz w:val="21"/>
                <w:szCs w:val="21"/>
              </w:rPr>
              <w:t>重症监护</w:t>
            </w:r>
          </w:p>
        </w:tc>
        <w:tc>
          <w:tcPr>
            <w:tcW w:w="297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讲授法，示教法，实验法</w:t>
            </w:r>
          </w:p>
        </w:tc>
        <w:tc>
          <w:tcPr>
            <w:tcW w:w="170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实训报告</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1"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5" w:type="dxa"/>
            <w:tcBorders>
              <w:left w:val="single" w:color="auto" w:sz="12" w:space="0"/>
            </w:tcBorders>
            <w:vAlign w:val="center"/>
          </w:tcPr>
          <w:p>
            <w:pPr>
              <w:widowControl w:val="0"/>
              <w:snapToGrid w:val="0"/>
              <w:jc w:val="left"/>
              <w:rPr>
                <w:rFonts w:ascii="Times New Roman" w:hAnsi="Times New Roman"/>
                <w:bCs/>
                <w:sz w:val="21"/>
                <w:szCs w:val="21"/>
              </w:rPr>
            </w:pPr>
            <w:r>
              <w:rPr>
                <w:rFonts w:hint="eastAsia"/>
                <w:sz w:val="21"/>
                <w:szCs w:val="21"/>
              </w:rPr>
              <w:t>5</w:t>
            </w:r>
            <w:r>
              <w:rPr>
                <w:sz w:val="21"/>
                <w:szCs w:val="21"/>
              </w:rPr>
              <w:t>.</w:t>
            </w:r>
            <w:r>
              <w:rPr>
                <w:rFonts w:hint="eastAsia"/>
                <w:sz w:val="21"/>
                <w:szCs w:val="21"/>
              </w:rPr>
              <w:t>灾难救护</w:t>
            </w:r>
          </w:p>
        </w:tc>
        <w:tc>
          <w:tcPr>
            <w:tcW w:w="2976"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讲授法，示教法，实验法</w:t>
            </w:r>
          </w:p>
        </w:tc>
        <w:tc>
          <w:tcPr>
            <w:tcW w:w="1701"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实训报告</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9"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1"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32"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2</w:t>
            </w:r>
            <w:r>
              <w:rPr>
                <w:rFonts w:hint="eastAsia" w:ascii="Times New Roman" w:hAnsi="Times New Roman"/>
                <w:bCs/>
                <w:sz w:val="21"/>
                <w:szCs w:val="21"/>
                <w:lang w:val="en-US" w:eastAsia="zh-CN"/>
              </w:rPr>
              <w:t>0</w:t>
            </w:r>
          </w:p>
        </w:tc>
        <w:tc>
          <w:tcPr>
            <w:tcW w:w="654"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2</w:t>
            </w:r>
          </w:p>
        </w:tc>
        <w:tc>
          <w:tcPr>
            <w:tcW w:w="701"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199"/>
        <w:gridCol w:w="724"/>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4100"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707"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rPr>
              <w:t>院前急救</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rPr>
              <w:t>心肺复苏C</w:t>
            </w:r>
            <w:r>
              <w:t>PR</w:t>
            </w:r>
          </w:p>
        </w:tc>
        <w:tc>
          <w:tcPr>
            <w:tcW w:w="707" w:type="dxa"/>
            <w:tcBorders>
              <w:left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rPr>
              <w:t>实操考核</w:t>
            </w:r>
          </w:p>
        </w:tc>
        <w:tc>
          <w:tcPr>
            <w:tcW w:w="4100" w:type="dxa"/>
            <w:tcBorders>
              <w:top w:val="single" w:color="auto" w:sz="4" w:space="0"/>
              <w:left w:val="single" w:color="auto" w:sz="4" w:space="0"/>
              <w:bottom w:val="single" w:color="auto" w:sz="4" w:space="0"/>
              <w:right w:val="single" w:color="auto" w:sz="4" w:space="0"/>
            </w:tcBorders>
            <w:vAlign w:val="center"/>
          </w:tcPr>
          <w:p>
            <w:pPr>
              <w:pStyle w:val="14"/>
              <w:jc w:val="left"/>
            </w:pPr>
            <w:r>
              <w:t>CPR</w:t>
            </w:r>
            <w:r>
              <w:rPr>
                <w:rFonts w:hint="eastAsia"/>
              </w:rPr>
              <w:t>实操考核</w:t>
            </w:r>
          </w:p>
        </w:tc>
        <w:tc>
          <w:tcPr>
            <w:tcW w:w="707"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3</w:t>
            </w:r>
          </w:p>
        </w:tc>
        <w:tc>
          <w:tcPr>
            <w:tcW w:w="1838"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14"/>
            </w:pPr>
            <w:r>
              <w:rPr>
                <w:rFonts w:hint="eastAsia"/>
              </w:rPr>
              <w:t>常用救护技术</w:t>
            </w:r>
          </w:p>
        </w:tc>
        <w:tc>
          <w:tcPr>
            <w:tcW w:w="4100" w:type="dxa"/>
            <w:tcBorders>
              <w:top w:val="single" w:color="auto" w:sz="4" w:space="0"/>
              <w:left w:val="single" w:color="auto" w:sz="4" w:space="0"/>
              <w:bottom w:val="single" w:color="auto" w:sz="12" w:space="0"/>
              <w:right w:val="single" w:color="auto" w:sz="4" w:space="0"/>
            </w:tcBorders>
            <w:vAlign w:val="center"/>
          </w:tcPr>
          <w:p>
            <w:pPr>
              <w:pStyle w:val="14"/>
              <w:jc w:val="left"/>
            </w:pPr>
            <w:r>
              <w:rPr>
                <w:rFonts w:hint="eastAsia"/>
              </w:rPr>
              <w:t>止血包扎固定搬运、气道异物梗阻急救</w:t>
            </w:r>
          </w:p>
        </w:tc>
        <w:tc>
          <w:tcPr>
            <w:tcW w:w="707" w:type="dxa"/>
            <w:tcBorders>
              <w:left w:val="single" w:color="auto" w:sz="4" w:space="0"/>
              <w:bottom w:val="single" w:color="auto" w:sz="12" w:space="0"/>
              <w:right w:val="single" w:color="auto" w:sz="4" w:space="0"/>
            </w:tcBorders>
            <w:shd w:val="clear" w:color="auto" w:fill="auto"/>
            <w:vAlign w:val="center"/>
          </w:tcPr>
          <w:p>
            <w:pPr>
              <w:pStyle w:val="14"/>
              <w:rPr>
                <w:rFonts w:hint="eastAsia" w:eastAsia="宋体"/>
                <w:lang w:eastAsia="zh-CN"/>
              </w:rPr>
            </w:pPr>
            <w:r>
              <w:rPr>
                <w:rFonts w:hint="eastAsia"/>
                <w:lang w:val="en-US" w:eastAsia="zh-CN"/>
              </w:rPr>
              <w:t>4</w:t>
            </w:r>
          </w:p>
        </w:tc>
        <w:tc>
          <w:tcPr>
            <w:tcW w:w="928" w:type="dxa"/>
            <w:tcBorders>
              <w:left w:val="single" w:color="auto" w:sz="4" w:space="0"/>
              <w:bottom w:val="single" w:color="auto" w:sz="12" w:space="0"/>
              <w:right w:val="single" w:color="auto" w:sz="12" w:space="0"/>
            </w:tcBorders>
            <w:shd w:val="clear" w:color="auto" w:fill="auto"/>
            <w:vAlign w:val="center"/>
          </w:tcPr>
          <w:p>
            <w:pPr>
              <w:pStyle w:val="14"/>
            </w:pPr>
            <w:r>
              <w:rPr>
                <w:rFonts w:hint="eastAsia"/>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pPr>
              <w:pStyle w:val="14"/>
              <w:widowControl w:val="0"/>
              <w:rPr>
                <w:rFonts w:ascii="宋体" w:hAnsi="宋体"/>
                <w:bCs/>
              </w:rPr>
            </w:pPr>
            <w:r>
              <w:rPr>
                <w:rFonts w:hint="eastAsia" w:ascii="宋体" w:hAnsi="宋体"/>
                <w:bCs/>
              </w:rPr>
              <w:t>课程思政教学设计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984"/>
              <w:gridCol w:w="334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tcPr>
                <w:p>
                  <w:pPr>
                    <w:pStyle w:val="14"/>
                    <w:widowControl w:val="0"/>
                    <w:rPr>
                      <w:rFonts w:ascii="宋体" w:hAnsi="宋体"/>
                      <w:bCs/>
                    </w:rPr>
                  </w:pPr>
                  <w:r>
                    <w:rPr>
                      <w:rFonts w:hint="eastAsia" w:ascii="宋体" w:hAnsi="宋体"/>
                      <w:bCs/>
                    </w:rPr>
                    <w:t>序号</w:t>
                  </w:r>
                </w:p>
              </w:tc>
              <w:tc>
                <w:tcPr>
                  <w:tcW w:w="1984" w:type="dxa"/>
                </w:tcPr>
                <w:p>
                  <w:pPr>
                    <w:pStyle w:val="14"/>
                    <w:widowControl w:val="0"/>
                    <w:rPr>
                      <w:rFonts w:ascii="宋体" w:hAnsi="宋体"/>
                      <w:bCs/>
                    </w:rPr>
                  </w:pPr>
                  <w:r>
                    <w:rPr>
                      <w:rFonts w:hint="eastAsia" w:ascii="宋体" w:hAnsi="宋体"/>
                      <w:bCs/>
                    </w:rPr>
                    <w:t>课程学习任务</w:t>
                  </w:r>
                </w:p>
              </w:tc>
              <w:tc>
                <w:tcPr>
                  <w:tcW w:w="3340" w:type="dxa"/>
                </w:tcPr>
                <w:p>
                  <w:pPr>
                    <w:pStyle w:val="14"/>
                    <w:widowControl w:val="0"/>
                    <w:rPr>
                      <w:rFonts w:ascii="宋体" w:hAnsi="宋体"/>
                      <w:bCs/>
                    </w:rPr>
                  </w:pPr>
                  <w:r>
                    <w:rPr>
                      <w:rFonts w:hint="eastAsia" w:ascii="宋体" w:hAnsi="宋体"/>
                      <w:bCs/>
                    </w:rPr>
                    <w:t>思政元素</w:t>
                  </w:r>
                </w:p>
              </w:tc>
              <w:tc>
                <w:tcPr>
                  <w:tcW w:w="2024" w:type="dxa"/>
                </w:tcPr>
                <w:p>
                  <w:pPr>
                    <w:pStyle w:val="14"/>
                    <w:widowControl w:val="0"/>
                    <w:rPr>
                      <w:rFonts w:ascii="宋体" w:hAnsi="宋体"/>
                      <w:bCs/>
                    </w:rPr>
                  </w:pPr>
                  <w:r>
                    <w:rPr>
                      <w:rFonts w:hint="eastAsia" w:ascii="宋体" w:hAnsi="宋体"/>
                      <w:bCs/>
                    </w:rPr>
                    <w:t>课程思政融入点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1</w:t>
                  </w:r>
                </w:p>
              </w:tc>
              <w:tc>
                <w:tcPr>
                  <w:tcW w:w="1984" w:type="dxa"/>
                  <w:vAlign w:val="center"/>
                </w:tcPr>
                <w:p>
                  <w:pPr>
                    <w:pStyle w:val="14"/>
                    <w:widowControl w:val="0"/>
                    <w:jc w:val="both"/>
                    <w:rPr>
                      <w:rFonts w:ascii="宋体" w:hAnsi="宋体"/>
                      <w:bCs/>
                    </w:rPr>
                  </w:pPr>
                  <w:r>
                    <w:rPr>
                      <w:rFonts w:hint="eastAsia"/>
                    </w:rPr>
                    <w:t>绪论</w:t>
                  </w:r>
                </w:p>
              </w:tc>
              <w:tc>
                <w:tcPr>
                  <w:tcW w:w="3340" w:type="dxa"/>
                  <w:vAlign w:val="center"/>
                </w:tcPr>
                <w:p>
                  <w:pPr>
                    <w:pStyle w:val="14"/>
                    <w:widowControl w:val="0"/>
                    <w:jc w:val="both"/>
                    <w:rPr>
                      <w:rFonts w:ascii="宋体" w:hAnsi="宋体"/>
                      <w:b/>
                    </w:rPr>
                  </w:pPr>
                  <w:r>
                    <w:rPr>
                      <w:rFonts w:hint="eastAsia" w:ascii="宋体" w:hAnsi="宋体"/>
                      <w:sz w:val="20"/>
                      <w:szCs w:val="20"/>
                    </w:rPr>
                    <w:t>具有救死扶伤的态度。</w:t>
                  </w:r>
                </w:p>
              </w:tc>
              <w:tc>
                <w:tcPr>
                  <w:tcW w:w="2024" w:type="dxa"/>
                </w:tcPr>
                <w:p>
                  <w:pPr>
                    <w:pStyle w:val="14"/>
                    <w:widowControl w:val="0"/>
                    <w:jc w:val="both"/>
                    <w:rPr>
                      <w:rFonts w:ascii="宋体" w:hAnsi="宋体"/>
                      <w:bCs/>
                    </w:rPr>
                  </w:pPr>
                  <w:r>
                    <w:rPr>
                      <w:rFonts w:hint="eastAsia" w:ascii="宋体" w:hAnsi="宋体"/>
                      <w:bCs/>
                    </w:rPr>
                    <w:t>通过概述《急危重症护理》这门课程使学生深入感受掌握相关护理技能的重要性，使其具有救死扶伤的态度。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2</w:t>
                  </w:r>
                </w:p>
              </w:tc>
              <w:tc>
                <w:tcPr>
                  <w:tcW w:w="1984" w:type="dxa"/>
                  <w:vAlign w:val="center"/>
                </w:tcPr>
                <w:p>
                  <w:pPr>
                    <w:pStyle w:val="14"/>
                    <w:widowControl w:val="0"/>
                    <w:jc w:val="both"/>
                    <w:rPr>
                      <w:rFonts w:ascii="宋体" w:hAnsi="宋体"/>
                      <w:bCs/>
                    </w:rPr>
                  </w:pPr>
                  <w:r>
                    <w:rPr>
                      <w:rFonts w:hint="eastAsia"/>
                    </w:rPr>
                    <w:t>院前急救</w:t>
                  </w:r>
                </w:p>
              </w:tc>
              <w:tc>
                <w:tcPr>
                  <w:tcW w:w="3340" w:type="dxa"/>
                  <w:vAlign w:val="center"/>
                </w:tcPr>
                <w:p>
                  <w:pPr>
                    <w:pStyle w:val="14"/>
                    <w:widowControl w:val="0"/>
                    <w:jc w:val="both"/>
                    <w:rPr>
                      <w:rFonts w:ascii="宋体" w:hAnsi="宋体"/>
                      <w:bCs/>
                    </w:rPr>
                  </w:pPr>
                  <w:r>
                    <w:rPr>
                      <w:rFonts w:hint="eastAsia" w:ascii="宋体" w:hAnsi="宋体"/>
                      <w:bCs/>
                    </w:rPr>
                    <w:t>树立以人为本、时间就是生命的急救意识。</w:t>
                  </w:r>
                </w:p>
              </w:tc>
              <w:tc>
                <w:tcPr>
                  <w:tcW w:w="2024" w:type="dxa"/>
                </w:tcPr>
                <w:p>
                  <w:pPr>
                    <w:pStyle w:val="14"/>
                    <w:widowControl w:val="0"/>
                    <w:jc w:val="both"/>
                    <w:rPr>
                      <w:rFonts w:ascii="宋体" w:hAnsi="宋体"/>
                      <w:bCs/>
                    </w:rPr>
                  </w:pPr>
                  <w:r>
                    <w:rPr>
                      <w:rFonts w:hint="eastAsia" w:ascii="宋体" w:hAnsi="宋体"/>
                      <w:bCs/>
                    </w:rPr>
                    <w:t>讲述急救车上患者心跳骤停死亡案例，融入本章节相应思政元素。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3</w:t>
                  </w:r>
                </w:p>
              </w:tc>
              <w:tc>
                <w:tcPr>
                  <w:tcW w:w="1984" w:type="dxa"/>
                  <w:vAlign w:val="center"/>
                </w:tcPr>
                <w:p>
                  <w:pPr>
                    <w:pStyle w:val="14"/>
                    <w:widowControl w:val="0"/>
                    <w:jc w:val="both"/>
                    <w:rPr>
                      <w:rFonts w:ascii="宋体" w:hAnsi="宋体"/>
                      <w:bCs/>
                    </w:rPr>
                  </w:pPr>
                  <w:r>
                    <w:rPr>
                      <w:rFonts w:hint="eastAsia"/>
                    </w:rPr>
                    <w:t>急诊科救护</w:t>
                  </w:r>
                </w:p>
              </w:tc>
              <w:tc>
                <w:tcPr>
                  <w:tcW w:w="3340" w:type="dxa"/>
                  <w:vAlign w:val="center"/>
                </w:tcPr>
                <w:p>
                  <w:pPr>
                    <w:pStyle w:val="14"/>
                    <w:widowControl w:val="0"/>
                    <w:jc w:val="both"/>
                    <w:rPr>
                      <w:rFonts w:ascii="宋体" w:hAnsi="宋体"/>
                      <w:bCs/>
                    </w:rPr>
                  </w:pPr>
                  <w:r>
                    <w:rPr>
                      <w:rFonts w:hint="eastAsia" w:ascii="宋体" w:hAnsi="宋体"/>
                      <w:bCs/>
                    </w:rPr>
                    <w:t>树立“生命第一、时效为先”的急救意识，建立良好的团队合作意识。</w:t>
                  </w:r>
                </w:p>
              </w:tc>
              <w:tc>
                <w:tcPr>
                  <w:tcW w:w="2024" w:type="dxa"/>
                </w:tcPr>
                <w:p>
                  <w:pPr>
                    <w:pStyle w:val="14"/>
                    <w:widowControl w:val="0"/>
                    <w:jc w:val="both"/>
                    <w:rPr>
                      <w:rFonts w:ascii="宋体" w:hAnsi="宋体"/>
                      <w:bCs/>
                    </w:rPr>
                  </w:pPr>
                  <w:r>
                    <w:rPr>
                      <w:rFonts w:hint="eastAsia" w:ascii="宋体" w:hAnsi="宋体"/>
                      <w:bCs/>
                    </w:rPr>
                    <w:t>讲述某院急诊科抢救病人成功案例，融入本章节相应思政元素。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4</w:t>
                  </w:r>
                </w:p>
              </w:tc>
              <w:tc>
                <w:tcPr>
                  <w:tcW w:w="1984" w:type="dxa"/>
                  <w:vAlign w:val="center"/>
                </w:tcPr>
                <w:p>
                  <w:pPr>
                    <w:pStyle w:val="14"/>
                    <w:widowControl w:val="0"/>
                    <w:jc w:val="both"/>
                    <w:rPr>
                      <w:rFonts w:ascii="宋体" w:hAnsi="宋体"/>
                      <w:bCs/>
                    </w:rPr>
                  </w:pPr>
                  <w:r>
                    <w:rPr>
                      <w:rFonts w:hint="eastAsia"/>
                    </w:rPr>
                    <w:t>重症监护</w:t>
                  </w:r>
                </w:p>
              </w:tc>
              <w:tc>
                <w:tcPr>
                  <w:tcW w:w="3340" w:type="dxa"/>
                  <w:vAlign w:val="center"/>
                </w:tcPr>
                <w:p>
                  <w:pPr>
                    <w:pStyle w:val="14"/>
                    <w:widowControl w:val="0"/>
                    <w:jc w:val="both"/>
                    <w:rPr>
                      <w:rFonts w:ascii="宋体" w:hAnsi="宋体"/>
                      <w:bCs/>
                    </w:rPr>
                  </w:pPr>
                  <w:r>
                    <w:rPr>
                      <w:rFonts w:hint="eastAsia" w:ascii="宋体" w:hAnsi="宋体"/>
                      <w:bCs/>
                    </w:rPr>
                    <w:t>培养反应敏捷、严谨、细致的工作作风，争分夺秒的抢救意识</w:t>
                  </w:r>
                </w:p>
              </w:tc>
              <w:tc>
                <w:tcPr>
                  <w:tcW w:w="2024" w:type="dxa"/>
                </w:tcPr>
                <w:p>
                  <w:pPr>
                    <w:pStyle w:val="14"/>
                    <w:widowControl w:val="0"/>
                    <w:jc w:val="both"/>
                    <w:rPr>
                      <w:rFonts w:ascii="宋体" w:hAnsi="宋体"/>
                      <w:bCs/>
                    </w:rPr>
                  </w:pPr>
                  <w:r>
                    <w:rPr>
                      <w:rFonts w:hint="eastAsia" w:ascii="宋体" w:hAnsi="宋体"/>
                      <w:bCs/>
                    </w:rPr>
                    <w:t>讲述某院重症监护室抢救病人成功案例，融入本章节相应思政元素。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8" w:type="dxa"/>
                  <w:vAlign w:val="center"/>
                </w:tcPr>
                <w:p>
                  <w:pPr>
                    <w:pStyle w:val="14"/>
                    <w:widowControl w:val="0"/>
                    <w:rPr>
                      <w:rFonts w:ascii="宋体" w:hAnsi="宋体"/>
                      <w:bCs/>
                    </w:rPr>
                  </w:pPr>
                  <w:r>
                    <w:rPr>
                      <w:rFonts w:hint="eastAsia" w:ascii="宋体" w:hAnsi="宋体"/>
                      <w:bCs/>
                    </w:rPr>
                    <w:t>5</w:t>
                  </w:r>
                </w:p>
              </w:tc>
              <w:tc>
                <w:tcPr>
                  <w:tcW w:w="1984" w:type="dxa"/>
                  <w:vAlign w:val="center"/>
                </w:tcPr>
                <w:p>
                  <w:pPr>
                    <w:pStyle w:val="14"/>
                    <w:widowControl w:val="0"/>
                    <w:jc w:val="both"/>
                    <w:rPr>
                      <w:rFonts w:ascii="宋体" w:hAnsi="宋体"/>
                      <w:bCs/>
                    </w:rPr>
                  </w:pPr>
                  <w:r>
                    <w:rPr>
                      <w:rFonts w:hint="eastAsia"/>
                    </w:rPr>
                    <w:t>灾难救护</w:t>
                  </w:r>
                </w:p>
              </w:tc>
              <w:tc>
                <w:tcPr>
                  <w:tcW w:w="3340" w:type="dxa"/>
                  <w:vAlign w:val="center"/>
                </w:tcPr>
                <w:p>
                  <w:pPr>
                    <w:pStyle w:val="14"/>
                    <w:widowControl w:val="0"/>
                    <w:jc w:val="both"/>
                    <w:rPr>
                      <w:rFonts w:ascii="宋体" w:hAnsi="宋体"/>
                      <w:bCs/>
                    </w:rPr>
                  </w:pPr>
                  <w:r>
                    <w:rPr>
                      <w:rFonts w:hint="eastAsia" w:ascii="宋体" w:hAnsi="宋体"/>
                      <w:bCs/>
                    </w:rPr>
                    <w:t>培养良好的团队合作和沟通能力，树立以人为本、生命至上的理念。</w:t>
                  </w:r>
                </w:p>
              </w:tc>
              <w:tc>
                <w:tcPr>
                  <w:tcW w:w="2024" w:type="dxa"/>
                </w:tcPr>
                <w:p>
                  <w:pPr>
                    <w:pStyle w:val="14"/>
                    <w:widowControl w:val="0"/>
                    <w:jc w:val="both"/>
                    <w:rPr>
                      <w:rFonts w:ascii="宋体" w:hAnsi="宋体"/>
                      <w:bCs/>
                    </w:rPr>
                  </w:pPr>
                  <w:r>
                    <w:rPr>
                      <w:rFonts w:hint="eastAsia" w:ascii="宋体" w:hAnsi="宋体"/>
                      <w:bCs/>
                      <w:lang w:eastAsia="zh-CN"/>
                    </w:rPr>
                    <w:t>讲述</w:t>
                  </w:r>
                  <w:r>
                    <w:rPr>
                      <w:rFonts w:hint="eastAsia" w:ascii="宋体" w:hAnsi="宋体"/>
                      <w:bCs/>
                    </w:rPr>
                    <w:t>2</w:t>
                  </w:r>
                  <w:r>
                    <w:rPr>
                      <w:rFonts w:ascii="宋体" w:hAnsi="宋体"/>
                      <w:bCs/>
                    </w:rPr>
                    <w:t>018</w:t>
                  </w:r>
                  <w:r>
                    <w:rPr>
                      <w:rFonts w:hint="eastAsia" w:ascii="宋体" w:hAnsi="宋体"/>
                      <w:bCs/>
                    </w:rPr>
                    <w:t>年汶川地震相关事例，融入相应思政元素。</w:t>
                  </w:r>
                </w:p>
              </w:tc>
            </w:tr>
          </w:tbl>
          <w:p>
            <w:pPr>
              <w:pStyle w:val="14"/>
              <w:widowControl w:val="0"/>
              <w:jc w:val="both"/>
              <w:rPr>
                <w:rFonts w:ascii="宋体" w:hAnsi="宋体"/>
                <w:bCs/>
              </w:rPr>
            </w:pP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19"/>
        <w:gridCol w:w="919"/>
        <w:gridCol w:w="919"/>
        <w:gridCol w:w="919"/>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6"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919"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919"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919"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919"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w:t>
            </w:r>
            <w:r>
              <w:t>0%</w:t>
            </w:r>
          </w:p>
        </w:tc>
        <w:tc>
          <w:tcPr>
            <w:tcW w:w="2353" w:type="dxa"/>
            <w:tcBorders>
              <w:right w:val="double" w:color="auto" w:sz="4" w:space="0"/>
            </w:tcBorders>
            <w:vAlign w:val="center"/>
          </w:tcPr>
          <w:p>
            <w:pPr>
              <w:pStyle w:val="14"/>
              <w:widowControl w:val="0"/>
            </w:pPr>
            <w:r>
              <w:rPr>
                <w:rFonts w:hint="eastAsia"/>
              </w:rPr>
              <w:t>期末考试（闭卷）</w:t>
            </w:r>
          </w:p>
        </w:tc>
        <w:tc>
          <w:tcPr>
            <w:tcW w:w="919" w:type="dxa"/>
            <w:tcBorders>
              <w:left w:val="double" w:color="auto" w:sz="4" w:space="0"/>
            </w:tcBorders>
            <w:vAlign w:val="center"/>
          </w:tcPr>
          <w:p>
            <w:pPr>
              <w:pStyle w:val="14"/>
              <w:widowControl w:val="0"/>
            </w:pPr>
            <w:r>
              <w:rPr>
                <w:rFonts w:hint="eastAsia"/>
              </w:rPr>
              <w:t>5</w:t>
            </w:r>
            <w:r>
              <w:t>0</w:t>
            </w:r>
          </w:p>
        </w:tc>
        <w:tc>
          <w:tcPr>
            <w:tcW w:w="919" w:type="dxa"/>
            <w:vAlign w:val="center"/>
          </w:tcPr>
          <w:p>
            <w:pPr>
              <w:pStyle w:val="14"/>
              <w:widowControl w:val="0"/>
            </w:pPr>
            <w:r>
              <w:rPr>
                <w:rFonts w:hint="eastAsia"/>
              </w:rPr>
              <w:t>2</w:t>
            </w:r>
            <w:r>
              <w:t>0</w:t>
            </w:r>
          </w:p>
        </w:tc>
        <w:tc>
          <w:tcPr>
            <w:tcW w:w="919" w:type="dxa"/>
            <w:vAlign w:val="center"/>
          </w:tcPr>
          <w:p>
            <w:pPr>
              <w:pStyle w:val="14"/>
              <w:widowControl w:val="0"/>
            </w:pPr>
            <w:r>
              <w:rPr>
                <w:rFonts w:hint="eastAsia"/>
              </w:rPr>
              <w:t>2</w:t>
            </w:r>
            <w:r>
              <w:t>0</w:t>
            </w:r>
          </w:p>
        </w:tc>
        <w:tc>
          <w:tcPr>
            <w:tcW w:w="919"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操作考核</w:t>
            </w:r>
          </w:p>
        </w:tc>
        <w:tc>
          <w:tcPr>
            <w:tcW w:w="919" w:type="dxa"/>
            <w:tcBorders>
              <w:left w:val="double" w:color="auto" w:sz="4" w:space="0"/>
            </w:tcBorders>
            <w:vAlign w:val="center"/>
          </w:tcPr>
          <w:p>
            <w:pPr>
              <w:pStyle w:val="14"/>
              <w:widowControl w:val="0"/>
            </w:pPr>
            <w:r>
              <w:rPr>
                <w:rFonts w:hint="eastAsia"/>
              </w:rPr>
              <w:t>1</w:t>
            </w:r>
            <w:r>
              <w:t>0</w:t>
            </w:r>
          </w:p>
        </w:tc>
        <w:tc>
          <w:tcPr>
            <w:tcW w:w="919" w:type="dxa"/>
            <w:vAlign w:val="center"/>
          </w:tcPr>
          <w:p>
            <w:pPr>
              <w:pStyle w:val="14"/>
              <w:widowControl w:val="0"/>
            </w:pPr>
            <w:r>
              <w:t>40</w:t>
            </w:r>
          </w:p>
        </w:tc>
        <w:tc>
          <w:tcPr>
            <w:tcW w:w="919" w:type="dxa"/>
            <w:vAlign w:val="center"/>
          </w:tcPr>
          <w:p>
            <w:pPr>
              <w:pStyle w:val="14"/>
              <w:widowControl w:val="0"/>
            </w:pPr>
            <w:r>
              <w:t>40</w:t>
            </w:r>
          </w:p>
        </w:tc>
        <w:tc>
          <w:tcPr>
            <w:tcW w:w="919" w:type="dxa"/>
            <w:vAlign w:val="center"/>
          </w:tcPr>
          <w:p>
            <w:pPr>
              <w:pStyle w:val="14"/>
              <w:widowControl w:val="0"/>
            </w:pPr>
            <w:r>
              <w:rPr>
                <w:rFonts w:hint="eastAsia"/>
              </w:rPr>
              <w:t>1</w:t>
            </w:r>
            <w:r>
              <w:t>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w:t>
            </w:r>
            <w:r>
              <w:t>0%</w:t>
            </w:r>
          </w:p>
        </w:tc>
        <w:tc>
          <w:tcPr>
            <w:tcW w:w="2353" w:type="dxa"/>
            <w:tcBorders>
              <w:right w:val="double" w:color="auto" w:sz="4" w:space="0"/>
            </w:tcBorders>
            <w:vAlign w:val="center"/>
          </w:tcPr>
          <w:p>
            <w:pPr>
              <w:pStyle w:val="14"/>
              <w:widowControl w:val="0"/>
            </w:pPr>
            <w:r>
              <w:rPr>
                <w:rFonts w:hint="eastAsia"/>
              </w:rPr>
              <w:t>阶段测验</w:t>
            </w:r>
          </w:p>
        </w:tc>
        <w:tc>
          <w:tcPr>
            <w:tcW w:w="919" w:type="dxa"/>
            <w:tcBorders>
              <w:left w:val="double" w:color="auto" w:sz="4" w:space="0"/>
            </w:tcBorders>
            <w:vAlign w:val="center"/>
          </w:tcPr>
          <w:p>
            <w:pPr>
              <w:pStyle w:val="14"/>
              <w:widowControl w:val="0"/>
            </w:pPr>
            <w:r>
              <w:t>50</w:t>
            </w:r>
          </w:p>
        </w:tc>
        <w:tc>
          <w:tcPr>
            <w:tcW w:w="919" w:type="dxa"/>
            <w:vAlign w:val="center"/>
          </w:tcPr>
          <w:p>
            <w:pPr>
              <w:pStyle w:val="14"/>
              <w:widowControl w:val="0"/>
            </w:pPr>
            <w:r>
              <w:rPr>
                <w:rFonts w:hint="eastAsia"/>
              </w:rPr>
              <w:t>2</w:t>
            </w:r>
            <w:r>
              <w:t>0</w:t>
            </w:r>
          </w:p>
        </w:tc>
        <w:tc>
          <w:tcPr>
            <w:tcW w:w="919" w:type="dxa"/>
            <w:vAlign w:val="center"/>
          </w:tcPr>
          <w:p>
            <w:pPr>
              <w:pStyle w:val="14"/>
              <w:widowControl w:val="0"/>
            </w:pPr>
            <w:r>
              <w:t>30</w:t>
            </w:r>
          </w:p>
        </w:tc>
        <w:tc>
          <w:tcPr>
            <w:tcW w:w="919"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pPr>
              <w:pStyle w:val="14"/>
              <w:widowControl w:val="0"/>
            </w:pPr>
            <w:r>
              <w:rPr>
                <w:rFonts w:hint="eastAsia"/>
              </w:rPr>
              <w:t>1</w:t>
            </w:r>
            <w:r>
              <w:t>0%</w:t>
            </w:r>
          </w:p>
        </w:tc>
        <w:tc>
          <w:tcPr>
            <w:tcW w:w="2353" w:type="dxa"/>
            <w:tcBorders>
              <w:bottom w:val="single" w:color="auto" w:sz="12" w:space="0"/>
              <w:right w:val="double" w:color="auto" w:sz="4" w:space="0"/>
            </w:tcBorders>
            <w:vAlign w:val="center"/>
          </w:tcPr>
          <w:p>
            <w:pPr>
              <w:pStyle w:val="14"/>
              <w:widowControl w:val="0"/>
            </w:pPr>
            <w:r>
              <w:rPr>
                <w:rFonts w:hint="eastAsia"/>
              </w:rPr>
              <w:t>实训报告</w:t>
            </w:r>
          </w:p>
        </w:tc>
        <w:tc>
          <w:tcPr>
            <w:tcW w:w="919" w:type="dxa"/>
            <w:tcBorders>
              <w:left w:val="double" w:color="auto" w:sz="4" w:space="0"/>
              <w:bottom w:val="single" w:color="auto" w:sz="12" w:space="0"/>
            </w:tcBorders>
            <w:vAlign w:val="center"/>
          </w:tcPr>
          <w:p>
            <w:pPr>
              <w:pStyle w:val="14"/>
              <w:widowControl w:val="0"/>
            </w:pPr>
            <w:r>
              <w:t>20</w:t>
            </w:r>
          </w:p>
        </w:tc>
        <w:tc>
          <w:tcPr>
            <w:tcW w:w="919" w:type="dxa"/>
            <w:tcBorders>
              <w:bottom w:val="single" w:color="auto" w:sz="12" w:space="0"/>
            </w:tcBorders>
            <w:vAlign w:val="center"/>
          </w:tcPr>
          <w:p>
            <w:pPr>
              <w:pStyle w:val="14"/>
              <w:widowControl w:val="0"/>
            </w:pPr>
            <w:r>
              <w:t>20</w:t>
            </w:r>
          </w:p>
        </w:tc>
        <w:tc>
          <w:tcPr>
            <w:tcW w:w="919" w:type="dxa"/>
            <w:tcBorders>
              <w:bottom w:val="single" w:color="auto" w:sz="12" w:space="0"/>
            </w:tcBorders>
            <w:vAlign w:val="center"/>
          </w:tcPr>
          <w:p>
            <w:pPr>
              <w:pStyle w:val="14"/>
              <w:widowControl w:val="0"/>
            </w:pPr>
            <w:r>
              <w:t>50</w:t>
            </w:r>
          </w:p>
        </w:tc>
        <w:tc>
          <w:tcPr>
            <w:tcW w:w="919" w:type="dxa"/>
            <w:tcBorders>
              <w:bottom w:val="single" w:color="auto" w:sz="12" w:space="0"/>
            </w:tcBorders>
            <w:vAlign w:val="center"/>
          </w:tcPr>
          <w:p>
            <w:pPr>
              <w:pStyle w:val="14"/>
              <w:widowControl w:val="0"/>
            </w:pPr>
            <w:r>
              <w:t>10</w:t>
            </w: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pStyle w:val="14"/>
              <w:widowControl w:val="0"/>
              <w:jc w:val="both"/>
              <w:rPr>
                <w:rFonts w:ascii="宋体" w:hAnsi="宋体"/>
              </w:rPr>
            </w:pPr>
          </w:p>
        </w:tc>
        <w:tc>
          <w:tcPr>
            <w:tcW w:w="1403" w:type="dxa"/>
            <w:vAlign w:val="center"/>
          </w:tcPr>
          <w:p>
            <w:pPr>
              <w:pStyle w:val="14"/>
              <w:widowControl w:val="0"/>
              <w:jc w:val="both"/>
              <w:rPr>
                <w:rFonts w:ascii="宋体" w:hAnsi="宋体"/>
              </w:rPr>
            </w:pPr>
          </w:p>
        </w:tc>
        <w:tc>
          <w:tcPr>
            <w:tcW w:w="1403" w:type="dxa"/>
            <w:vAlign w:val="center"/>
          </w:tcPr>
          <w:p>
            <w:pPr>
              <w:pStyle w:val="14"/>
              <w:widowControl w:val="0"/>
              <w:jc w:val="both"/>
              <w:rPr>
                <w:rFonts w:ascii="宋体" w:hAnsi="宋体"/>
              </w:rPr>
            </w:pPr>
          </w:p>
        </w:tc>
        <w:tc>
          <w:tcPr>
            <w:tcW w:w="1403" w:type="dxa"/>
            <w:vAlign w:val="center"/>
          </w:tcPr>
          <w:p>
            <w:pPr>
              <w:pStyle w:val="6"/>
              <w:widowControl/>
              <w:shd w:val="clear" w:color="auto" w:fill="FFFFFF"/>
              <w:jc w:val="both"/>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21"/>
                <w:szCs w:val="21"/>
                <w:lang w:eastAsia="zh-CN"/>
              </w:rPr>
            </w:pPr>
            <w:r>
              <w:rPr>
                <w:rFonts w:hint="eastAsia" w:ascii="Helvetica" w:hAnsi="Helvetica" w:cs="Helvetica" w:eastAsiaTheme="minorEastAsia"/>
                <w:color w:val="000000"/>
                <w:sz w:val="21"/>
                <w:szCs w:val="21"/>
              </w:rPr>
              <w:t>无</w:t>
            </w:r>
            <w:r>
              <w:rPr>
                <w:rFonts w:hint="eastAsia" w:ascii="Helvetica" w:hAnsi="Helvetica" w:cs="Helvetica" w:eastAsiaTheme="minorEastAsia"/>
                <w:color w:val="000000"/>
                <w:sz w:val="21"/>
                <w:szCs w:val="21"/>
                <w:lang w:eastAsia="zh-CN"/>
              </w:rPr>
              <w:t>。</w:t>
            </w:r>
            <w:bookmarkStart w:id="6" w:name="_GoBack"/>
            <w:bookmarkEnd w:id="6"/>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pPr>
        <w:pStyle w:val="16"/>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Lucida Console">
    <w:panose1 w:val="020B0609040504020204"/>
    <w:charset w:val="00"/>
    <w:family w:val="modern"/>
    <w:pitch w:val="default"/>
    <w:sig w:usb0="8000028F" w:usb1="00001800" w:usb2="00000000" w:usb3="00000000" w:csb0="0000001F" w:csb1="D7D7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023B2"/>
    <w:rsid w:val="00006EE7"/>
    <w:rsid w:val="000203E0"/>
    <w:rsid w:val="000210E0"/>
    <w:rsid w:val="00033082"/>
    <w:rsid w:val="00044D77"/>
    <w:rsid w:val="000468F4"/>
    <w:rsid w:val="0006001D"/>
    <w:rsid w:val="00061E62"/>
    <w:rsid w:val="00066041"/>
    <w:rsid w:val="00076794"/>
    <w:rsid w:val="00076E53"/>
    <w:rsid w:val="0008122A"/>
    <w:rsid w:val="00087488"/>
    <w:rsid w:val="0009050A"/>
    <w:rsid w:val="0009721F"/>
    <w:rsid w:val="000A4E73"/>
    <w:rsid w:val="000B1BD2"/>
    <w:rsid w:val="000C0F0D"/>
    <w:rsid w:val="000C13BC"/>
    <w:rsid w:val="000D28E5"/>
    <w:rsid w:val="000D34D7"/>
    <w:rsid w:val="00100633"/>
    <w:rsid w:val="00101F78"/>
    <w:rsid w:val="001072BC"/>
    <w:rsid w:val="00114BD6"/>
    <w:rsid w:val="00123E16"/>
    <w:rsid w:val="00130F6D"/>
    <w:rsid w:val="001435F6"/>
    <w:rsid w:val="00144082"/>
    <w:rsid w:val="00160ACA"/>
    <w:rsid w:val="00163A48"/>
    <w:rsid w:val="00164E36"/>
    <w:rsid w:val="00183AA1"/>
    <w:rsid w:val="0018767C"/>
    <w:rsid w:val="001A135C"/>
    <w:rsid w:val="001B0D49"/>
    <w:rsid w:val="001B546F"/>
    <w:rsid w:val="001C16FC"/>
    <w:rsid w:val="001C2E3E"/>
    <w:rsid w:val="001C388D"/>
    <w:rsid w:val="001D41DC"/>
    <w:rsid w:val="001E1D2D"/>
    <w:rsid w:val="001E5A17"/>
    <w:rsid w:val="001E681F"/>
    <w:rsid w:val="001F05B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2BF1"/>
    <w:rsid w:val="002B3650"/>
    <w:rsid w:val="002B7322"/>
    <w:rsid w:val="002C58B6"/>
    <w:rsid w:val="002D0E86"/>
    <w:rsid w:val="002D7C47"/>
    <w:rsid w:val="002E33CE"/>
    <w:rsid w:val="002E3721"/>
    <w:rsid w:val="002E764D"/>
    <w:rsid w:val="002E78A6"/>
    <w:rsid w:val="002F3157"/>
    <w:rsid w:val="002F6BD5"/>
    <w:rsid w:val="00305BB4"/>
    <w:rsid w:val="00305F23"/>
    <w:rsid w:val="00313BBA"/>
    <w:rsid w:val="0031581A"/>
    <w:rsid w:val="003167CD"/>
    <w:rsid w:val="00317E29"/>
    <w:rsid w:val="00321515"/>
    <w:rsid w:val="003235F5"/>
    <w:rsid w:val="0032602E"/>
    <w:rsid w:val="00327B8C"/>
    <w:rsid w:val="00331638"/>
    <w:rsid w:val="003344A7"/>
    <w:rsid w:val="00334623"/>
    <w:rsid w:val="003367AE"/>
    <w:rsid w:val="00340439"/>
    <w:rsid w:val="00344946"/>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70A2"/>
    <w:rsid w:val="003C61A5"/>
    <w:rsid w:val="003C65BD"/>
    <w:rsid w:val="003D1968"/>
    <w:rsid w:val="003D4994"/>
    <w:rsid w:val="003E10A5"/>
    <w:rsid w:val="003E7D72"/>
    <w:rsid w:val="003F3485"/>
    <w:rsid w:val="003F3923"/>
    <w:rsid w:val="003F43F6"/>
    <w:rsid w:val="004019DB"/>
    <w:rsid w:val="00402B67"/>
    <w:rsid w:val="0040433E"/>
    <w:rsid w:val="00404974"/>
    <w:rsid w:val="0040726A"/>
    <w:rsid w:val="004100B0"/>
    <w:rsid w:val="0041267F"/>
    <w:rsid w:val="00414037"/>
    <w:rsid w:val="00424BA5"/>
    <w:rsid w:val="00425431"/>
    <w:rsid w:val="00431829"/>
    <w:rsid w:val="004352C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1F04"/>
    <w:rsid w:val="004C7E86"/>
    <w:rsid w:val="004D00A3"/>
    <w:rsid w:val="004D4FB3"/>
    <w:rsid w:val="004D75A6"/>
    <w:rsid w:val="004E3456"/>
    <w:rsid w:val="004F3DF0"/>
    <w:rsid w:val="004F4F3A"/>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7BA"/>
    <w:rsid w:val="005519BB"/>
    <w:rsid w:val="005523FD"/>
    <w:rsid w:val="00553D03"/>
    <w:rsid w:val="00555BA0"/>
    <w:rsid w:val="00556E41"/>
    <w:rsid w:val="0057496F"/>
    <w:rsid w:val="00586DDE"/>
    <w:rsid w:val="0059045B"/>
    <w:rsid w:val="00596815"/>
    <w:rsid w:val="005A13AB"/>
    <w:rsid w:val="005B1150"/>
    <w:rsid w:val="005B1FFC"/>
    <w:rsid w:val="005B2B6D"/>
    <w:rsid w:val="005B4B4E"/>
    <w:rsid w:val="005C3A76"/>
    <w:rsid w:val="005D5B6F"/>
    <w:rsid w:val="005E2BEC"/>
    <w:rsid w:val="005E38A5"/>
    <w:rsid w:val="005F5185"/>
    <w:rsid w:val="006123FC"/>
    <w:rsid w:val="0062115C"/>
    <w:rsid w:val="0062265B"/>
    <w:rsid w:val="00624B5C"/>
    <w:rsid w:val="00624FE1"/>
    <w:rsid w:val="0062577D"/>
    <w:rsid w:val="006331EE"/>
    <w:rsid w:val="006355E6"/>
    <w:rsid w:val="00637E00"/>
    <w:rsid w:val="0064038A"/>
    <w:rsid w:val="0065167D"/>
    <w:rsid w:val="00652D13"/>
    <w:rsid w:val="00656DEB"/>
    <w:rsid w:val="0066595A"/>
    <w:rsid w:val="00666206"/>
    <w:rsid w:val="00672788"/>
    <w:rsid w:val="00676183"/>
    <w:rsid w:val="00680DA3"/>
    <w:rsid w:val="00683220"/>
    <w:rsid w:val="0068377F"/>
    <w:rsid w:val="00691B24"/>
    <w:rsid w:val="00695B93"/>
    <w:rsid w:val="00697C16"/>
    <w:rsid w:val="006A5A89"/>
    <w:rsid w:val="006B05E8"/>
    <w:rsid w:val="006B3BB9"/>
    <w:rsid w:val="006B48AC"/>
    <w:rsid w:val="006B5977"/>
    <w:rsid w:val="006C0C77"/>
    <w:rsid w:val="006C1310"/>
    <w:rsid w:val="006C4F49"/>
    <w:rsid w:val="006D10A8"/>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1C00"/>
    <w:rsid w:val="00774C1F"/>
    <w:rsid w:val="00784FD2"/>
    <w:rsid w:val="00786044"/>
    <w:rsid w:val="007934A4"/>
    <w:rsid w:val="007A0AC9"/>
    <w:rsid w:val="007A1B70"/>
    <w:rsid w:val="007A57F6"/>
    <w:rsid w:val="007B4FFB"/>
    <w:rsid w:val="007C0BCE"/>
    <w:rsid w:val="007C1D1B"/>
    <w:rsid w:val="007C3566"/>
    <w:rsid w:val="007C794A"/>
    <w:rsid w:val="007D5326"/>
    <w:rsid w:val="007D5A33"/>
    <w:rsid w:val="007E620F"/>
    <w:rsid w:val="007E6468"/>
    <w:rsid w:val="007E663C"/>
    <w:rsid w:val="007E7795"/>
    <w:rsid w:val="007F3A7F"/>
    <w:rsid w:val="0080066B"/>
    <w:rsid w:val="00803578"/>
    <w:rsid w:val="00815B8E"/>
    <w:rsid w:val="00816D99"/>
    <w:rsid w:val="0082324C"/>
    <w:rsid w:val="00823D71"/>
    <w:rsid w:val="008245AF"/>
    <w:rsid w:val="008256B9"/>
    <w:rsid w:val="00834CA8"/>
    <w:rsid w:val="00834E0F"/>
    <w:rsid w:val="0083705D"/>
    <w:rsid w:val="0084242F"/>
    <w:rsid w:val="00844C0E"/>
    <w:rsid w:val="00847437"/>
    <w:rsid w:val="00875288"/>
    <w:rsid w:val="00882E15"/>
    <w:rsid w:val="008901A2"/>
    <w:rsid w:val="008A08B0"/>
    <w:rsid w:val="008B0385"/>
    <w:rsid w:val="008B188E"/>
    <w:rsid w:val="008B33A4"/>
    <w:rsid w:val="008B397C"/>
    <w:rsid w:val="008B47F4"/>
    <w:rsid w:val="008B7448"/>
    <w:rsid w:val="008B7E1E"/>
    <w:rsid w:val="008C2AE6"/>
    <w:rsid w:val="008C2DE8"/>
    <w:rsid w:val="008C5113"/>
    <w:rsid w:val="008C5B8A"/>
    <w:rsid w:val="008D3D5F"/>
    <w:rsid w:val="008D4E81"/>
    <w:rsid w:val="008D505F"/>
    <w:rsid w:val="008E0F55"/>
    <w:rsid w:val="008F253F"/>
    <w:rsid w:val="008F5D27"/>
    <w:rsid w:val="008F7F31"/>
    <w:rsid w:val="00900019"/>
    <w:rsid w:val="009023B1"/>
    <w:rsid w:val="009147D6"/>
    <w:rsid w:val="00925F8C"/>
    <w:rsid w:val="00927324"/>
    <w:rsid w:val="00932ED7"/>
    <w:rsid w:val="00941B89"/>
    <w:rsid w:val="00941DEA"/>
    <w:rsid w:val="00946AEA"/>
    <w:rsid w:val="009656CC"/>
    <w:rsid w:val="00966C98"/>
    <w:rsid w:val="00970E8C"/>
    <w:rsid w:val="00971671"/>
    <w:rsid w:val="00981A37"/>
    <w:rsid w:val="009830B2"/>
    <w:rsid w:val="0099063E"/>
    <w:rsid w:val="00992356"/>
    <w:rsid w:val="00994793"/>
    <w:rsid w:val="00996AE3"/>
    <w:rsid w:val="009A0450"/>
    <w:rsid w:val="009A1E09"/>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E01"/>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95E9E"/>
    <w:rsid w:val="00AA4970"/>
    <w:rsid w:val="00AA536D"/>
    <w:rsid w:val="00AB22C0"/>
    <w:rsid w:val="00AB28FC"/>
    <w:rsid w:val="00AC2AAC"/>
    <w:rsid w:val="00AC40F1"/>
    <w:rsid w:val="00AC4C45"/>
    <w:rsid w:val="00AD1085"/>
    <w:rsid w:val="00AD5B40"/>
    <w:rsid w:val="00AF289F"/>
    <w:rsid w:val="00AF30B9"/>
    <w:rsid w:val="00AF3E98"/>
    <w:rsid w:val="00AF43DF"/>
    <w:rsid w:val="00AF67A4"/>
    <w:rsid w:val="00AF7510"/>
    <w:rsid w:val="00B03271"/>
    <w:rsid w:val="00B12D31"/>
    <w:rsid w:val="00B15F6E"/>
    <w:rsid w:val="00B20CCF"/>
    <w:rsid w:val="00B21BEE"/>
    <w:rsid w:val="00B23284"/>
    <w:rsid w:val="00B37D43"/>
    <w:rsid w:val="00B46F21"/>
    <w:rsid w:val="00B511A5"/>
    <w:rsid w:val="00B51CDE"/>
    <w:rsid w:val="00B56541"/>
    <w:rsid w:val="00B605ED"/>
    <w:rsid w:val="00B64698"/>
    <w:rsid w:val="00B71F97"/>
    <w:rsid w:val="00B72538"/>
    <w:rsid w:val="00B736A7"/>
    <w:rsid w:val="00B7651F"/>
    <w:rsid w:val="00B919FA"/>
    <w:rsid w:val="00B94A16"/>
    <w:rsid w:val="00BA6044"/>
    <w:rsid w:val="00BB1A93"/>
    <w:rsid w:val="00BB46BD"/>
    <w:rsid w:val="00BC2625"/>
    <w:rsid w:val="00BC3200"/>
    <w:rsid w:val="00BC338A"/>
    <w:rsid w:val="00BC6CDA"/>
    <w:rsid w:val="00BD7AB0"/>
    <w:rsid w:val="00BF0DE9"/>
    <w:rsid w:val="00BF3C20"/>
    <w:rsid w:val="00C011BC"/>
    <w:rsid w:val="00C03DBA"/>
    <w:rsid w:val="00C112E7"/>
    <w:rsid w:val="00C11CD4"/>
    <w:rsid w:val="00C15061"/>
    <w:rsid w:val="00C1713D"/>
    <w:rsid w:val="00C20D9D"/>
    <w:rsid w:val="00C2134F"/>
    <w:rsid w:val="00C2385E"/>
    <w:rsid w:val="00C24718"/>
    <w:rsid w:val="00C30AEE"/>
    <w:rsid w:val="00C33362"/>
    <w:rsid w:val="00C353AE"/>
    <w:rsid w:val="00C359FA"/>
    <w:rsid w:val="00C4194E"/>
    <w:rsid w:val="00C449DB"/>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E161D"/>
    <w:rsid w:val="00CF096B"/>
    <w:rsid w:val="00CF10F7"/>
    <w:rsid w:val="00CF5EE3"/>
    <w:rsid w:val="00CF691F"/>
    <w:rsid w:val="00D013A4"/>
    <w:rsid w:val="00D026DC"/>
    <w:rsid w:val="00D15595"/>
    <w:rsid w:val="00D30C40"/>
    <w:rsid w:val="00D32DE6"/>
    <w:rsid w:val="00D352CC"/>
    <w:rsid w:val="00D37832"/>
    <w:rsid w:val="00D44860"/>
    <w:rsid w:val="00D47689"/>
    <w:rsid w:val="00D50C42"/>
    <w:rsid w:val="00D57CF5"/>
    <w:rsid w:val="00D612BC"/>
    <w:rsid w:val="00D62F98"/>
    <w:rsid w:val="00D64265"/>
    <w:rsid w:val="00D66FD6"/>
    <w:rsid w:val="00D72E58"/>
    <w:rsid w:val="00D77381"/>
    <w:rsid w:val="00D8285B"/>
    <w:rsid w:val="00D829B2"/>
    <w:rsid w:val="00D86619"/>
    <w:rsid w:val="00D93E7C"/>
    <w:rsid w:val="00DA309B"/>
    <w:rsid w:val="00DA7E8B"/>
    <w:rsid w:val="00DB2BE6"/>
    <w:rsid w:val="00DB76B3"/>
    <w:rsid w:val="00DC0CCD"/>
    <w:rsid w:val="00DC49E3"/>
    <w:rsid w:val="00DD04F1"/>
    <w:rsid w:val="00DD1052"/>
    <w:rsid w:val="00DD3C7B"/>
    <w:rsid w:val="00DD48CC"/>
    <w:rsid w:val="00DE2B21"/>
    <w:rsid w:val="00DE3B64"/>
    <w:rsid w:val="00DE48DE"/>
    <w:rsid w:val="00DF25F2"/>
    <w:rsid w:val="00DF4166"/>
    <w:rsid w:val="00DF7B18"/>
    <w:rsid w:val="00E000F4"/>
    <w:rsid w:val="00E01231"/>
    <w:rsid w:val="00E01963"/>
    <w:rsid w:val="00E0300B"/>
    <w:rsid w:val="00E04279"/>
    <w:rsid w:val="00E11393"/>
    <w:rsid w:val="00E125D9"/>
    <w:rsid w:val="00E16D30"/>
    <w:rsid w:val="00E31E69"/>
    <w:rsid w:val="00E33169"/>
    <w:rsid w:val="00E34A7B"/>
    <w:rsid w:val="00E40973"/>
    <w:rsid w:val="00E545FF"/>
    <w:rsid w:val="00E6080E"/>
    <w:rsid w:val="00E64168"/>
    <w:rsid w:val="00E655B3"/>
    <w:rsid w:val="00E66C12"/>
    <w:rsid w:val="00E7081D"/>
    <w:rsid w:val="00E70904"/>
    <w:rsid w:val="00E71319"/>
    <w:rsid w:val="00E7311C"/>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4AD4"/>
    <w:rsid w:val="00F16421"/>
    <w:rsid w:val="00F201EE"/>
    <w:rsid w:val="00F35AA0"/>
    <w:rsid w:val="00F43C49"/>
    <w:rsid w:val="00F45C12"/>
    <w:rsid w:val="00F544A2"/>
    <w:rsid w:val="00F7575A"/>
    <w:rsid w:val="00F76CB9"/>
    <w:rsid w:val="00F77A73"/>
    <w:rsid w:val="00F80E46"/>
    <w:rsid w:val="00F86358"/>
    <w:rsid w:val="00F96236"/>
    <w:rsid w:val="00FA10CE"/>
    <w:rsid w:val="00FA222F"/>
    <w:rsid w:val="00FA2891"/>
    <w:rsid w:val="00FA4B51"/>
    <w:rsid w:val="00FB2DCA"/>
    <w:rsid w:val="00FB650B"/>
    <w:rsid w:val="00FB693D"/>
    <w:rsid w:val="00FB7768"/>
    <w:rsid w:val="00FC566C"/>
    <w:rsid w:val="00FC7489"/>
    <w:rsid w:val="00FD1BA8"/>
    <w:rsid w:val="00FD218F"/>
    <w:rsid w:val="00FD5663"/>
    <w:rsid w:val="00FD56C6"/>
    <w:rsid w:val="00FE3221"/>
    <w:rsid w:val="00FE571F"/>
    <w:rsid w:val="00FF47F6"/>
    <w:rsid w:val="016E63C2"/>
    <w:rsid w:val="024B0C39"/>
    <w:rsid w:val="0A8128A6"/>
    <w:rsid w:val="0BF32A1B"/>
    <w:rsid w:val="101F1965"/>
    <w:rsid w:val="10BD2C22"/>
    <w:rsid w:val="14C03686"/>
    <w:rsid w:val="1A0137C4"/>
    <w:rsid w:val="220D7C54"/>
    <w:rsid w:val="22987C80"/>
    <w:rsid w:val="24192CCC"/>
    <w:rsid w:val="39A66CD4"/>
    <w:rsid w:val="3CD52CE1"/>
    <w:rsid w:val="410F2E6A"/>
    <w:rsid w:val="4430136C"/>
    <w:rsid w:val="4A2F038B"/>
    <w:rsid w:val="4AB0382B"/>
    <w:rsid w:val="4AF80986"/>
    <w:rsid w:val="569868B5"/>
    <w:rsid w:val="611F6817"/>
    <w:rsid w:val="66CA1754"/>
    <w:rsid w:val="6C9862D8"/>
    <w:rsid w:val="6F1E65D4"/>
    <w:rsid w:val="6F266C86"/>
    <w:rsid w:val="6F5042C2"/>
    <w:rsid w:val="74316312"/>
    <w:rsid w:val="75E9473F"/>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533</Words>
  <Characters>3041</Characters>
  <Lines>25</Lines>
  <Paragraphs>7</Paragraphs>
  <TotalTime>0</TotalTime>
  <ScaleCrop>false</ScaleCrop>
  <LinksUpToDate>false</LinksUpToDate>
  <CharactersWithSpaces>3567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2023-10-21T07:24:00Z</dcterms:created>
  <dc:creator>juvg</dc:creator>
  <cp:lastModifiedBy>舍予</cp:lastModifiedBy>
  <cp:lastPrinted>2023-10-23T04:11:00Z</cp:lastPrinted>
  <dcterms:modified xsi:type="dcterms:W3CDTF">2024-02-08T03:41:20Z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6A0CE7C751F44AAF8B1D09D3EB1A5A0C_12</vt:lpwstr>
  </property>
</Properties>
</file>